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2806" w14:textId="66CF9206" w:rsidR="00787E7C" w:rsidRPr="0086148A" w:rsidRDefault="00821B89" w:rsidP="00F56DAB">
      <w:pPr>
        <w:jc w:val="center"/>
        <w:rPr>
          <w:rFonts w:ascii="Times New Roman" w:hAnsi="Times New Roman" w:cs="Times New Roman"/>
          <w:b/>
          <w:bCs/>
          <w:sz w:val="24"/>
          <w:szCs w:val="24"/>
        </w:rPr>
      </w:pPr>
      <w:r w:rsidRPr="0086148A">
        <w:rPr>
          <w:rFonts w:ascii="Times New Roman" w:hAnsi="Times New Roman" w:cs="Times New Roman"/>
          <w:b/>
          <w:bCs/>
          <w:sz w:val="24"/>
          <w:szCs w:val="24"/>
        </w:rPr>
        <w:t xml:space="preserve">The </w:t>
      </w:r>
      <w:r w:rsidR="008F3552" w:rsidRPr="0086148A">
        <w:rPr>
          <w:rFonts w:ascii="Times New Roman" w:hAnsi="Times New Roman" w:cs="Times New Roman"/>
          <w:b/>
          <w:bCs/>
          <w:sz w:val="24"/>
          <w:szCs w:val="24"/>
        </w:rPr>
        <w:t>Universal Periodic Review and Transitional Justice</w:t>
      </w:r>
    </w:p>
    <w:p w14:paraId="4421D8DB" w14:textId="49A9877F" w:rsidR="00BE40EA" w:rsidRPr="0086148A" w:rsidRDefault="00BE40EA" w:rsidP="00F56DAB">
      <w:pPr>
        <w:jc w:val="center"/>
        <w:rPr>
          <w:rFonts w:ascii="Times New Roman" w:hAnsi="Times New Roman" w:cs="Times New Roman"/>
          <w:sz w:val="24"/>
          <w:szCs w:val="24"/>
        </w:rPr>
      </w:pPr>
      <w:r w:rsidRPr="0086148A">
        <w:rPr>
          <w:rFonts w:ascii="Times New Roman" w:hAnsi="Times New Roman" w:cs="Times New Roman"/>
          <w:sz w:val="24"/>
          <w:szCs w:val="24"/>
        </w:rPr>
        <w:t>Damian Etone</w:t>
      </w:r>
    </w:p>
    <w:p w14:paraId="07BFECAE" w14:textId="4E55AA42" w:rsidR="00BE40EA" w:rsidRPr="0086148A" w:rsidRDefault="00BE40EA" w:rsidP="00BE40EA">
      <w:pPr>
        <w:rPr>
          <w:rFonts w:ascii="Times New Roman" w:hAnsi="Times New Roman" w:cs="Times New Roman"/>
          <w:b/>
          <w:bCs/>
          <w:sz w:val="24"/>
          <w:szCs w:val="24"/>
        </w:rPr>
      </w:pPr>
      <w:r w:rsidRPr="0086148A">
        <w:rPr>
          <w:rFonts w:ascii="Times New Roman" w:hAnsi="Times New Roman" w:cs="Times New Roman"/>
          <w:b/>
          <w:bCs/>
          <w:sz w:val="24"/>
          <w:szCs w:val="24"/>
        </w:rPr>
        <w:t>Abstract</w:t>
      </w:r>
    </w:p>
    <w:p w14:paraId="22E41F27" w14:textId="42B6D105" w:rsidR="00821B89" w:rsidRPr="0086148A" w:rsidRDefault="0040160B" w:rsidP="00A352E7">
      <w:pPr>
        <w:jc w:val="both"/>
        <w:rPr>
          <w:rFonts w:ascii="Times New Roman" w:hAnsi="Times New Roman" w:cs="Times New Roman"/>
          <w:sz w:val="24"/>
          <w:szCs w:val="24"/>
        </w:rPr>
      </w:pPr>
      <w:r w:rsidRPr="0086148A">
        <w:rPr>
          <w:rFonts w:ascii="Times New Roman" w:hAnsi="Times New Roman" w:cs="Times New Roman"/>
          <w:sz w:val="24"/>
          <w:szCs w:val="24"/>
        </w:rPr>
        <w:t>When the Universal Periodic Review</w:t>
      </w:r>
      <w:r w:rsidR="00696B21" w:rsidRPr="0086148A">
        <w:rPr>
          <w:rFonts w:ascii="Times New Roman" w:hAnsi="Times New Roman" w:cs="Times New Roman"/>
          <w:sz w:val="24"/>
          <w:szCs w:val="24"/>
        </w:rPr>
        <w:t xml:space="preserve"> (UPR)</w:t>
      </w:r>
      <w:r w:rsidRPr="0086148A">
        <w:rPr>
          <w:rFonts w:ascii="Times New Roman" w:hAnsi="Times New Roman" w:cs="Times New Roman"/>
          <w:sz w:val="24"/>
          <w:szCs w:val="24"/>
        </w:rPr>
        <w:t xml:space="preserve"> Mechanism was established in 200</w:t>
      </w:r>
      <w:r w:rsidR="00696B21" w:rsidRPr="0086148A">
        <w:rPr>
          <w:rFonts w:ascii="Times New Roman" w:hAnsi="Times New Roman" w:cs="Times New Roman"/>
          <w:sz w:val="24"/>
          <w:szCs w:val="24"/>
        </w:rPr>
        <w:t>6, one of the criticisms was tha</w:t>
      </w:r>
      <w:r w:rsidR="0081239A" w:rsidRPr="0086148A">
        <w:rPr>
          <w:rFonts w:ascii="Times New Roman" w:hAnsi="Times New Roman" w:cs="Times New Roman"/>
          <w:sz w:val="24"/>
          <w:szCs w:val="24"/>
        </w:rPr>
        <w:t>t</w:t>
      </w:r>
      <w:r w:rsidR="00696B21" w:rsidRPr="0086148A">
        <w:rPr>
          <w:rFonts w:ascii="Times New Roman" w:hAnsi="Times New Roman" w:cs="Times New Roman"/>
          <w:sz w:val="24"/>
          <w:szCs w:val="24"/>
        </w:rPr>
        <w:t xml:space="preserve"> it would undermine the work of other human rights mechanisms. The relationship between the UPR and other human rights mechanisms (treaty bodies and special procedures) have attracted some academic discourse, especially considering that t</w:t>
      </w:r>
      <w:r w:rsidR="008B1BE4" w:rsidRPr="0086148A">
        <w:rPr>
          <w:rFonts w:ascii="Times New Roman" w:hAnsi="Times New Roman" w:cs="Times New Roman"/>
          <w:sz w:val="24"/>
          <w:szCs w:val="24"/>
        </w:rPr>
        <w:t xml:space="preserve">he UPR was established to complement and not duplicate the work of the treaty bodies. Scholars have engaged with the ability of the UPR to impact on domestic human rights protection on a range of issues including </w:t>
      </w:r>
      <w:bookmarkStart w:id="0" w:name="_Hlk123032866"/>
      <w:r w:rsidR="008B1BE4" w:rsidRPr="0086148A">
        <w:rPr>
          <w:rFonts w:ascii="Times New Roman" w:hAnsi="Times New Roman" w:cs="Times New Roman"/>
          <w:sz w:val="24"/>
          <w:szCs w:val="24"/>
        </w:rPr>
        <w:t>the right to health, indigen</w:t>
      </w:r>
      <w:r w:rsidR="00160509" w:rsidRPr="0086148A">
        <w:rPr>
          <w:rFonts w:ascii="Times New Roman" w:hAnsi="Times New Roman" w:cs="Times New Roman"/>
          <w:sz w:val="24"/>
          <w:szCs w:val="24"/>
        </w:rPr>
        <w:t>ous rights, rights of sexual minorities and the abolition of the death penalty</w:t>
      </w:r>
      <w:bookmarkEnd w:id="0"/>
      <w:r w:rsidR="00160509" w:rsidRPr="0086148A">
        <w:rPr>
          <w:rFonts w:ascii="Times New Roman" w:hAnsi="Times New Roman" w:cs="Times New Roman"/>
          <w:sz w:val="24"/>
          <w:szCs w:val="24"/>
        </w:rPr>
        <w:t xml:space="preserve">. </w:t>
      </w:r>
      <w:r w:rsidR="008B1BE4" w:rsidRPr="0086148A">
        <w:rPr>
          <w:rFonts w:ascii="Times New Roman" w:hAnsi="Times New Roman" w:cs="Times New Roman"/>
          <w:sz w:val="24"/>
          <w:szCs w:val="24"/>
        </w:rPr>
        <w:t xml:space="preserve">One </w:t>
      </w:r>
      <w:r w:rsidR="00D44665" w:rsidRPr="0086148A">
        <w:rPr>
          <w:rFonts w:ascii="Times New Roman" w:hAnsi="Times New Roman" w:cs="Times New Roman"/>
          <w:sz w:val="24"/>
          <w:szCs w:val="24"/>
        </w:rPr>
        <w:t>area that has received no meaningful attention so far</w:t>
      </w:r>
      <w:r w:rsidR="008B1BE4" w:rsidRPr="0086148A">
        <w:rPr>
          <w:rFonts w:ascii="Times New Roman" w:hAnsi="Times New Roman" w:cs="Times New Roman"/>
          <w:sz w:val="24"/>
          <w:szCs w:val="24"/>
        </w:rPr>
        <w:t xml:space="preserve"> is the </w:t>
      </w:r>
      <w:r w:rsidR="00160509" w:rsidRPr="0086148A">
        <w:rPr>
          <w:rFonts w:ascii="Times New Roman" w:hAnsi="Times New Roman" w:cs="Times New Roman"/>
          <w:sz w:val="24"/>
          <w:szCs w:val="24"/>
        </w:rPr>
        <w:t>ability of</w:t>
      </w:r>
      <w:r w:rsidR="008B1BE4" w:rsidRPr="0086148A">
        <w:rPr>
          <w:rFonts w:ascii="Times New Roman" w:hAnsi="Times New Roman" w:cs="Times New Roman"/>
          <w:sz w:val="24"/>
          <w:szCs w:val="24"/>
        </w:rPr>
        <w:t xml:space="preserve"> the UPR mechanism to </w:t>
      </w:r>
      <w:r w:rsidR="00AA0204" w:rsidRPr="0086148A">
        <w:rPr>
          <w:rFonts w:ascii="Times New Roman" w:hAnsi="Times New Roman" w:cs="Times New Roman"/>
          <w:sz w:val="24"/>
          <w:szCs w:val="24"/>
        </w:rPr>
        <w:t>promote</w:t>
      </w:r>
      <w:r w:rsidR="008B1BE4" w:rsidRPr="0086148A">
        <w:rPr>
          <w:rFonts w:ascii="Times New Roman" w:hAnsi="Times New Roman" w:cs="Times New Roman"/>
          <w:sz w:val="24"/>
          <w:szCs w:val="24"/>
        </w:rPr>
        <w:t xml:space="preserve"> transitional justice process in post-conflict states. </w:t>
      </w:r>
      <w:r w:rsidR="00160509" w:rsidRPr="0086148A">
        <w:rPr>
          <w:rFonts w:ascii="Times New Roman" w:hAnsi="Times New Roman" w:cs="Times New Roman"/>
          <w:sz w:val="24"/>
          <w:szCs w:val="24"/>
        </w:rPr>
        <w:t xml:space="preserve">The UPR, through its deliberative, </w:t>
      </w:r>
      <w:r w:rsidR="009A54E2" w:rsidRPr="0086148A">
        <w:rPr>
          <w:rFonts w:ascii="Times New Roman" w:hAnsi="Times New Roman" w:cs="Times New Roman"/>
          <w:sz w:val="24"/>
          <w:szCs w:val="24"/>
        </w:rPr>
        <w:t>cooperative,</w:t>
      </w:r>
      <w:r w:rsidR="00160509" w:rsidRPr="0086148A">
        <w:rPr>
          <w:rFonts w:ascii="Times New Roman" w:hAnsi="Times New Roman" w:cs="Times New Roman"/>
          <w:sz w:val="24"/>
          <w:szCs w:val="24"/>
        </w:rPr>
        <w:t xml:space="preserve"> and capacity building appro</w:t>
      </w:r>
      <w:r w:rsidR="009A54E2" w:rsidRPr="0086148A">
        <w:rPr>
          <w:rFonts w:ascii="Times New Roman" w:hAnsi="Times New Roman" w:cs="Times New Roman"/>
          <w:sz w:val="24"/>
          <w:szCs w:val="24"/>
        </w:rPr>
        <w:t>ach,</w:t>
      </w:r>
      <w:r w:rsidR="00160509" w:rsidRPr="0086148A">
        <w:rPr>
          <w:rFonts w:ascii="Times New Roman" w:hAnsi="Times New Roman" w:cs="Times New Roman"/>
          <w:sz w:val="24"/>
          <w:szCs w:val="24"/>
        </w:rPr>
        <w:t xml:space="preserve"> can play a significant role in shaping a state’s response to the legacies of mass</w:t>
      </w:r>
      <w:r w:rsidR="00555FB0" w:rsidRPr="0086148A">
        <w:rPr>
          <w:rFonts w:ascii="Times New Roman" w:hAnsi="Times New Roman" w:cs="Times New Roman"/>
          <w:sz w:val="24"/>
          <w:szCs w:val="24"/>
        </w:rPr>
        <w:t xml:space="preserve"> atrocities</w:t>
      </w:r>
      <w:r w:rsidR="00160509" w:rsidRPr="0086148A">
        <w:rPr>
          <w:rFonts w:ascii="Times New Roman" w:hAnsi="Times New Roman" w:cs="Times New Roman"/>
          <w:sz w:val="24"/>
          <w:szCs w:val="24"/>
        </w:rPr>
        <w:t xml:space="preserve"> and serious human rights violations</w:t>
      </w:r>
      <w:r w:rsidR="009A54E2" w:rsidRPr="0086148A">
        <w:rPr>
          <w:rFonts w:ascii="Times New Roman" w:hAnsi="Times New Roman" w:cs="Times New Roman"/>
          <w:sz w:val="24"/>
          <w:szCs w:val="24"/>
        </w:rPr>
        <w:t>.</w:t>
      </w:r>
      <w:r w:rsidR="00160509" w:rsidRPr="0086148A">
        <w:rPr>
          <w:rFonts w:ascii="Times New Roman" w:hAnsi="Times New Roman" w:cs="Times New Roman"/>
          <w:sz w:val="24"/>
          <w:szCs w:val="24"/>
        </w:rPr>
        <w:t xml:space="preserve"> Focusing on </w:t>
      </w:r>
      <w:r w:rsidR="00C53AFB" w:rsidRPr="0086148A">
        <w:rPr>
          <w:rFonts w:ascii="Times New Roman" w:hAnsi="Times New Roman" w:cs="Times New Roman"/>
          <w:sz w:val="24"/>
          <w:szCs w:val="24"/>
        </w:rPr>
        <w:t>Burundi</w:t>
      </w:r>
      <w:r w:rsidR="00160509" w:rsidRPr="0086148A">
        <w:rPr>
          <w:rFonts w:ascii="Times New Roman" w:hAnsi="Times New Roman" w:cs="Times New Roman"/>
          <w:sz w:val="24"/>
          <w:szCs w:val="24"/>
        </w:rPr>
        <w:t xml:space="preserve"> and</w:t>
      </w:r>
      <w:r w:rsidR="009A54E2" w:rsidRPr="0086148A">
        <w:rPr>
          <w:rFonts w:ascii="Times New Roman" w:hAnsi="Times New Roman" w:cs="Times New Roman"/>
          <w:sz w:val="24"/>
          <w:szCs w:val="24"/>
        </w:rPr>
        <w:t xml:space="preserve"> South Sudan, this chapter examines </w:t>
      </w:r>
      <w:r w:rsidR="00790142" w:rsidRPr="0086148A">
        <w:rPr>
          <w:rFonts w:ascii="Times New Roman" w:hAnsi="Times New Roman" w:cs="Times New Roman"/>
          <w:sz w:val="24"/>
          <w:szCs w:val="24"/>
        </w:rPr>
        <w:t xml:space="preserve">the </w:t>
      </w:r>
      <w:r w:rsidR="009F7D15" w:rsidRPr="0086148A">
        <w:rPr>
          <w:rFonts w:ascii="Times New Roman" w:hAnsi="Times New Roman" w:cs="Times New Roman"/>
          <w:sz w:val="24"/>
          <w:szCs w:val="24"/>
        </w:rPr>
        <w:t xml:space="preserve">relationship between the UPR and transitional justice, and the </w:t>
      </w:r>
      <w:r w:rsidR="00790142" w:rsidRPr="0086148A">
        <w:rPr>
          <w:rFonts w:ascii="Times New Roman" w:hAnsi="Times New Roman" w:cs="Times New Roman"/>
          <w:sz w:val="24"/>
          <w:szCs w:val="24"/>
        </w:rPr>
        <w:t xml:space="preserve">extent to which the UPR mechanism can </w:t>
      </w:r>
      <w:r w:rsidR="009F7D15" w:rsidRPr="0086148A">
        <w:rPr>
          <w:rFonts w:ascii="Times New Roman" w:hAnsi="Times New Roman" w:cs="Times New Roman"/>
          <w:sz w:val="24"/>
          <w:szCs w:val="24"/>
        </w:rPr>
        <w:t>promote</w:t>
      </w:r>
      <w:r w:rsidR="00790142" w:rsidRPr="0086148A">
        <w:rPr>
          <w:rFonts w:ascii="Times New Roman" w:hAnsi="Times New Roman" w:cs="Times New Roman"/>
          <w:sz w:val="24"/>
          <w:szCs w:val="24"/>
        </w:rPr>
        <w:t xml:space="preserve"> transitional justice processes in post conflict societies. This chapter argues that the UPR can play a significant role in </w:t>
      </w:r>
      <w:r w:rsidR="001C053C" w:rsidRPr="0086148A">
        <w:rPr>
          <w:rFonts w:ascii="Times New Roman" w:hAnsi="Times New Roman" w:cs="Times New Roman"/>
          <w:sz w:val="24"/>
          <w:szCs w:val="24"/>
        </w:rPr>
        <w:t xml:space="preserve">promoting </w:t>
      </w:r>
      <w:r w:rsidR="000B79A7" w:rsidRPr="0086148A">
        <w:rPr>
          <w:rFonts w:ascii="Times New Roman" w:hAnsi="Times New Roman" w:cs="Times New Roman"/>
          <w:sz w:val="24"/>
          <w:szCs w:val="24"/>
        </w:rPr>
        <w:t xml:space="preserve">transitional justice measures, </w:t>
      </w:r>
      <w:r w:rsidR="007F6974" w:rsidRPr="0086148A">
        <w:rPr>
          <w:rFonts w:ascii="Times New Roman" w:hAnsi="Times New Roman" w:cs="Times New Roman"/>
          <w:sz w:val="24"/>
          <w:szCs w:val="24"/>
        </w:rPr>
        <w:t>reinforcing,</w:t>
      </w:r>
      <w:r w:rsidR="000B79A7" w:rsidRPr="0086148A">
        <w:rPr>
          <w:rFonts w:ascii="Times New Roman" w:hAnsi="Times New Roman" w:cs="Times New Roman"/>
          <w:sz w:val="24"/>
          <w:szCs w:val="24"/>
        </w:rPr>
        <w:t xml:space="preserve"> and increasing the visibility of recommendations from </w:t>
      </w:r>
      <w:r w:rsidR="00C76573" w:rsidRPr="0086148A">
        <w:rPr>
          <w:rFonts w:ascii="Times New Roman" w:hAnsi="Times New Roman" w:cs="Times New Roman"/>
          <w:sz w:val="24"/>
          <w:szCs w:val="24"/>
        </w:rPr>
        <w:t xml:space="preserve">other </w:t>
      </w:r>
      <w:r w:rsidR="00467C7E" w:rsidRPr="0086148A">
        <w:rPr>
          <w:rFonts w:ascii="Times New Roman" w:hAnsi="Times New Roman" w:cs="Times New Roman"/>
          <w:sz w:val="24"/>
          <w:szCs w:val="24"/>
        </w:rPr>
        <w:t>international mechanisms</w:t>
      </w:r>
      <w:r w:rsidR="000B79A7" w:rsidRPr="0086148A">
        <w:rPr>
          <w:rFonts w:ascii="Times New Roman" w:hAnsi="Times New Roman" w:cs="Times New Roman"/>
          <w:sz w:val="24"/>
          <w:szCs w:val="24"/>
        </w:rPr>
        <w:t xml:space="preserve">, and promoting accountability for human rights atrocities. </w:t>
      </w:r>
    </w:p>
    <w:p w14:paraId="35AD01D0" w14:textId="39155062" w:rsidR="00C04461" w:rsidRPr="0086148A" w:rsidRDefault="006A43EB" w:rsidP="00A352E7">
      <w:pPr>
        <w:pStyle w:val="ListParagraph"/>
        <w:numPr>
          <w:ilvl w:val="0"/>
          <w:numId w:val="1"/>
        </w:numPr>
        <w:jc w:val="both"/>
        <w:rPr>
          <w:rFonts w:ascii="Times New Roman" w:hAnsi="Times New Roman" w:cs="Times New Roman"/>
          <w:b/>
          <w:bCs/>
          <w:sz w:val="24"/>
          <w:szCs w:val="24"/>
        </w:rPr>
      </w:pPr>
      <w:r w:rsidRPr="0086148A">
        <w:rPr>
          <w:rFonts w:ascii="Times New Roman" w:hAnsi="Times New Roman" w:cs="Times New Roman"/>
          <w:b/>
          <w:bCs/>
          <w:sz w:val="24"/>
          <w:szCs w:val="24"/>
        </w:rPr>
        <w:t>Introduction</w:t>
      </w:r>
    </w:p>
    <w:p w14:paraId="7A40D36D" w14:textId="7C9F92D4" w:rsidR="0001561A" w:rsidRPr="0086148A" w:rsidRDefault="006A43EB"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Transitional Justice has </w:t>
      </w:r>
      <w:r w:rsidR="004318F5" w:rsidRPr="0086148A">
        <w:rPr>
          <w:rFonts w:ascii="Times New Roman" w:hAnsi="Times New Roman" w:cs="Times New Roman"/>
          <w:sz w:val="24"/>
          <w:szCs w:val="24"/>
        </w:rPr>
        <w:t xml:space="preserve">increasingly </w:t>
      </w:r>
      <w:r w:rsidRPr="0086148A">
        <w:rPr>
          <w:rFonts w:ascii="Times New Roman" w:hAnsi="Times New Roman" w:cs="Times New Roman"/>
          <w:sz w:val="24"/>
          <w:szCs w:val="24"/>
        </w:rPr>
        <w:t>been char</w:t>
      </w:r>
      <w:r w:rsidR="00E27026" w:rsidRPr="0086148A">
        <w:rPr>
          <w:rFonts w:ascii="Times New Roman" w:hAnsi="Times New Roman" w:cs="Times New Roman"/>
          <w:sz w:val="24"/>
          <w:szCs w:val="24"/>
        </w:rPr>
        <w:t xml:space="preserve">acterised in different ways by scholars and practitioners </w:t>
      </w:r>
      <w:r w:rsidR="000A5709" w:rsidRPr="0086148A">
        <w:rPr>
          <w:rFonts w:ascii="Times New Roman" w:hAnsi="Times New Roman" w:cs="Times New Roman"/>
          <w:sz w:val="24"/>
          <w:szCs w:val="24"/>
        </w:rPr>
        <w:t xml:space="preserve">in the discipline. </w:t>
      </w:r>
      <w:r w:rsidR="00F04DD1" w:rsidRPr="0086148A">
        <w:rPr>
          <w:rFonts w:ascii="Times New Roman" w:hAnsi="Times New Roman" w:cs="Times New Roman"/>
          <w:sz w:val="24"/>
          <w:szCs w:val="24"/>
        </w:rPr>
        <w:t xml:space="preserve">In human rights law, the </w:t>
      </w:r>
      <w:r w:rsidR="00CE34F2" w:rsidRPr="0086148A">
        <w:rPr>
          <w:rFonts w:ascii="Times New Roman" w:hAnsi="Times New Roman" w:cs="Times New Roman"/>
          <w:sz w:val="24"/>
          <w:szCs w:val="24"/>
        </w:rPr>
        <w:t>requirement for accountability for human rights abuses</w:t>
      </w:r>
      <w:r w:rsidR="00E95831" w:rsidRPr="0086148A">
        <w:rPr>
          <w:rFonts w:ascii="Times New Roman" w:hAnsi="Times New Roman" w:cs="Times New Roman"/>
          <w:sz w:val="24"/>
          <w:szCs w:val="24"/>
        </w:rPr>
        <w:t xml:space="preserve"> form the established basis for transitional justice. </w:t>
      </w:r>
      <w:r w:rsidR="009C1425" w:rsidRPr="0086148A">
        <w:rPr>
          <w:rFonts w:ascii="Times New Roman" w:hAnsi="Times New Roman" w:cs="Times New Roman"/>
          <w:sz w:val="24"/>
          <w:szCs w:val="24"/>
        </w:rPr>
        <w:t>This co</w:t>
      </w:r>
      <w:r w:rsidR="00E43B51" w:rsidRPr="0086148A">
        <w:rPr>
          <w:rFonts w:ascii="Times New Roman" w:hAnsi="Times New Roman" w:cs="Times New Roman"/>
          <w:sz w:val="24"/>
          <w:szCs w:val="24"/>
        </w:rPr>
        <w:t>nception of ‘transitional justice’ dominated early scholarly works in the 1990s</w:t>
      </w:r>
      <w:bookmarkStart w:id="1" w:name="_Ref124592349"/>
      <w:r w:rsidR="001B22C3" w:rsidRPr="0086148A">
        <w:rPr>
          <w:rStyle w:val="FootnoteReference"/>
          <w:rFonts w:ascii="Times New Roman" w:hAnsi="Times New Roman" w:cs="Times New Roman"/>
          <w:sz w:val="24"/>
          <w:szCs w:val="24"/>
        </w:rPr>
        <w:footnoteReference w:id="2"/>
      </w:r>
      <w:bookmarkEnd w:id="1"/>
      <w:r w:rsidR="00257949" w:rsidRPr="0086148A">
        <w:rPr>
          <w:rFonts w:ascii="Times New Roman" w:hAnsi="Times New Roman" w:cs="Times New Roman"/>
          <w:sz w:val="24"/>
          <w:szCs w:val="24"/>
        </w:rPr>
        <w:t xml:space="preserve"> and </w:t>
      </w:r>
      <w:r w:rsidR="000777A1" w:rsidRPr="0086148A">
        <w:rPr>
          <w:rFonts w:ascii="Times New Roman" w:hAnsi="Times New Roman" w:cs="Times New Roman"/>
          <w:sz w:val="24"/>
          <w:szCs w:val="24"/>
        </w:rPr>
        <w:t xml:space="preserve">was </w:t>
      </w:r>
      <w:r w:rsidR="00257949" w:rsidRPr="0086148A">
        <w:rPr>
          <w:rFonts w:ascii="Times New Roman" w:hAnsi="Times New Roman" w:cs="Times New Roman"/>
          <w:sz w:val="24"/>
          <w:szCs w:val="24"/>
        </w:rPr>
        <w:t>elevated by the establishment of the International Criminal Tribunal for the former Yugoslavia (ICTY) in 199</w:t>
      </w:r>
      <w:r w:rsidR="001B22C3" w:rsidRPr="0086148A">
        <w:rPr>
          <w:rFonts w:ascii="Times New Roman" w:hAnsi="Times New Roman" w:cs="Times New Roman"/>
          <w:sz w:val="24"/>
          <w:szCs w:val="24"/>
        </w:rPr>
        <w:t xml:space="preserve">3 and the International </w:t>
      </w:r>
      <w:r w:rsidR="00434880" w:rsidRPr="0086148A">
        <w:rPr>
          <w:rFonts w:ascii="Times New Roman" w:hAnsi="Times New Roman" w:cs="Times New Roman"/>
          <w:sz w:val="24"/>
          <w:szCs w:val="24"/>
        </w:rPr>
        <w:t>Criminal Tribunal for Rwanda (ICTY) in 1994</w:t>
      </w:r>
      <w:r w:rsidR="00E43B51" w:rsidRPr="0086148A">
        <w:rPr>
          <w:rFonts w:ascii="Times New Roman" w:hAnsi="Times New Roman" w:cs="Times New Roman"/>
          <w:sz w:val="24"/>
          <w:szCs w:val="24"/>
        </w:rPr>
        <w:t>.</w:t>
      </w:r>
      <w:r w:rsidR="00E43B51" w:rsidRPr="0086148A">
        <w:rPr>
          <w:rStyle w:val="FootnoteReference"/>
          <w:rFonts w:ascii="Times New Roman" w:hAnsi="Times New Roman" w:cs="Times New Roman"/>
          <w:sz w:val="24"/>
          <w:szCs w:val="24"/>
        </w:rPr>
        <w:footnoteReference w:id="3"/>
      </w:r>
      <w:r w:rsidR="00E43B51" w:rsidRPr="0086148A">
        <w:rPr>
          <w:rFonts w:ascii="Times New Roman" w:hAnsi="Times New Roman" w:cs="Times New Roman"/>
          <w:sz w:val="24"/>
          <w:szCs w:val="24"/>
        </w:rPr>
        <w:t xml:space="preserve"> </w:t>
      </w:r>
      <w:r w:rsidR="009A6DE5" w:rsidRPr="0086148A">
        <w:rPr>
          <w:rFonts w:ascii="Times New Roman" w:hAnsi="Times New Roman" w:cs="Times New Roman"/>
          <w:sz w:val="24"/>
          <w:szCs w:val="24"/>
        </w:rPr>
        <w:t>Th</w:t>
      </w:r>
      <w:r w:rsidR="000F5D67" w:rsidRPr="0086148A">
        <w:rPr>
          <w:rFonts w:ascii="Times New Roman" w:hAnsi="Times New Roman" w:cs="Times New Roman"/>
          <w:sz w:val="24"/>
          <w:szCs w:val="24"/>
        </w:rPr>
        <w:t xml:space="preserve">e focus </w:t>
      </w:r>
      <w:r w:rsidR="00C04DA7" w:rsidRPr="0086148A">
        <w:rPr>
          <w:rFonts w:ascii="Times New Roman" w:hAnsi="Times New Roman" w:cs="Times New Roman"/>
          <w:sz w:val="24"/>
          <w:szCs w:val="24"/>
        </w:rPr>
        <w:t>was on</w:t>
      </w:r>
      <w:r w:rsidR="007F627A" w:rsidRPr="0086148A">
        <w:rPr>
          <w:rFonts w:ascii="Times New Roman" w:hAnsi="Times New Roman" w:cs="Times New Roman"/>
          <w:sz w:val="24"/>
          <w:szCs w:val="24"/>
        </w:rPr>
        <w:t xml:space="preserve"> criminal accountability,</w:t>
      </w:r>
      <w:r w:rsidR="007F627A" w:rsidRPr="0086148A">
        <w:rPr>
          <w:rStyle w:val="FootnoteReference"/>
          <w:rFonts w:ascii="Times New Roman" w:hAnsi="Times New Roman" w:cs="Times New Roman"/>
          <w:sz w:val="24"/>
          <w:szCs w:val="24"/>
        </w:rPr>
        <w:footnoteReference w:id="4"/>
      </w:r>
      <w:r w:rsidR="007F627A" w:rsidRPr="0086148A">
        <w:rPr>
          <w:rFonts w:ascii="Times New Roman" w:hAnsi="Times New Roman" w:cs="Times New Roman"/>
          <w:sz w:val="24"/>
          <w:szCs w:val="24"/>
        </w:rPr>
        <w:t xml:space="preserve"> </w:t>
      </w:r>
      <w:r w:rsidR="00F63F7B" w:rsidRPr="0086148A">
        <w:rPr>
          <w:rFonts w:ascii="Times New Roman" w:hAnsi="Times New Roman" w:cs="Times New Roman"/>
          <w:sz w:val="24"/>
          <w:szCs w:val="24"/>
        </w:rPr>
        <w:t>and more recent discourse about corporate accountability</w:t>
      </w:r>
      <w:r w:rsidR="00AE0589" w:rsidRPr="0086148A">
        <w:rPr>
          <w:rFonts w:ascii="Times New Roman" w:hAnsi="Times New Roman" w:cs="Times New Roman"/>
          <w:sz w:val="24"/>
          <w:szCs w:val="24"/>
        </w:rPr>
        <w:t>.</w:t>
      </w:r>
      <w:r w:rsidR="00F63F7B" w:rsidRPr="0086148A">
        <w:rPr>
          <w:rStyle w:val="FootnoteReference"/>
          <w:rFonts w:ascii="Times New Roman" w:hAnsi="Times New Roman" w:cs="Times New Roman"/>
          <w:sz w:val="24"/>
          <w:szCs w:val="24"/>
        </w:rPr>
        <w:footnoteReference w:id="5"/>
      </w:r>
      <w:r w:rsidR="00B46C6B" w:rsidRPr="0086148A">
        <w:rPr>
          <w:rFonts w:ascii="Times New Roman" w:hAnsi="Times New Roman" w:cs="Times New Roman"/>
          <w:sz w:val="24"/>
          <w:szCs w:val="24"/>
        </w:rPr>
        <w:t xml:space="preserve"> </w:t>
      </w:r>
      <w:r w:rsidR="00837ED9" w:rsidRPr="0086148A">
        <w:rPr>
          <w:rFonts w:ascii="Times New Roman" w:hAnsi="Times New Roman" w:cs="Times New Roman"/>
          <w:sz w:val="24"/>
          <w:szCs w:val="24"/>
        </w:rPr>
        <w:t>Th</w:t>
      </w:r>
      <w:r w:rsidR="00915382" w:rsidRPr="0086148A">
        <w:rPr>
          <w:rFonts w:ascii="Times New Roman" w:hAnsi="Times New Roman" w:cs="Times New Roman"/>
          <w:sz w:val="24"/>
          <w:szCs w:val="24"/>
        </w:rPr>
        <w:t>is understanding</w:t>
      </w:r>
      <w:r w:rsidR="00837ED9" w:rsidRPr="0086148A">
        <w:rPr>
          <w:rFonts w:ascii="Times New Roman" w:hAnsi="Times New Roman" w:cs="Times New Roman"/>
          <w:sz w:val="24"/>
          <w:szCs w:val="24"/>
        </w:rPr>
        <w:t xml:space="preserve"> of transitional justice, originally rooted in law, </w:t>
      </w:r>
      <w:r w:rsidR="00915382" w:rsidRPr="0086148A">
        <w:rPr>
          <w:rFonts w:ascii="Times New Roman" w:hAnsi="Times New Roman" w:cs="Times New Roman"/>
          <w:sz w:val="24"/>
          <w:szCs w:val="24"/>
        </w:rPr>
        <w:t xml:space="preserve">has expanded over time </w:t>
      </w:r>
      <w:r w:rsidR="005F50E7" w:rsidRPr="0086148A">
        <w:rPr>
          <w:rFonts w:ascii="Times New Roman" w:hAnsi="Times New Roman" w:cs="Times New Roman"/>
          <w:sz w:val="24"/>
          <w:szCs w:val="24"/>
        </w:rPr>
        <w:t xml:space="preserve">with calls </w:t>
      </w:r>
      <w:r w:rsidR="004D2CC8" w:rsidRPr="0086148A">
        <w:rPr>
          <w:rFonts w:ascii="Times New Roman" w:hAnsi="Times New Roman" w:cs="Times New Roman"/>
          <w:sz w:val="24"/>
          <w:szCs w:val="24"/>
        </w:rPr>
        <w:t>for</w:t>
      </w:r>
      <w:r w:rsidR="00EE0A16" w:rsidRPr="0086148A">
        <w:rPr>
          <w:rFonts w:ascii="Times New Roman" w:hAnsi="Times New Roman" w:cs="Times New Roman"/>
          <w:sz w:val="24"/>
          <w:szCs w:val="24"/>
        </w:rPr>
        <w:t xml:space="preserve"> a more interdisciplinary approach to transitional justice. </w:t>
      </w:r>
      <w:r w:rsidR="0061500E" w:rsidRPr="0086148A">
        <w:rPr>
          <w:rFonts w:ascii="Times New Roman" w:hAnsi="Times New Roman" w:cs="Times New Roman"/>
          <w:sz w:val="24"/>
          <w:szCs w:val="24"/>
        </w:rPr>
        <w:t xml:space="preserve">The breadth of </w:t>
      </w:r>
      <w:r w:rsidR="00837810" w:rsidRPr="0086148A">
        <w:rPr>
          <w:rFonts w:ascii="Times New Roman" w:hAnsi="Times New Roman" w:cs="Times New Roman"/>
          <w:sz w:val="24"/>
          <w:szCs w:val="24"/>
        </w:rPr>
        <w:t xml:space="preserve">the </w:t>
      </w:r>
      <w:r w:rsidR="0061500E" w:rsidRPr="0086148A">
        <w:rPr>
          <w:rFonts w:ascii="Times New Roman" w:hAnsi="Times New Roman" w:cs="Times New Roman"/>
          <w:sz w:val="24"/>
          <w:szCs w:val="24"/>
        </w:rPr>
        <w:t>discipli</w:t>
      </w:r>
      <w:r w:rsidR="00837810" w:rsidRPr="0086148A">
        <w:rPr>
          <w:rFonts w:ascii="Times New Roman" w:hAnsi="Times New Roman" w:cs="Times New Roman"/>
          <w:sz w:val="24"/>
          <w:szCs w:val="24"/>
        </w:rPr>
        <w:t xml:space="preserve">ne </w:t>
      </w:r>
      <w:r w:rsidR="00837810" w:rsidRPr="0086148A">
        <w:rPr>
          <w:rFonts w:ascii="Times New Roman" w:hAnsi="Times New Roman" w:cs="Times New Roman"/>
          <w:sz w:val="24"/>
          <w:szCs w:val="24"/>
        </w:rPr>
        <w:lastRenderedPageBreak/>
        <w:t xml:space="preserve">has expanded over time with increasing scholarship in law, </w:t>
      </w:r>
      <w:r w:rsidR="005269A9" w:rsidRPr="0086148A">
        <w:rPr>
          <w:rFonts w:ascii="Times New Roman" w:hAnsi="Times New Roman" w:cs="Times New Roman"/>
          <w:sz w:val="24"/>
          <w:szCs w:val="24"/>
        </w:rPr>
        <w:t>criminology, sociology, political science, development studies and international relations</w:t>
      </w:r>
      <w:r w:rsidR="00054487" w:rsidRPr="0086148A">
        <w:rPr>
          <w:rFonts w:ascii="Times New Roman" w:hAnsi="Times New Roman" w:cs="Times New Roman"/>
          <w:sz w:val="24"/>
          <w:szCs w:val="24"/>
        </w:rPr>
        <w:t>. Th</w:t>
      </w:r>
      <w:r w:rsidR="00206AC5" w:rsidRPr="0086148A">
        <w:rPr>
          <w:rFonts w:ascii="Times New Roman" w:hAnsi="Times New Roman" w:cs="Times New Roman"/>
          <w:sz w:val="24"/>
          <w:szCs w:val="24"/>
        </w:rPr>
        <w:t>is</w:t>
      </w:r>
      <w:r w:rsidR="00054487" w:rsidRPr="0086148A">
        <w:rPr>
          <w:rFonts w:ascii="Times New Roman" w:hAnsi="Times New Roman" w:cs="Times New Roman"/>
          <w:sz w:val="24"/>
          <w:szCs w:val="24"/>
        </w:rPr>
        <w:t xml:space="preserve"> expansion has</w:t>
      </w:r>
      <w:r w:rsidR="00E33EC9" w:rsidRPr="0086148A">
        <w:rPr>
          <w:rFonts w:ascii="Times New Roman" w:hAnsi="Times New Roman" w:cs="Times New Roman"/>
          <w:sz w:val="24"/>
          <w:szCs w:val="24"/>
        </w:rPr>
        <w:t xml:space="preserve"> enriched the discipline with</w:t>
      </w:r>
      <w:r w:rsidR="00054487" w:rsidRPr="0086148A">
        <w:rPr>
          <w:rFonts w:ascii="Times New Roman" w:hAnsi="Times New Roman" w:cs="Times New Roman"/>
          <w:sz w:val="24"/>
          <w:szCs w:val="24"/>
        </w:rPr>
        <w:t xml:space="preserve"> the </w:t>
      </w:r>
      <w:r w:rsidR="00C3297F" w:rsidRPr="0086148A">
        <w:rPr>
          <w:rFonts w:ascii="Times New Roman" w:hAnsi="Times New Roman" w:cs="Times New Roman"/>
          <w:sz w:val="24"/>
          <w:szCs w:val="24"/>
        </w:rPr>
        <w:t>introduction of</w:t>
      </w:r>
      <w:r w:rsidR="00190E8B" w:rsidRPr="0086148A">
        <w:rPr>
          <w:rFonts w:ascii="Times New Roman" w:hAnsi="Times New Roman" w:cs="Times New Roman"/>
          <w:sz w:val="24"/>
          <w:szCs w:val="24"/>
        </w:rPr>
        <w:t xml:space="preserve"> new </w:t>
      </w:r>
      <w:r w:rsidR="00B3121E" w:rsidRPr="0086148A">
        <w:rPr>
          <w:rFonts w:ascii="Times New Roman" w:hAnsi="Times New Roman" w:cs="Times New Roman"/>
          <w:sz w:val="24"/>
          <w:szCs w:val="24"/>
        </w:rPr>
        <w:t xml:space="preserve">theoretical and normative </w:t>
      </w:r>
      <w:r w:rsidR="00D852A5" w:rsidRPr="0086148A">
        <w:rPr>
          <w:rFonts w:ascii="Times New Roman" w:hAnsi="Times New Roman" w:cs="Times New Roman"/>
          <w:sz w:val="24"/>
          <w:szCs w:val="24"/>
        </w:rPr>
        <w:t xml:space="preserve">frameworks that </w:t>
      </w:r>
      <w:r w:rsidR="00D12B9F" w:rsidRPr="0086148A">
        <w:rPr>
          <w:rFonts w:ascii="Times New Roman" w:hAnsi="Times New Roman" w:cs="Times New Roman"/>
          <w:sz w:val="24"/>
          <w:szCs w:val="24"/>
        </w:rPr>
        <w:t xml:space="preserve">elucidate </w:t>
      </w:r>
      <w:r w:rsidR="00E828B4" w:rsidRPr="0086148A">
        <w:rPr>
          <w:rFonts w:ascii="Times New Roman" w:hAnsi="Times New Roman" w:cs="Times New Roman"/>
          <w:sz w:val="24"/>
          <w:szCs w:val="24"/>
        </w:rPr>
        <w:t xml:space="preserve">some of the complex </w:t>
      </w:r>
      <w:r w:rsidR="00F127DA" w:rsidRPr="0086148A">
        <w:rPr>
          <w:rFonts w:ascii="Times New Roman" w:hAnsi="Times New Roman" w:cs="Times New Roman"/>
          <w:sz w:val="24"/>
          <w:szCs w:val="24"/>
        </w:rPr>
        <w:t>dilemmas</w:t>
      </w:r>
      <w:r w:rsidR="00E828B4" w:rsidRPr="0086148A">
        <w:rPr>
          <w:rFonts w:ascii="Times New Roman" w:hAnsi="Times New Roman" w:cs="Times New Roman"/>
          <w:sz w:val="24"/>
          <w:szCs w:val="24"/>
        </w:rPr>
        <w:t xml:space="preserve"> </w:t>
      </w:r>
      <w:r w:rsidR="00F127DA" w:rsidRPr="0086148A">
        <w:rPr>
          <w:rFonts w:ascii="Times New Roman" w:hAnsi="Times New Roman" w:cs="Times New Roman"/>
          <w:sz w:val="24"/>
          <w:szCs w:val="24"/>
        </w:rPr>
        <w:t>in realising justice</w:t>
      </w:r>
      <w:r w:rsidR="00E014E2" w:rsidRPr="0086148A">
        <w:rPr>
          <w:rFonts w:ascii="Times New Roman" w:hAnsi="Times New Roman" w:cs="Times New Roman"/>
          <w:sz w:val="24"/>
          <w:szCs w:val="24"/>
        </w:rPr>
        <w:t xml:space="preserve">, truth, </w:t>
      </w:r>
      <w:r w:rsidR="00C727CE" w:rsidRPr="0086148A">
        <w:rPr>
          <w:rFonts w:ascii="Times New Roman" w:hAnsi="Times New Roman" w:cs="Times New Roman"/>
          <w:sz w:val="24"/>
          <w:szCs w:val="24"/>
        </w:rPr>
        <w:t>reparations</w:t>
      </w:r>
      <w:r w:rsidR="00F127DA" w:rsidRPr="0086148A">
        <w:rPr>
          <w:rFonts w:ascii="Times New Roman" w:hAnsi="Times New Roman" w:cs="Times New Roman"/>
          <w:sz w:val="24"/>
          <w:szCs w:val="24"/>
        </w:rPr>
        <w:t xml:space="preserve"> and other goals </w:t>
      </w:r>
      <w:r w:rsidR="00F439B3" w:rsidRPr="0086148A">
        <w:rPr>
          <w:rFonts w:ascii="Times New Roman" w:hAnsi="Times New Roman" w:cs="Times New Roman"/>
          <w:sz w:val="24"/>
          <w:szCs w:val="24"/>
        </w:rPr>
        <w:t>in societies transitioning from a period of large-scale past violations and abuses</w:t>
      </w:r>
      <w:r w:rsidR="00374746" w:rsidRPr="0086148A">
        <w:rPr>
          <w:rFonts w:ascii="Times New Roman" w:hAnsi="Times New Roman" w:cs="Times New Roman"/>
          <w:sz w:val="24"/>
          <w:szCs w:val="24"/>
        </w:rPr>
        <w:t>.</w:t>
      </w:r>
      <w:r w:rsidR="00A063CD" w:rsidRPr="0086148A">
        <w:rPr>
          <w:rFonts w:ascii="Times New Roman" w:hAnsi="Times New Roman" w:cs="Times New Roman"/>
          <w:sz w:val="24"/>
          <w:szCs w:val="24"/>
        </w:rPr>
        <w:t xml:space="preserve"> </w:t>
      </w:r>
      <w:r w:rsidR="00C419A8" w:rsidRPr="0086148A">
        <w:rPr>
          <w:rFonts w:ascii="Times New Roman" w:hAnsi="Times New Roman" w:cs="Times New Roman"/>
          <w:sz w:val="24"/>
          <w:szCs w:val="24"/>
        </w:rPr>
        <w:t>W</w:t>
      </w:r>
      <w:r w:rsidR="00796410" w:rsidRPr="0086148A">
        <w:rPr>
          <w:rFonts w:ascii="Times New Roman" w:hAnsi="Times New Roman" w:cs="Times New Roman"/>
          <w:sz w:val="24"/>
          <w:szCs w:val="24"/>
        </w:rPr>
        <w:t>hile the different disciplines may have different definitions of ‘transitional justice’</w:t>
      </w:r>
      <w:r w:rsidR="00501C17" w:rsidRPr="0086148A">
        <w:rPr>
          <w:rFonts w:ascii="Times New Roman" w:hAnsi="Times New Roman" w:cs="Times New Roman"/>
          <w:sz w:val="24"/>
          <w:szCs w:val="24"/>
        </w:rPr>
        <w:t xml:space="preserve">, it is generally accepted by human rights scholars that </w:t>
      </w:r>
      <w:r w:rsidR="007E3185" w:rsidRPr="0086148A">
        <w:rPr>
          <w:rFonts w:ascii="Times New Roman" w:hAnsi="Times New Roman" w:cs="Times New Roman"/>
          <w:sz w:val="24"/>
          <w:szCs w:val="24"/>
        </w:rPr>
        <w:t>t</w:t>
      </w:r>
      <w:r w:rsidR="00501C17" w:rsidRPr="0086148A">
        <w:rPr>
          <w:rFonts w:ascii="Times New Roman" w:hAnsi="Times New Roman" w:cs="Times New Roman"/>
          <w:sz w:val="24"/>
          <w:szCs w:val="24"/>
        </w:rPr>
        <w:t xml:space="preserve">ransitional </w:t>
      </w:r>
      <w:r w:rsidR="007E3185" w:rsidRPr="0086148A">
        <w:rPr>
          <w:rFonts w:ascii="Times New Roman" w:hAnsi="Times New Roman" w:cs="Times New Roman"/>
          <w:sz w:val="24"/>
          <w:szCs w:val="24"/>
        </w:rPr>
        <w:t>j</w:t>
      </w:r>
      <w:r w:rsidR="00501C17" w:rsidRPr="0086148A">
        <w:rPr>
          <w:rFonts w:ascii="Times New Roman" w:hAnsi="Times New Roman" w:cs="Times New Roman"/>
          <w:sz w:val="24"/>
          <w:szCs w:val="24"/>
        </w:rPr>
        <w:t xml:space="preserve">ustice </w:t>
      </w:r>
      <w:r w:rsidR="00FD35AF" w:rsidRPr="0086148A">
        <w:rPr>
          <w:rFonts w:ascii="Times New Roman" w:hAnsi="Times New Roman" w:cs="Times New Roman"/>
          <w:sz w:val="24"/>
          <w:szCs w:val="24"/>
        </w:rPr>
        <w:t xml:space="preserve">refers to the </w:t>
      </w:r>
      <w:r w:rsidR="00501C17" w:rsidRPr="0086148A">
        <w:rPr>
          <w:rFonts w:ascii="Times New Roman" w:hAnsi="Times New Roman" w:cs="Times New Roman"/>
          <w:sz w:val="24"/>
          <w:szCs w:val="24"/>
        </w:rPr>
        <w:t>‘</w:t>
      </w:r>
      <w:r w:rsidR="00FD35AF" w:rsidRPr="0086148A">
        <w:rPr>
          <w:rFonts w:ascii="Times New Roman" w:hAnsi="Times New Roman" w:cs="Times New Roman"/>
          <w:sz w:val="24"/>
          <w:szCs w:val="24"/>
        </w:rPr>
        <w:t>set of practices, mechanisms and</w:t>
      </w:r>
      <w:r w:rsidR="005B135D" w:rsidRPr="0086148A">
        <w:rPr>
          <w:rFonts w:ascii="Times New Roman" w:hAnsi="Times New Roman" w:cs="Times New Roman"/>
          <w:sz w:val="24"/>
          <w:szCs w:val="24"/>
        </w:rPr>
        <w:t xml:space="preserve"> </w:t>
      </w:r>
      <w:r w:rsidR="00FD35AF" w:rsidRPr="0086148A">
        <w:rPr>
          <w:rFonts w:ascii="Times New Roman" w:hAnsi="Times New Roman" w:cs="Times New Roman"/>
          <w:sz w:val="24"/>
          <w:szCs w:val="24"/>
        </w:rPr>
        <w:t>concerns that arise following a period of conflict,</w:t>
      </w:r>
      <w:r w:rsidR="005B135D" w:rsidRPr="0086148A">
        <w:rPr>
          <w:rFonts w:ascii="Times New Roman" w:hAnsi="Times New Roman" w:cs="Times New Roman"/>
          <w:sz w:val="24"/>
          <w:szCs w:val="24"/>
        </w:rPr>
        <w:t xml:space="preserve"> </w:t>
      </w:r>
      <w:r w:rsidR="00FD35AF" w:rsidRPr="0086148A">
        <w:rPr>
          <w:rFonts w:ascii="Times New Roman" w:hAnsi="Times New Roman" w:cs="Times New Roman"/>
          <w:sz w:val="24"/>
          <w:szCs w:val="24"/>
        </w:rPr>
        <w:t>civil strife or repression, and that are aimed directly at</w:t>
      </w:r>
      <w:r w:rsidR="005B135D" w:rsidRPr="0086148A">
        <w:rPr>
          <w:rFonts w:ascii="Times New Roman" w:hAnsi="Times New Roman" w:cs="Times New Roman"/>
          <w:sz w:val="24"/>
          <w:szCs w:val="24"/>
        </w:rPr>
        <w:t xml:space="preserve"> </w:t>
      </w:r>
      <w:r w:rsidR="00FD35AF" w:rsidRPr="0086148A">
        <w:rPr>
          <w:rFonts w:ascii="Times New Roman" w:hAnsi="Times New Roman" w:cs="Times New Roman"/>
          <w:sz w:val="24"/>
          <w:szCs w:val="24"/>
        </w:rPr>
        <w:t>confronting and dealing with past violations of human</w:t>
      </w:r>
      <w:r w:rsidR="005B135D" w:rsidRPr="0086148A">
        <w:rPr>
          <w:rFonts w:ascii="Times New Roman" w:hAnsi="Times New Roman" w:cs="Times New Roman"/>
          <w:sz w:val="24"/>
          <w:szCs w:val="24"/>
        </w:rPr>
        <w:t xml:space="preserve"> </w:t>
      </w:r>
      <w:r w:rsidR="00FD35AF" w:rsidRPr="0086148A">
        <w:rPr>
          <w:rFonts w:ascii="Times New Roman" w:hAnsi="Times New Roman" w:cs="Times New Roman"/>
          <w:sz w:val="24"/>
          <w:szCs w:val="24"/>
        </w:rPr>
        <w:t>rights and humanitarian law</w:t>
      </w:r>
      <w:r w:rsidR="005B135D" w:rsidRPr="0086148A">
        <w:rPr>
          <w:rFonts w:ascii="Times New Roman" w:hAnsi="Times New Roman" w:cs="Times New Roman"/>
          <w:sz w:val="24"/>
          <w:szCs w:val="24"/>
        </w:rPr>
        <w:t>.’</w:t>
      </w:r>
      <w:r w:rsidR="005B135D" w:rsidRPr="0086148A">
        <w:rPr>
          <w:rStyle w:val="FootnoteReference"/>
          <w:rFonts w:ascii="Times New Roman" w:hAnsi="Times New Roman" w:cs="Times New Roman"/>
          <w:sz w:val="24"/>
          <w:szCs w:val="24"/>
        </w:rPr>
        <w:footnoteReference w:id="6"/>
      </w:r>
      <w:r w:rsidR="005B135D" w:rsidRPr="0086148A">
        <w:rPr>
          <w:rFonts w:ascii="Times New Roman" w:hAnsi="Times New Roman" w:cs="Times New Roman"/>
          <w:sz w:val="24"/>
          <w:szCs w:val="24"/>
        </w:rPr>
        <w:t xml:space="preserve"> </w:t>
      </w:r>
      <w:r w:rsidR="0008623A" w:rsidRPr="0086148A">
        <w:rPr>
          <w:rFonts w:ascii="Times New Roman" w:hAnsi="Times New Roman" w:cs="Times New Roman"/>
          <w:sz w:val="24"/>
          <w:szCs w:val="24"/>
        </w:rPr>
        <w:t>This view of ‘transitional justice’</w:t>
      </w:r>
      <w:r w:rsidR="00AD582F" w:rsidRPr="0086148A">
        <w:rPr>
          <w:rFonts w:ascii="Times New Roman" w:hAnsi="Times New Roman" w:cs="Times New Roman"/>
          <w:sz w:val="24"/>
          <w:szCs w:val="24"/>
        </w:rPr>
        <w:t xml:space="preserve"> as a set of ‘mechanisms’ or ‘process</w:t>
      </w:r>
      <w:r w:rsidR="00E46774" w:rsidRPr="0086148A">
        <w:rPr>
          <w:rFonts w:ascii="Times New Roman" w:hAnsi="Times New Roman" w:cs="Times New Roman"/>
          <w:sz w:val="24"/>
          <w:szCs w:val="24"/>
        </w:rPr>
        <w:t>es’ is shared by the UN which defines transitional justice as ‘the full range of processes and mechanisms associated with a society’s attempt to come to terms with a legacy of large-scale past violations and abuses to ensure accountability, serve just</w:t>
      </w:r>
      <w:r w:rsidR="006A1407" w:rsidRPr="0086148A">
        <w:rPr>
          <w:rFonts w:ascii="Times New Roman" w:hAnsi="Times New Roman" w:cs="Times New Roman"/>
          <w:sz w:val="24"/>
          <w:szCs w:val="24"/>
        </w:rPr>
        <w:t>ice, and achieve reconciliation</w:t>
      </w:r>
      <w:r w:rsidR="0014170E" w:rsidRPr="0086148A">
        <w:rPr>
          <w:rFonts w:ascii="Times New Roman" w:hAnsi="Times New Roman" w:cs="Times New Roman"/>
          <w:sz w:val="24"/>
          <w:szCs w:val="24"/>
        </w:rPr>
        <w:t>.</w:t>
      </w:r>
      <w:r w:rsidR="006A1407" w:rsidRPr="0086148A">
        <w:rPr>
          <w:rFonts w:ascii="Times New Roman" w:hAnsi="Times New Roman" w:cs="Times New Roman"/>
          <w:sz w:val="24"/>
          <w:szCs w:val="24"/>
        </w:rPr>
        <w:t>’</w:t>
      </w:r>
      <w:r w:rsidR="006A1407" w:rsidRPr="0086148A">
        <w:rPr>
          <w:rStyle w:val="FootnoteReference"/>
          <w:rFonts w:ascii="Times New Roman" w:hAnsi="Times New Roman" w:cs="Times New Roman"/>
          <w:sz w:val="24"/>
          <w:szCs w:val="24"/>
        </w:rPr>
        <w:footnoteReference w:id="7"/>
      </w:r>
      <w:r w:rsidR="0061264A" w:rsidRPr="0086148A">
        <w:rPr>
          <w:rFonts w:ascii="Times New Roman" w:hAnsi="Times New Roman" w:cs="Times New Roman"/>
          <w:sz w:val="24"/>
          <w:szCs w:val="24"/>
        </w:rPr>
        <w:t xml:space="preserve"> </w:t>
      </w:r>
      <w:r w:rsidR="00CD7766" w:rsidRPr="0086148A">
        <w:rPr>
          <w:rFonts w:ascii="Times New Roman" w:hAnsi="Times New Roman" w:cs="Times New Roman"/>
          <w:sz w:val="24"/>
          <w:szCs w:val="24"/>
        </w:rPr>
        <w:t>These processes include prosecutions, truth-seeking, institutional reform</w:t>
      </w:r>
      <w:r w:rsidR="003735FE" w:rsidRPr="0086148A">
        <w:rPr>
          <w:rFonts w:ascii="Times New Roman" w:hAnsi="Times New Roman" w:cs="Times New Roman"/>
          <w:sz w:val="24"/>
          <w:szCs w:val="24"/>
        </w:rPr>
        <w:t xml:space="preserve">, </w:t>
      </w:r>
      <w:r w:rsidR="00F750D7" w:rsidRPr="0086148A">
        <w:rPr>
          <w:rFonts w:ascii="Times New Roman" w:hAnsi="Times New Roman" w:cs="Times New Roman"/>
          <w:sz w:val="24"/>
          <w:szCs w:val="24"/>
        </w:rPr>
        <w:t xml:space="preserve">and </w:t>
      </w:r>
      <w:r w:rsidR="003735FE" w:rsidRPr="0086148A">
        <w:rPr>
          <w:rFonts w:ascii="Times New Roman" w:hAnsi="Times New Roman" w:cs="Times New Roman"/>
          <w:sz w:val="24"/>
          <w:szCs w:val="24"/>
        </w:rPr>
        <w:t>memorialization</w:t>
      </w:r>
      <w:r w:rsidR="00F750D7" w:rsidRPr="0086148A">
        <w:rPr>
          <w:rFonts w:ascii="Times New Roman" w:hAnsi="Times New Roman" w:cs="Times New Roman"/>
          <w:sz w:val="24"/>
          <w:szCs w:val="24"/>
        </w:rPr>
        <w:t>. They</w:t>
      </w:r>
      <w:r w:rsidR="003528ED" w:rsidRPr="0086148A">
        <w:rPr>
          <w:rFonts w:ascii="Times New Roman" w:hAnsi="Times New Roman" w:cs="Times New Roman"/>
          <w:sz w:val="24"/>
          <w:szCs w:val="24"/>
        </w:rPr>
        <w:t xml:space="preserve"> are</w:t>
      </w:r>
      <w:r w:rsidR="00E0145E" w:rsidRPr="0086148A">
        <w:rPr>
          <w:rFonts w:ascii="Times New Roman" w:hAnsi="Times New Roman" w:cs="Times New Roman"/>
          <w:sz w:val="24"/>
          <w:szCs w:val="24"/>
        </w:rPr>
        <w:t xml:space="preserve"> </w:t>
      </w:r>
      <w:r w:rsidR="00AF3493" w:rsidRPr="0086148A">
        <w:rPr>
          <w:rFonts w:ascii="Times New Roman" w:hAnsi="Times New Roman" w:cs="Times New Roman"/>
          <w:sz w:val="24"/>
          <w:szCs w:val="24"/>
        </w:rPr>
        <w:t xml:space="preserve">implemented with the goal of providing victims with justice, establishing the truth, </w:t>
      </w:r>
      <w:r w:rsidR="00CC27EC" w:rsidRPr="0086148A">
        <w:rPr>
          <w:rFonts w:ascii="Times New Roman" w:hAnsi="Times New Roman" w:cs="Times New Roman"/>
          <w:sz w:val="24"/>
          <w:szCs w:val="24"/>
        </w:rPr>
        <w:t xml:space="preserve">provide reparations, guarantee non-recurrence of the atrocities, and achieve sustainable peace and reconciliation. </w:t>
      </w:r>
      <w:r w:rsidR="006B2CCB" w:rsidRPr="0086148A">
        <w:rPr>
          <w:rFonts w:ascii="Times New Roman" w:hAnsi="Times New Roman" w:cs="Times New Roman"/>
          <w:sz w:val="24"/>
          <w:szCs w:val="24"/>
        </w:rPr>
        <w:t xml:space="preserve">The extent to which these goals are feasible or achievable in different post-conflict societies </w:t>
      </w:r>
      <w:r w:rsidR="00560748" w:rsidRPr="0086148A">
        <w:rPr>
          <w:rFonts w:ascii="Times New Roman" w:hAnsi="Times New Roman" w:cs="Times New Roman"/>
          <w:sz w:val="24"/>
          <w:szCs w:val="24"/>
        </w:rPr>
        <w:t>has been the subject of much academic discourse.</w:t>
      </w:r>
      <w:r w:rsidR="00DF057D" w:rsidRPr="0086148A">
        <w:rPr>
          <w:rStyle w:val="FootnoteReference"/>
          <w:rFonts w:ascii="Times New Roman" w:hAnsi="Times New Roman" w:cs="Times New Roman"/>
          <w:sz w:val="24"/>
          <w:szCs w:val="24"/>
        </w:rPr>
        <w:footnoteReference w:id="8"/>
      </w:r>
      <w:r w:rsidR="00DF057D" w:rsidRPr="0086148A">
        <w:rPr>
          <w:rFonts w:ascii="Times New Roman" w:hAnsi="Times New Roman" w:cs="Times New Roman"/>
          <w:sz w:val="24"/>
          <w:szCs w:val="24"/>
        </w:rPr>
        <w:t xml:space="preserve"> However</w:t>
      </w:r>
      <w:r w:rsidR="00002B71" w:rsidRPr="0086148A">
        <w:rPr>
          <w:rFonts w:ascii="Times New Roman" w:hAnsi="Times New Roman" w:cs="Times New Roman"/>
          <w:sz w:val="24"/>
          <w:szCs w:val="24"/>
        </w:rPr>
        <w:t xml:space="preserve">, central to the goals of transitional justice is addressing human rights </w:t>
      </w:r>
      <w:r w:rsidR="00D44665" w:rsidRPr="0086148A">
        <w:rPr>
          <w:rFonts w:ascii="Times New Roman" w:hAnsi="Times New Roman" w:cs="Times New Roman"/>
          <w:sz w:val="24"/>
          <w:szCs w:val="24"/>
        </w:rPr>
        <w:t>violations that</w:t>
      </w:r>
      <w:r w:rsidR="00002B71" w:rsidRPr="0086148A">
        <w:rPr>
          <w:rFonts w:ascii="Times New Roman" w:hAnsi="Times New Roman" w:cs="Times New Roman"/>
          <w:sz w:val="24"/>
          <w:szCs w:val="24"/>
        </w:rPr>
        <w:t xml:space="preserve"> took place during the conflict.</w:t>
      </w:r>
      <w:r w:rsidR="003474F5" w:rsidRPr="0086148A">
        <w:rPr>
          <w:rFonts w:ascii="Times New Roman" w:hAnsi="Times New Roman" w:cs="Times New Roman"/>
          <w:sz w:val="24"/>
          <w:szCs w:val="24"/>
        </w:rPr>
        <w:t xml:space="preserve"> </w:t>
      </w:r>
    </w:p>
    <w:p w14:paraId="01B992B3" w14:textId="260BD4ED" w:rsidR="006A43EB" w:rsidRPr="0086148A" w:rsidRDefault="002A7B54"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Transitional justice </w:t>
      </w:r>
      <w:r w:rsidR="00D543AD" w:rsidRPr="0086148A">
        <w:rPr>
          <w:rFonts w:ascii="Times New Roman" w:hAnsi="Times New Roman" w:cs="Times New Roman"/>
          <w:sz w:val="24"/>
          <w:szCs w:val="24"/>
        </w:rPr>
        <w:t xml:space="preserve">is both backward looking (uncovering the root causes of human rights </w:t>
      </w:r>
      <w:r w:rsidR="00B37E99" w:rsidRPr="0086148A">
        <w:rPr>
          <w:rFonts w:ascii="Times New Roman" w:hAnsi="Times New Roman" w:cs="Times New Roman"/>
          <w:sz w:val="24"/>
          <w:szCs w:val="24"/>
        </w:rPr>
        <w:t xml:space="preserve">violations and providing redress for victims) and forward looking by </w:t>
      </w:r>
      <w:r w:rsidRPr="0086148A">
        <w:rPr>
          <w:rFonts w:ascii="Times New Roman" w:hAnsi="Times New Roman" w:cs="Times New Roman"/>
          <w:sz w:val="24"/>
          <w:szCs w:val="24"/>
        </w:rPr>
        <w:t>contribut</w:t>
      </w:r>
      <w:r w:rsidR="00B37E99" w:rsidRPr="0086148A">
        <w:rPr>
          <w:rFonts w:ascii="Times New Roman" w:hAnsi="Times New Roman" w:cs="Times New Roman"/>
          <w:sz w:val="24"/>
          <w:szCs w:val="24"/>
        </w:rPr>
        <w:t>ing</w:t>
      </w:r>
      <w:r w:rsidRPr="0086148A">
        <w:rPr>
          <w:rFonts w:ascii="Times New Roman" w:hAnsi="Times New Roman" w:cs="Times New Roman"/>
          <w:sz w:val="24"/>
          <w:szCs w:val="24"/>
        </w:rPr>
        <w:t xml:space="preserve"> to creating the conditions under which human rights can be promoted</w:t>
      </w:r>
      <w:r w:rsidR="00C13F82" w:rsidRPr="0086148A">
        <w:rPr>
          <w:rFonts w:ascii="Times New Roman" w:hAnsi="Times New Roman" w:cs="Times New Roman"/>
          <w:sz w:val="24"/>
          <w:szCs w:val="24"/>
        </w:rPr>
        <w:t xml:space="preserve"> and </w:t>
      </w:r>
      <w:r w:rsidRPr="0086148A">
        <w:rPr>
          <w:rFonts w:ascii="Times New Roman" w:hAnsi="Times New Roman" w:cs="Times New Roman"/>
          <w:sz w:val="24"/>
          <w:szCs w:val="24"/>
        </w:rPr>
        <w:t xml:space="preserve">protected. </w:t>
      </w:r>
      <w:r w:rsidR="003474F5" w:rsidRPr="0086148A">
        <w:rPr>
          <w:rFonts w:ascii="Times New Roman" w:hAnsi="Times New Roman" w:cs="Times New Roman"/>
          <w:sz w:val="24"/>
          <w:szCs w:val="24"/>
        </w:rPr>
        <w:t xml:space="preserve">Evidence from the scholarly literature indicate that transitional justice </w:t>
      </w:r>
      <w:r w:rsidR="004D6287" w:rsidRPr="0086148A">
        <w:rPr>
          <w:rFonts w:ascii="Times New Roman" w:hAnsi="Times New Roman" w:cs="Times New Roman"/>
          <w:sz w:val="24"/>
          <w:szCs w:val="24"/>
        </w:rPr>
        <w:t xml:space="preserve">mechanisms contribute to improved human rights protection at the </w:t>
      </w:r>
      <w:r w:rsidR="00E24078" w:rsidRPr="0086148A">
        <w:rPr>
          <w:rFonts w:ascii="Times New Roman" w:hAnsi="Times New Roman" w:cs="Times New Roman"/>
          <w:sz w:val="24"/>
          <w:szCs w:val="24"/>
        </w:rPr>
        <w:t xml:space="preserve">domestic </w:t>
      </w:r>
      <w:r w:rsidR="00F279B8" w:rsidRPr="0086148A">
        <w:rPr>
          <w:rFonts w:ascii="Times New Roman" w:hAnsi="Times New Roman" w:cs="Times New Roman"/>
          <w:sz w:val="24"/>
          <w:szCs w:val="24"/>
        </w:rPr>
        <w:t xml:space="preserve">level </w:t>
      </w:r>
      <w:r w:rsidR="00904E8A" w:rsidRPr="0086148A">
        <w:rPr>
          <w:rFonts w:ascii="Times New Roman" w:hAnsi="Times New Roman" w:cs="Times New Roman"/>
          <w:sz w:val="24"/>
          <w:szCs w:val="24"/>
        </w:rPr>
        <w:t>and</w:t>
      </w:r>
      <w:r w:rsidR="00E02E61" w:rsidRPr="0086148A">
        <w:rPr>
          <w:rFonts w:ascii="Times New Roman" w:hAnsi="Times New Roman" w:cs="Times New Roman"/>
          <w:sz w:val="24"/>
          <w:szCs w:val="24"/>
        </w:rPr>
        <w:t xml:space="preserve"> the prevention of violations of human rights. </w:t>
      </w:r>
      <w:r w:rsidR="009A4BCE" w:rsidRPr="0086148A">
        <w:rPr>
          <w:rFonts w:ascii="Times New Roman" w:hAnsi="Times New Roman" w:cs="Times New Roman"/>
          <w:sz w:val="24"/>
          <w:szCs w:val="24"/>
        </w:rPr>
        <w:t>Tricia Olsen, Leigh Payne and Andrew Reiter find that a combination of transitional justice mechanisms positively improves human rights.</w:t>
      </w:r>
      <w:r w:rsidR="00597C44" w:rsidRPr="0086148A">
        <w:rPr>
          <w:rStyle w:val="FootnoteReference"/>
          <w:rFonts w:ascii="Times New Roman" w:hAnsi="Times New Roman" w:cs="Times New Roman"/>
          <w:sz w:val="24"/>
          <w:szCs w:val="24"/>
        </w:rPr>
        <w:footnoteReference w:id="9"/>
      </w:r>
      <w:r w:rsidR="006A2C8B" w:rsidRPr="0086148A">
        <w:rPr>
          <w:rFonts w:ascii="Times New Roman" w:hAnsi="Times New Roman" w:cs="Times New Roman"/>
          <w:sz w:val="24"/>
          <w:szCs w:val="24"/>
        </w:rPr>
        <w:t xml:space="preserve"> The international Centre for Transitional Justice found that transi</w:t>
      </w:r>
      <w:r w:rsidR="0032449B" w:rsidRPr="0086148A">
        <w:rPr>
          <w:rFonts w:ascii="Times New Roman" w:hAnsi="Times New Roman" w:cs="Times New Roman"/>
          <w:sz w:val="24"/>
          <w:szCs w:val="24"/>
        </w:rPr>
        <w:t>tional justice measures undertak</w:t>
      </w:r>
      <w:r w:rsidR="00A12961" w:rsidRPr="0086148A">
        <w:rPr>
          <w:rFonts w:ascii="Times New Roman" w:hAnsi="Times New Roman" w:cs="Times New Roman"/>
          <w:sz w:val="24"/>
          <w:szCs w:val="24"/>
        </w:rPr>
        <w:t>en</w:t>
      </w:r>
      <w:r w:rsidR="0032449B" w:rsidRPr="0086148A">
        <w:rPr>
          <w:rFonts w:ascii="Times New Roman" w:hAnsi="Times New Roman" w:cs="Times New Roman"/>
          <w:sz w:val="24"/>
          <w:szCs w:val="24"/>
        </w:rPr>
        <w:t xml:space="preserve"> in Colombia, Morocco, Peru, the Philippines, and Sierra Leone, contributed to</w:t>
      </w:r>
      <w:r w:rsidR="00213765" w:rsidRPr="0086148A">
        <w:rPr>
          <w:rFonts w:ascii="Times New Roman" w:hAnsi="Times New Roman" w:cs="Times New Roman"/>
          <w:sz w:val="24"/>
          <w:szCs w:val="24"/>
        </w:rPr>
        <w:t xml:space="preserve"> prevention human rights violations in </w:t>
      </w:r>
      <w:r w:rsidR="00FB6257" w:rsidRPr="0086148A">
        <w:rPr>
          <w:rFonts w:ascii="Times New Roman" w:hAnsi="Times New Roman" w:cs="Times New Roman"/>
          <w:sz w:val="24"/>
          <w:szCs w:val="24"/>
        </w:rPr>
        <w:t>each of these states.</w:t>
      </w:r>
      <w:r w:rsidR="007E68B1" w:rsidRPr="0086148A">
        <w:rPr>
          <w:rStyle w:val="FootnoteReference"/>
          <w:rFonts w:ascii="Times New Roman" w:hAnsi="Times New Roman" w:cs="Times New Roman"/>
          <w:sz w:val="24"/>
          <w:szCs w:val="24"/>
        </w:rPr>
        <w:footnoteReference w:id="10"/>
      </w:r>
      <w:r w:rsidR="009A4BCE" w:rsidRPr="0086148A">
        <w:rPr>
          <w:rFonts w:ascii="Times New Roman" w:hAnsi="Times New Roman" w:cs="Times New Roman"/>
          <w:sz w:val="24"/>
          <w:szCs w:val="24"/>
        </w:rPr>
        <w:t xml:space="preserve"> </w:t>
      </w:r>
      <w:r w:rsidR="00A749F9" w:rsidRPr="0086148A">
        <w:rPr>
          <w:rFonts w:ascii="Times New Roman" w:hAnsi="Times New Roman" w:cs="Times New Roman"/>
          <w:sz w:val="24"/>
          <w:szCs w:val="24"/>
        </w:rPr>
        <w:t xml:space="preserve">They </w:t>
      </w:r>
      <w:r w:rsidR="00FE6C81" w:rsidRPr="0086148A">
        <w:rPr>
          <w:rFonts w:ascii="Times New Roman" w:hAnsi="Times New Roman" w:cs="Times New Roman"/>
          <w:sz w:val="24"/>
          <w:szCs w:val="24"/>
        </w:rPr>
        <w:t>contend</w:t>
      </w:r>
      <w:r w:rsidR="00A749F9" w:rsidRPr="0086148A">
        <w:rPr>
          <w:rFonts w:ascii="Times New Roman" w:hAnsi="Times New Roman" w:cs="Times New Roman"/>
          <w:sz w:val="24"/>
          <w:szCs w:val="24"/>
        </w:rPr>
        <w:t xml:space="preserve"> that transitional justice is statistically correlated with </w:t>
      </w:r>
      <w:r w:rsidR="001961F3" w:rsidRPr="0086148A">
        <w:rPr>
          <w:rFonts w:ascii="Times New Roman" w:hAnsi="Times New Roman" w:cs="Times New Roman"/>
          <w:sz w:val="24"/>
          <w:szCs w:val="24"/>
        </w:rPr>
        <w:t xml:space="preserve">fewer human </w:t>
      </w:r>
      <w:r w:rsidR="001961F3" w:rsidRPr="0086148A">
        <w:rPr>
          <w:rFonts w:ascii="Times New Roman" w:hAnsi="Times New Roman" w:cs="Times New Roman"/>
          <w:sz w:val="24"/>
          <w:szCs w:val="24"/>
        </w:rPr>
        <w:lastRenderedPageBreak/>
        <w:t>rights violations and less recurrence of armed conflict.</w:t>
      </w:r>
      <w:r w:rsidR="002A7021" w:rsidRPr="0086148A">
        <w:rPr>
          <w:rStyle w:val="FootnoteReference"/>
          <w:rFonts w:ascii="Times New Roman" w:hAnsi="Times New Roman" w:cs="Times New Roman"/>
          <w:sz w:val="24"/>
          <w:szCs w:val="24"/>
        </w:rPr>
        <w:footnoteReference w:id="11"/>
      </w:r>
      <w:r w:rsidR="001961F3" w:rsidRPr="0086148A">
        <w:rPr>
          <w:rFonts w:ascii="Times New Roman" w:hAnsi="Times New Roman" w:cs="Times New Roman"/>
          <w:sz w:val="24"/>
          <w:szCs w:val="24"/>
        </w:rPr>
        <w:t xml:space="preserve"> </w:t>
      </w:r>
      <w:r w:rsidR="006C7738" w:rsidRPr="0086148A">
        <w:rPr>
          <w:rFonts w:ascii="Times New Roman" w:hAnsi="Times New Roman" w:cs="Times New Roman"/>
          <w:sz w:val="24"/>
          <w:szCs w:val="24"/>
        </w:rPr>
        <w:t>Transitional justice is therefore rooted in international human rights law</w:t>
      </w:r>
      <w:r w:rsidR="009A2C99" w:rsidRPr="0086148A">
        <w:rPr>
          <w:rFonts w:ascii="Times New Roman" w:hAnsi="Times New Roman" w:cs="Times New Roman"/>
          <w:sz w:val="24"/>
          <w:szCs w:val="24"/>
        </w:rPr>
        <w:t xml:space="preserve"> </w:t>
      </w:r>
      <w:r w:rsidR="003156DA" w:rsidRPr="0086148A">
        <w:rPr>
          <w:rFonts w:ascii="Times New Roman" w:hAnsi="Times New Roman" w:cs="Times New Roman"/>
          <w:sz w:val="24"/>
          <w:szCs w:val="24"/>
        </w:rPr>
        <w:t>and can be mutually reinforcing</w:t>
      </w:r>
      <w:r w:rsidR="00357705" w:rsidRPr="0086148A">
        <w:rPr>
          <w:rFonts w:ascii="Times New Roman" w:hAnsi="Times New Roman" w:cs="Times New Roman"/>
          <w:sz w:val="24"/>
          <w:szCs w:val="24"/>
        </w:rPr>
        <w:t>, but</w:t>
      </w:r>
      <w:r w:rsidR="00490BDC" w:rsidRPr="0086148A">
        <w:rPr>
          <w:rFonts w:ascii="Times New Roman" w:hAnsi="Times New Roman" w:cs="Times New Roman"/>
          <w:sz w:val="24"/>
          <w:szCs w:val="24"/>
        </w:rPr>
        <w:t xml:space="preserve"> t</w:t>
      </w:r>
      <w:r w:rsidR="00407ACB" w:rsidRPr="0086148A">
        <w:rPr>
          <w:rFonts w:ascii="Times New Roman" w:hAnsi="Times New Roman" w:cs="Times New Roman"/>
          <w:sz w:val="24"/>
          <w:szCs w:val="24"/>
        </w:rPr>
        <w:t xml:space="preserve">he extent to which </w:t>
      </w:r>
      <w:r w:rsidR="0017497E" w:rsidRPr="0086148A">
        <w:rPr>
          <w:rFonts w:ascii="Times New Roman" w:hAnsi="Times New Roman" w:cs="Times New Roman"/>
          <w:sz w:val="24"/>
          <w:szCs w:val="24"/>
        </w:rPr>
        <w:t>transitional justice</w:t>
      </w:r>
      <w:r w:rsidR="00096F02" w:rsidRPr="0086148A">
        <w:rPr>
          <w:rFonts w:ascii="Times New Roman" w:hAnsi="Times New Roman" w:cs="Times New Roman"/>
          <w:sz w:val="24"/>
          <w:szCs w:val="24"/>
        </w:rPr>
        <w:t xml:space="preserve"> </w:t>
      </w:r>
      <w:r w:rsidR="0001561A" w:rsidRPr="0086148A">
        <w:rPr>
          <w:rFonts w:ascii="Times New Roman" w:hAnsi="Times New Roman" w:cs="Times New Roman"/>
          <w:sz w:val="24"/>
          <w:szCs w:val="24"/>
        </w:rPr>
        <w:t xml:space="preserve">measures have been the object of UPR recommendations </w:t>
      </w:r>
      <w:r w:rsidR="00096F02" w:rsidRPr="0086148A">
        <w:rPr>
          <w:rFonts w:ascii="Times New Roman" w:hAnsi="Times New Roman" w:cs="Times New Roman"/>
          <w:sz w:val="24"/>
          <w:szCs w:val="24"/>
        </w:rPr>
        <w:t xml:space="preserve">has not yet been </w:t>
      </w:r>
      <w:r w:rsidR="00062875" w:rsidRPr="0086148A">
        <w:rPr>
          <w:rFonts w:ascii="Times New Roman" w:hAnsi="Times New Roman" w:cs="Times New Roman"/>
          <w:sz w:val="24"/>
          <w:szCs w:val="24"/>
        </w:rPr>
        <w:t>examined</w:t>
      </w:r>
      <w:r w:rsidR="00353FF6" w:rsidRPr="0086148A">
        <w:rPr>
          <w:rFonts w:ascii="Times New Roman" w:hAnsi="Times New Roman" w:cs="Times New Roman"/>
          <w:sz w:val="24"/>
          <w:szCs w:val="24"/>
        </w:rPr>
        <w:t>.</w:t>
      </w:r>
      <w:r w:rsidR="005948DB" w:rsidRPr="0086148A">
        <w:rPr>
          <w:rFonts w:ascii="Times New Roman" w:hAnsi="Times New Roman" w:cs="Times New Roman"/>
          <w:sz w:val="24"/>
          <w:szCs w:val="24"/>
        </w:rPr>
        <w:t xml:space="preserve"> </w:t>
      </w:r>
      <w:r w:rsidR="0001561A" w:rsidRPr="0086148A">
        <w:rPr>
          <w:rFonts w:ascii="Times New Roman" w:hAnsi="Times New Roman" w:cs="Times New Roman"/>
          <w:sz w:val="24"/>
          <w:szCs w:val="24"/>
        </w:rPr>
        <w:t>Even UPR Info that undertakes extensive categorisation of UPR recommendations across key human rights themes did not include transitional justice in its categorisation in the first two cycles of</w:t>
      </w:r>
      <w:r w:rsidR="00062875" w:rsidRPr="0086148A">
        <w:rPr>
          <w:rFonts w:ascii="Times New Roman" w:hAnsi="Times New Roman" w:cs="Times New Roman"/>
          <w:sz w:val="24"/>
          <w:szCs w:val="24"/>
        </w:rPr>
        <w:t xml:space="preserve"> </w:t>
      </w:r>
      <w:r w:rsidR="00353FF6" w:rsidRPr="0086148A">
        <w:rPr>
          <w:rFonts w:ascii="Times New Roman" w:hAnsi="Times New Roman" w:cs="Times New Roman"/>
          <w:sz w:val="24"/>
          <w:szCs w:val="24"/>
        </w:rPr>
        <w:t xml:space="preserve">the </w:t>
      </w:r>
      <w:r w:rsidR="0001561A" w:rsidRPr="0086148A">
        <w:rPr>
          <w:rFonts w:ascii="Times New Roman" w:hAnsi="Times New Roman" w:cs="Times New Roman"/>
          <w:sz w:val="24"/>
          <w:szCs w:val="24"/>
        </w:rPr>
        <w:t>review and the categorisation for the third cycle fails to capture key transitional justice measures.</w:t>
      </w:r>
      <w:r w:rsidR="0001561A" w:rsidRPr="0086148A">
        <w:rPr>
          <w:rStyle w:val="FootnoteReference"/>
          <w:rFonts w:ascii="Times New Roman" w:hAnsi="Times New Roman" w:cs="Times New Roman"/>
          <w:sz w:val="24"/>
          <w:szCs w:val="24"/>
        </w:rPr>
        <w:footnoteReference w:id="12"/>
      </w:r>
      <w:r w:rsidR="005948DB" w:rsidRPr="0086148A">
        <w:rPr>
          <w:rFonts w:ascii="Times New Roman" w:hAnsi="Times New Roman" w:cs="Times New Roman"/>
          <w:sz w:val="24"/>
          <w:szCs w:val="24"/>
        </w:rPr>
        <w:t xml:space="preserve"> </w:t>
      </w:r>
      <w:r w:rsidR="005E5270" w:rsidRPr="0086148A">
        <w:rPr>
          <w:rFonts w:ascii="Times New Roman" w:hAnsi="Times New Roman" w:cs="Times New Roman"/>
          <w:sz w:val="24"/>
          <w:szCs w:val="24"/>
        </w:rPr>
        <w:t>As noted in the definition, transitional justice is a ‘process’ and</w:t>
      </w:r>
      <w:r w:rsidR="00547A00" w:rsidRPr="0086148A">
        <w:rPr>
          <w:rFonts w:ascii="Times New Roman" w:hAnsi="Times New Roman" w:cs="Times New Roman"/>
          <w:sz w:val="24"/>
          <w:szCs w:val="24"/>
        </w:rPr>
        <w:t xml:space="preserve"> for </w:t>
      </w:r>
      <w:r w:rsidR="00D23994" w:rsidRPr="0086148A">
        <w:rPr>
          <w:rFonts w:ascii="Times New Roman" w:hAnsi="Times New Roman" w:cs="Times New Roman"/>
          <w:sz w:val="24"/>
          <w:szCs w:val="24"/>
        </w:rPr>
        <w:t xml:space="preserve">some of the </w:t>
      </w:r>
      <w:r w:rsidR="00547A00" w:rsidRPr="0086148A">
        <w:rPr>
          <w:rFonts w:ascii="Times New Roman" w:hAnsi="Times New Roman" w:cs="Times New Roman"/>
          <w:sz w:val="24"/>
          <w:szCs w:val="24"/>
        </w:rPr>
        <w:t xml:space="preserve">states </w:t>
      </w:r>
      <w:r w:rsidR="00D23994" w:rsidRPr="0086148A">
        <w:rPr>
          <w:rFonts w:ascii="Times New Roman" w:hAnsi="Times New Roman" w:cs="Times New Roman"/>
          <w:sz w:val="24"/>
          <w:szCs w:val="24"/>
        </w:rPr>
        <w:t xml:space="preserve">the process is </w:t>
      </w:r>
      <w:r w:rsidR="0045103E" w:rsidRPr="0086148A">
        <w:rPr>
          <w:rFonts w:ascii="Times New Roman" w:hAnsi="Times New Roman" w:cs="Times New Roman"/>
          <w:sz w:val="24"/>
          <w:szCs w:val="24"/>
        </w:rPr>
        <w:t>just beginning</w:t>
      </w:r>
      <w:r w:rsidR="00D23994" w:rsidRPr="0086148A">
        <w:rPr>
          <w:rFonts w:ascii="Times New Roman" w:hAnsi="Times New Roman" w:cs="Times New Roman"/>
          <w:sz w:val="24"/>
          <w:szCs w:val="24"/>
        </w:rPr>
        <w:t>.</w:t>
      </w:r>
      <w:r w:rsidR="0001561A" w:rsidRPr="0086148A">
        <w:rPr>
          <w:rFonts w:ascii="Times New Roman" w:hAnsi="Times New Roman" w:cs="Times New Roman"/>
          <w:sz w:val="24"/>
          <w:szCs w:val="24"/>
        </w:rPr>
        <w:t xml:space="preserve"> </w:t>
      </w:r>
    </w:p>
    <w:p w14:paraId="76E8FD40" w14:textId="25E1574A" w:rsidR="00094AD0" w:rsidRPr="0086148A" w:rsidRDefault="00094AD0"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This paper argues that the UPR can play an important role </w:t>
      </w:r>
      <w:r w:rsidR="00784196" w:rsidRPr="0086148A">
        <w:rPr>
          <w:rFonts w:ascii="Times New Roman" w:hAnsi="Times New Roman" w:cs="Times New Roman"/>
          <w:sz w:val="24"/>
          <w:szCs w:val="24"/>
        </w:rPr>
        <w:t xml:space="preserve">in </w:t>
      </w:r>
      <w:r w:rsidR="009F2471" w:rsidRPr="0086148A">
        <w:rPr>
          <w:rFonts w:ascii="Times New Roman" w:hAnsi="Times New Roman" w:cs="Times New Roman"/>
          <w:sz w:val="24"/>
          <w:szCs w:val="24"/>
        </w:rPr>
        <w:t xml:space="preserve">helping post-conflict states achieve the goals of transitional justice </w:t>
      </w:r>
      <w:r w:rsidR="0085731C" w:rsidRPr="0086148A">
        <w:rPr>
          <w:rFonts w:ascii="Times New Roman" w:hAnsi="Times New Roman" w:cs="Times New Roman"/>
          <w:sz w:val="24"/>
          <w:szCs w:val="24"/>
        </w:rPr>
        <w:t xml:space="preserve">by </w:t>
      </w:r>
      <w:r w:rsidR="0033682C" w:rsidRPr="0086148A">
        <w:rPr>
          <w:rFonts w:ascii="Times New Roman" w:hAnsi="Times New Roman" w:cs="Times New Roman"/>
          <w:sz w:val="24"/>
          <w:szCs w:val="24"/>
        </w:rPr>
        <w:t>promoting and reinforcing</w:t>
      </w:r>
      <w:r w:rsidR="00017312" w:rsidRPr="0086148A">
        <w:rPr>
          <w:rFonts w:ascii="Times New Roman" w:hAnsi="Times New Roman" w:cs="Times New Roman"/>
          <w:sz w:val="24"/>
          <w:szCs w:val="24"/>
        </w:rPr>
        <w:t xml:space="preserve"> the transitional justice </w:t>
      </w:r>
      <w:r w:rsidR="00BD146F" w:rsidRPr="0086148A">
        <w:rPr>
          <w:rFonts w:ascii="Times New Roman" w:hAnsi="Times New Roman" w:cs="Times New Roman"/>
          <w:sz w:val="24"/>
          <w:szCs w:val="24"/>
        </w:rPr>
        <w:t>mechanisms</w:t>
      </w:r>
      <w:r w:rsidR="00017312" w:rsidRPr="0086148A">
        <w:rPr>
          <w:rFonts w:ascii="Times New Roman" w:hAnsi="Times New Roman" w:cs="Times New Roman"/>
          <w:sz w:val="24"/>
          <w:szCs w:val="24"/>
        </w:rPr>
        <w:t xml:space="preserve"> </w:t>
      </w:r>
      <w:r w:rsidR="0033682C" w:rsidRPr="0086148A">
        <w:rPr>
          <w:rFonts w:ascii="Times New Roman" w:hAnsi="Times New Roman" w:cs="Times New Roman"/>
          <w:sz w:val="24"/>
          <w:szCs w:val="24"/>
        </w:rPr>
        <w:t xml:space="preserve">needed </w:t>
      </w:r>
      <w:r w:rsidR="00017312" w:rsidRPr="0086148A">
        <w:rPr>
          <w:rFonts w:ascii="Times New Roman" w:hAnsi="Times New Roman" w:cs="Times New Roman"/>
          <w:sz w:val="24"/>
          <w:szCs w:val="24"/>
        </w:rPr>
        <w:t xml:space="preserve">in post-conflict societies. </w:t>
      </w:r>
      <w:r w:rsidR="00D95C17" w:rsidRPr="0086148A">
        <w:rPr>
          <w:rFonts w:ascii="Times New Roman" w:hAnsi="Times New Roman" w:cs="Times New Roman"/>
          <w:sz w:val="24"/>
          <w:szCs w:val="24"/>
        </w:rPr>
        <w:t>UN General Assembly Resolution 70/262 makes a connection between the UPR and peacebuilding initiatives</w:t>
      </w:r>
      <w:bookmarkStart w:id="2" w:name="_Ref124608230"/>
      <w:r w:rsidR="00D95C17" w:rsidRPr="0086148A">
        <w:rPr>
          <w:rStyle w:val="FootnoteReference"/>
          <w:rFonts w:ascii="Times New Roman" w:hAnsi="Times New Roman" w:cs="Times New Roman"/>
          <w:sz w:val="24"/>
          <w:szCs w:val="24"/>
        </w:rPr>
        <w:footnoteReference w:id="13"/>
      </w:r>
      <w:bookmarkEnd w:id="2"/>
      <w:r w:rsidR="00CC4F7F" w:rsidRPr="0086148A">
        <w:rPr>
          <w:rFonts w:ascii="Times New Roman" w:hAnsi="Times New Roman" w:cs="Times New Roman"/>
          <w:sz w:val="24"/>
          <w:szCs w:val="24"/>
        </w:rPr>
        <w:t xml:space="preserve"> The OHCHR has </w:t>
      </w:r>
      <w:r w:rsidR="001A30A5" w:rsidRPr="0086148A">
        <w:rPr>
          <w:rFonts w:ascii="Times New Roman" w:hAnsi="Times New Roman" w:cs="Times New Roman"/>
          <w:sz w:val="24"/>
          <w:szCs w:val="24"/>
        </w:rPr>
        <w:t>highlighted</w:t>
      </w:r>
      <w:r w:rsidR="001A30A5" w:rsidRPr="0086148A">
        <w:rPr>
          <w:rStyle w:val="FootnoteReference"/>
          <w:rFonts w:ascii="Times New Roman" w:hAnsi="Times New Roman" w:cs="Times New Roman"/>
          <w:sz w:val="24"/>
          <w:szCs w:val="24"/>
        </w:rPr>
        <w:footnoteReference w:id="14"/>
      </w:r>
      <w:r w:rsidR="00CC4F7F" w:rsidRPr="0086148A">
        <w:rPr>
          <w:rFonts w:ascii="Times New Roman" w:hAnsi="Times New Roman" w:cs="Times New Roman"/>
          <w:sz w:val="24"/>
          <w:szCs w:val="24"/>
        </w:rPr>
        <w:t xml:space="preserve"> the potential for the UPR to contribute to </w:t>
      </w:r>
      <w:r w:rsidR="00C127D8" w:rsidRPr="0086148A">
        <w:rPr>
          <w:rFonts w:ascii="Times New Roman" w:hAnsi="Times New Roman" w:cs="Times New Roman"/>
          <w:sz w:val="24"/>
          <w:szCs w:val="24"/>
        </w:rPr>
        <w:t>sustaining peace, provide valuable information for peacebuilding analysis, strategy and programming at the country level</w:t>
      </w:r>
      <w:r w:rsidR="001A30A5" w:rsidRPr="0086148A">
        <w:rPr>
          <w:rFonts w:ascii="Times New Roman" w:hAnsi="Times New Roman" w:cs="Times New Roman"/>
          <w:sz w:val="24"/>
          <w:szCs w:val="24"/>
        </w:rPr>
        <w:t>, and serve as</w:t>
      </w:r>
      <w:r w:rsidR="00C127D8" w:rsidRPr="0086148A">
        <w:rPr>
          <w:rFonts w:ascii="Times New Roman" w:hAnsi="Times New Roman" w:cs="Times New Roman"/>
          <w:sz w:val="24"/>
          <w:szCs w:val="24"/>
        </w:rPr>
        <w:t xml:space="preserve"> a platform f</w:t>
      </w:r>
      <w:r w:rsidR="001A30A5" w:rsidRPr="0086148A">
        <w:rPr>
          <w:rFonts w:ascii="Times New Roman" w:hAnsi="Times New Roman" w:cs="Times New Roman"/>
          <w:sz w:val="24"/>
          <w:szCs w:val="24"/>
        </w:rPr>
        <w:t>or dialogue and collaboration.</w:t>
      </w:r>
      <w:r w:rsidR="00F52AE7" w:rsidRPr="0086148A">
        <w:rPr>
          <w:rFonts w:ascii="Times New Roman" w:hAnsi="Times New Roman" w:cs="Times New Roman"/>
          <w:sz w:val="24"/>
          <w:szCs w:val="24"/>
        </w:rPr>
        <w:t xml:space="preserve"> An increasing number of recommend</w:t>
      </w:r>
      <w:r w:rsidR="00744566" w:rsidRPr="0086148A">
        <w:rPr>
          <w:rFonts w:ascii="Times New Roman" w:hAnsi="Times New Roman" w:cs="Times New Roman"/>
          <w:sz w:val="24"/>
          <w:szCs w:val="24"/>
        </w:rPr>
        <w:t xml:space="preserve">ations have been made to states dealing with the legacies of war and repression </w:t>
      </w:r>
      <w:r w:rsidR="00482040" w:rsidRPr="0086148A">
        <w:rPr>
          <w:rFonts w:ascii="Times New Roman" w:hAnsi="Times New Roman" w:cs="Times New Roman"/>
          <w:sz w:val="24"/>
          <w:szCs w:val="24"/>
        </w:rPr>
        <w:t xml:space="preserve">in the context of the UPR. </w:t>
      </w:r>
      <w:r w:rsidR="0001561A" w:rsidRPr="0086148A">
        <w:rPr>
          <w:rFonts w:ascii="Times New Roman" w:hAnsi="Times New Roman" w:cs="Times New Roman"/>
          <w:sz w:val="24"/>
          <w:szCs w:val="24"/>
        </w:rPr>
        <w:t>This paper will examine the extent to which these</w:t>
      </w:r>
      <w:r w:rsidR="00482040" w:rsidRPr="0086148A">
        <w:rPr>
          <w:rFonts w:ascii="Times New Roman" w:hAnsi="Times New Roman" w:cs="Times New Roman"/>
          <w:sz w:val="24"/>
          <w:szCs w:val="24"/>
        </w:rPr>
        <w:t xml:space="preserve"> recommendations have </w:t>
      </w:r>
      <w:r w:rsidR="00E74E02" w:rsidRPr="0086148A">
        <w:rPr>
          <w:rFonts w:ascii="Times New Roman" w:hAnsi="Times New Roman" w:cs="Times New Roman"/>
          <w:sz w:val="24"/>
          <w:szCs w:val="24"/>
        </w:rPr>
        <w:t>touched on several transitional justic</w:t>
      </w:r>
      <w:r w:rsidR="00C344A3" w:rsidRPr="0086148A">
        <w:rPr>
          <w:rFonts w:ascii="Times New Roman" w:hAnsi="Times New Roman" w:cs="Times New Roman"/>
          <w:sz w:val="24"/>
          <w:szCs w:val="24"/>
        </w:rPr>
        <w:t xml:space="preserve">e goals and processes including </w:t>
      </w:r>
      <w:r w:rsidR="008030BA" w:rsidRPr="0086148A">
        <w:rPr>
          <w:rFonts w:ascii="Times New Roman" w:hAnsi="Times New Roman" w:cs="Times New Roman"/>
          <w:sz w:val="24"/>
          <w:szCs w:val="24"/>
        </w:rPr>
        <w:t>recommendations to end impunity, on</w:t>
      </w:r>
      <w:r w:rsidR="00C344A3" w:rsidRPr="0086148A">
        <w:rPr>
          <w:rFonts w:ascii="Times New Roman" w:hAnsi="Times New Roman" w:cs="Times New Roman"/>
          <w:sz w:val="24"/>
          <w:szCs w:val="24"/>
        </w:rPr>
        <w:t xml:space="preserve"> accountability, peace agreements, </w:t>
      </w:r>
      <w:r w:rsidR="00EA4BD0" w:rsidRPr="0086148A">
        <w:rPr>
          <w:rFonts w:ascii="Times New Roman" w:hAnsi="Times New Roman" w:cs="Times New Roman"/>
          <w:sz w:val="24"/>
          <w:szCs w:val="24"/>
        </w:rPr>
        <w:t>truth commissions</w:t>
      </w:r>
      <w:r w:rsidR="00C344A3" w:rsidRPr="0086148A">
        <w:rPr>
          <w:rFonts w:ascii="Times New Roman" w:hAnsi="Times New Roman" w:cs="Times New Roman"/>
          <w:sz w:val="24"/>
          <w:szCs w:val="24"/>
        </w:rPr>
        <w:t xml:space="preserve">, </w:t>
      </w:r>
      <w:r w:rsidR="00AD1F91" w:rsidRPr="0086148A">
        <w:rPr>
          <w:rFonts w:ascii="Times New Roman" w:hAnsi="Times New Roman" w:cs="Times New Roman"/>
          <w:sz w:val="24"/>
          <w:szCs w:val="24"/>
        </w:rPr>
        <w:t>institutional</w:t>
      </w:r>
      <w:r w:rsidR="00C344A3" w:rsidRPr="0086148A">
        <w:rPr>
          <w:rFonts w:ascii="Times New Roman" w:hAnsi="Times New Roman" w:cs="Times New Roman"/>
          <w:sz w:val="24"/>
          <w:szCs w:val="24"/>
        </w:rPr>
        <w:t xml:space="preserve"> reform, </w:t>
      </w:r>
      <w:r w:rsidR="0001561A" w:rsidRPr="0086148A">
        <w:rPr>
          <w:rFonts w:ascii="Times New Roman" w:hAnsi="Times New Roman" w:cs="Times New Roman"/>
          <w:sz w:val="24"/>
          <w:szCs w:val="24"/>
        </w:rPr>
        <w:t>reparations</w:t>
      </w:r>
      <w:r w:rsidR="00C344A3" w:rsidRPr="0086148A">
        <w:rPr>
          <w:rFonts w:ascii="Times New Roman" w:hAnsi="Times New Roman" w:cs="Times New Roman"/>
          <w:sz w:val="24"/>
          <w:szCs w:val="24"/>
        </w:rPr>
        <w:t xml:space="preserve">, </w:t>
      </w:r>
      <w:r w:rsidR="0001561A" w:rsidRPr="0086148A">
        <w:rPr>
          <w:rFonts w:ascii="Times New Roman" w:hAnsi="Times New Roman" w:cs="Times New Roman"/>
          <w:sz w:val="24"/>
          <w:szCs w:val="24"/>
        </w:rPr>
        <w:t>return</w:t>
      </w:r>
      <w:r w:rsidR="00C344A3" w:rsidRPr="0086148A">
        <w:rPr>
          <w:rFonts w:ascii="Times New Roman" w:hAnsi="Times New Roman" w:cs="Times New Roman"/>
          <w:sz w:val="24"/>
          <w:szCs w:val="24"/>
        </w:rPr>
        <w:t xml:space="preserve"> and reintegration programmes, </w:t>
      </w:r>
      <w:r w:rsidR="00AD1F91" w:rsidRPr="0086148A">
        <w:rPr>
          <w:rFonts w:ascii="Times New Roman" w:hAnsi="Times New Roman" w:cs="Times New Roman"/>
          <w:sz w:val="24"/>
          <w:szCs w:val="24"/>
        </w:rPr>
        <w:t xml:space="preserve">and </w:t>
      </w:r>
      <w:r w:rsidR="00C344A3" w:rsidRPr="0086148A">
        <w:rPr>
          <w:rFonts w:ascii="Times New Roman" w:hAnsi="Times New Roman" w:cs="Times New Roman"/>
          <w:sz w:val="24"/>
          <w:szCs w:val="24"/>
        </w:rPr>
        <w:t>rule of law</w:t>
      </w:r>
      <w:r w:rsidR="00AD1F91" w:rsidRPr="0086148A">
        <w:rPr>
          <w:rFonts w:ascii="Times New Roman" w:hAnsi="Times New Roman" w:cs="Times New Roman"/>
          <w:sz w:val="24"/>
          <w:szCs w:val="24"/>
        </w:rPr>
        <w:t xml:space="preserve">. </w:t>
      </w:r>
    </w:p>
    <w:p w14:paraId="2B24A84F" w14:textId="5A1B6AB3" w:rsidR="00671409" w:rsidRPr="0086148A" w:rsidRDefault="0039212E" w:rsidP="00A352E7">
      <w:pPr>
        <w:pStyle w:val="ListParagraph"/>
        <w:numPr>
          <w:ilvl w:val="0"/>
          <w:numId w:val="1"/>
        </w:numPr>
        <w:jc w:val="both"/>
        <w:rPr>
          <w:rFonts w:ascii="Times New Roman" w:hAnsi="Times New Roman" w:cs="Times New Roman"/>
          <w:b/>
          <w:bCs/>
          <w:sz w:val="24"/>
          <w:szCs w:val="24"/>
        </w:rPr>
      </w:pPr>
      <w:r w:rsidRPr="0086148A">
        <w:rPr>
          <w:rFonts w:ascii="Times New Roman" w:hAnsi="Times New Roman" w:cs="Times New Roman"/>
          <w:b/>
          <w:bCs/>
          <w:sz w:val="24"/>
          <w:szCs w:val="24"/>
        </w:rPr>
        <w:t>Relationship</w:t>
      </w:r>
      <w:r w:rsidR="008E2097" w:rsidRPr="0086148A">
        <w:rPr>
          <w:rFonts w:ascii="Times New Roman" w:hAnsi="Times New Roman" w:cs="Times New Roman"/>
          <w:b/>
          <w:bCs/>
          <w:sz w:val="24"/>
          <w:szCs w:val="24"/>
        </w:rPr>
        <w:t xml:space="preserve"> between the UPR</w:t>
      </w:r>
      <w:r w:rsidR="00DC4919" w:rsidRPr="0086148A">
        <w:rPr>
          <w:rFonts w:ascii="Times New Roman" w:hAnsi="Times New Roman" w:cs="Times New Roman"/>
          <w:b/>
          <w:bCs/>
          <w:sz w:val="24"/>
          <w:szCs w:val="24"/>
        </w:rPr>
        <w:t xml:space="preserve"> and</w:t>
      </w:r>
      <w:r w:rsidR="004A08CC" w:rsidRPr="0086148A">
        <w:rPr>
          <w:rFonts w:ascii="Times New Roman" w:hAnsi="Times New Roman" w:cs="Times New Roman"/>
          <w:b/>
          <w:bCs/>
          <w:sz w:val="24"/>
          <w:szCs w:val="24"/>
        </w:rPr>
        <w:t xml:space="preserve"> </w:t>
      </w:r>
      <w:r w:rsidR="00221678" w:rsidRPr="0086148A">
        <w:rPr>
          <w:rFonts w:ascii="Times New Roman" w:hAnsi="Times New Roman" w:cs="Times New Roman"/>
          <w:b/>
          <w:bCs/>
          <w:sz w:val="24"/>
          <w:szCs w:val="24"/>
        </w:rPr>
        <w:t>related</w:t>
      </w:r>
      <w:r w:rsidR="008E2097" w:rsidRPr="0086148A">
        <w:rPr>
          <w:rFonts w:ascii="Times New Roman" w:hAnsi="Times New Roman" w:cs="Times New Roman"/>
          <w:b/>
          <w:bCs/>
          <w:sz w:val="24"/>
          <w:szCs w:val="24"/>
        </w:rPr>
        <w:t xml:space="preserve"> </w:t>
      </w:r>
      <w:r w:rsidR="004A08CC" w:rsidRPr="0086148A">
        <w:rPr>
          <w:rFonts w:ascii="Times New Roman" w:hAnsi="Times New Roman" w:cs="Times New Roman"/>
          <w:b/>
          <w:bCs/>
          <w:sz w:val="24"/>
          <w:szCs w:val="24"/>
        </w:rPr>
        <w:t xml:space="preserve">human rights </w:t>
      </w:r>
      <w:r w:rsidR="008E2097" w:rsidRPr="0086148A">
        <w:rPr>
          <w:rFonts w:ascii="Times New Roman" w:hAnsi="Times New Roman" w:cs="Times New Roman"/>
          <w:b/>
          <w:bCs/>
          <w:sz w:val="24"/>
          <w:szCs w:val="24"/>
        </w:rPr>
        <w:t>mechanisms</w:t>
      </w:r>
      <w:r w:rsidR="004A08CC" w:rsidRPr="0086148A">
        <w:rPr>
          <w:rFonts w:ascii="Times New Roman" w:hAnsi="Times New Roman" w:cs="Times New Roman"/>
          <w:b/>
          <w:bCs/>
          <w:sz w:val="24"/>
          <w:szCs w:val="24"/>
        </w:rPr>
        <w:t xml:space="preserve"> and disciplines</w:t>
      </w:r>
    </w:p>
    <w:p w14:paraId="50402784" w14:textId="0A6A0937" w:rsidR="00B6540D" w:rsidRPr="0086148A" w:rsidRDefault="00FE38E3"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It was evident during the negotiations leading to the establishment of the </w:t>
      </w:r>
      <w:r w:rsidR="00A5363A" w:rsidRPr="0086148A">
        <w:rPr>
          <w:rFonts w:ascii="Times New Roman" w:hAnsi="Times New Roman" w:cs="Times New Roman"/>
          <w:sz w:val="24"/>
          <w:szCs w:val="24"/>
        </w:rPr>
        <w:t xml:space="preserve">UPR mechanism that states considered the relationship it would have </w:t>
      </w:r>
      <w:r w:rsidR="0035509D" w:rsidRPr="0086148A">
        <w:rPr>
          <w:rFonts w:ascii="Times New Roman" w:hAnsi="Times New Roman" w:cs="Times New Roman"/>
          <w:sz w:val="24"/>
          <w:szCs w:val="24"/>
        </w:rPr>
        <w:t xml:space="preserve">with other human rights mechanisms and related disciplines. In particular, the discussion focused on the relationship between the </w:t>
      </w:r>
      <w:r w:rsidR="00E1661D" w:rsidRPr="0086148A">
        <w:rPr>
          <w:rFonts w:ascii="Times New Roman" w:hAnsi="Times New Roman" w:cs="Times New Roman"/>
          <w:sz w:val="24"/>
          <w:szCs w:val="24"/>
        </w:rPr>
        <w:t>UPR and the treaty bodies, and</w:t>
      </w:r>
      <w:r w:rsidR="0006687D" w:rsidRPr="0086148A">
        <w:rPr>
          <w:rFonts w:ascii="Times New Roman" w:hAnsi="Times New Roman" w:cs="Times New Roman"/>
          <w:sz w:val="24"/>
          <w:szCs w:val="24"/>
        </w:rPr>
        <w:t xml:space="preserve"> between international human rights law and international humanitarian law</w:t>
      </w:r>
      <w:r w:rsidR="009C41E6" w:rsidRPr="0086148A">
        <w:rPr>
          <w:rFonts w:ascii="Times New Roman" w:hAnsi="Times New Roman" w:cs="Times New Roman"/>
          <w:sz w:val="24"/>
          <w:szCs w:val="24"/>
        </w:rPr>
        <w:t xml:space="preserve"> (IHL)</w:t>
      </w:r>
      <w:r w:rsidR="0006687D" w:rsidRPr="0086148A">
        <w:rPr>
          <w:rFonts w:ascii="Times New Roman" w:hAnsi="Times New Roman" w:cs="Times New Roman"/>
          <w:sz w:val="24"/>
          <w:szCs w:val="24"/>
        </w:rPr>
        <w:t>.</w:t>
      </w:r>
      <w:r w:rsidR="00C40A39" w:rsidRPr="0086148A">
        <w:rPr>
          <w:rStyle w:val="FootnoteReference"/>
          <w:rFonts w:ascii="Times New Roman" w:hAnsi="Times New Roman" w:cs="Times New Roman"/>
          <w:sz w:val="24"/>
          <w:szCs w:val="24"/>
        </w:rPr>
        <w:footnoteReference w:id="15"/>
      </w:r>
      <w:r w:rsidR="0006687D" w:rsidRPr="0086148A">
        <w:rPr>
          <w:rFonts w:ascii="Times New Roman" w:hAnsi="Times New Roman" w:cs="Times New Roman"/>
          <w:sz w:val="24"/>
          <w:szCs w:val="24"/>
        </w:rPr>
        <w:t xml:space="preserve"> </w:t>
      </w:r>
      <w:r w:rsidR="00B704AB" w:rsidRPr="0086148A">
        <w:rPr>
          <w:rFonts w:ascii="Times New Roman" w:hAnsi="Times New Roman" w:cs="Times New Roman"/>
          <w:sz w:val="24"/>
          <w:szCs w:val="24"/>
        </w:rPr>
        <w:t xml:space="preserve"> The goal </w:t>
      </w:r>
      <w:r w:rsidR="00C40A39" w:rsidRPr="0086148A">
        <w:rPr>
          <w:rFonts w:ascii="Times New Roman" w:hAnsi="Times New Roman" w:cs="Times New Roman"/>
          <w:sz w:val="24"/>
          <w:szCs w:val="24"/>
        </w:rPr>
        <w:t>was to</w:t>
      </w:r>
      <w:r w:rsidR="00D44665" w:rsidRPr="0086148A">
        <w:rPr>
          <w:rFonts w:ascii="Times New Roman" w:hAnsi="Times New Roman" w:cs="Times New Roman"/>
          <w:sz w:val="24"/>
          <w:szCs w:val="24"/>
        </w:rPr>
        <w:t xml:space="preserve"> ensure that the UPR would</w:t>
      </w:r>
      <w:r w:rsidR="009F6476" w:rsidRPr="0086148A">
        <w:rPr>
          <w:rFonts w:ascii="Times New Roman" w:hAnsi="Times New Roman" w:cs="Times New Roman"/>
          <w:sz w:val="24"/>
          <w:szCs w:val="24"/>
        </w:rPr>
        <w:t xml:space="preserve"> complement the work of the treaty bodies</w:t>
      </w:r>
      <w:r w:rsidR="00C90038" w:rsidRPr="0086148A">
        <w:rPr>
          <w:rFonts w:ascii="Times New Roman" w:hAnsi="Times New Roman" w:cs="Times New Roman"/>
          <w:sz w:val="24"/>
          <w:szCs w:val="24"/>
        </w:rPr>
        <w:t xml:space="preserve">, </w:t>
      </w:r>
      <w:r w:rsidR="00F55C74" w:rsidRPr="0086148A">
        <w:rPr>
          <w:rFonts w:ascii="Times New Roman" w:hAnsi="Times New Roman" w:cs="Times New Roman"/>
          <w:sz w:val="24"/>
          <w:szCs w:val="24"/>
        </w:rPr>
        <w:t>support</w:t>
      </w:r>
      <w:r w:rsidR="004B3EBE" w:rsidRPr="0086148A">
        <w:rPr>
          <w:rFonts w:ascii="Times New Roman" w:hAnsi="Times New Roman" w:cs="Times New Roman"/>
          <w:sz w:val="24"/>
          <w:szCs w:val="24"/>
        </w:rPr>
        <w:t>,</w:t>
      </w:r>
      <w:r w:rsidR="00F55C74" w:rsidRPr="0086148A">
        <w:rPr>
          <w:rFonts w:ascii="Times New Roman" w:hAnsi="Times New Roman" w:cs="Times New Roman"/>
          <w:sz w:val="24"/>
          <w:szCs w:val="24"/>
        </w:rPr>
        <w:t xml:space="preserve"> and reinforce applicable humanitarian law. </w:t>
      </w:r>
      <w:r w:rsidR="000D11E6" w:rsidRPr="0086148A">
        <w:rPr>
          <w:rFonts w:ascii="Times New Roman" w:hAnsi="Times New Roman" w:cs="Times New Roman"/>
          <w:sz w:val="24"/>
          <w:szCs w:val="24"/>
        </w:rPr>
        <w:t xml:space="preserve">However, the </w:t>
      </w:r>
      <w:r w:rsidR="0012062C" w:rsidRPr="0086148A">
        <w:rPr>
          <w:rFonts w:ascii="Times New Roman" w:hAnsi="Times New Roman" w:cs="Times New Roman"/>
          <w:sz w:val="24"/>
          <w:szCs w:val="24"/>
        </w:rPr>
        <w:t xml:space="preserve">literature has not always viewed </w:t>
      </w:r>
      <w:r w:rsidR="005774DD" w:rsidRPr="0086148A">
        <w:rPr>
          <w:rFonts w:ascii="Times New Roman" w:hAnsi="Times New Roman" w:cs="Times New Roman"/>
          <w:sz w:val="24"/>
          <w:szCs w:val="24"/>
        </w:rPr>
        <w:t>these relationships</w:t>
      </w:r>
      <w:r w:rsidR="0012062C" w:rsidRPr="0086148A">
        <w:rPr>
          <w:rFonts w:ascii="Times New Roman" w:hAnsi="Times New Roman" w:cs="Times New Roman"/>
          <w:sz w:val="24"/>
          <w:szCs w:val="24"/>
        </w:rPr>
        <w:t xml:space="preserve"> positively, especially in the first few years of the UPR mechanism.  </w:t>
      </w:r>
      <w:r w:rsidR="00567596" w:rsidRPr="0086148A">
        <w:rPr>
          <w:rFonts w:ascii="Times New Roman" w:hAnsi="Times New Roman" w:cs="Times New Roman"/>
          <w:sz w:val="24"/>
          <w:szCs w:val="24"/>
        </w:rPr>
        <w:t>In terms of the</w:t>
      </w:r>
      <w:r w:rsidR="005774DD" w:rsidRPr="0086148A">
        <w:rPr>
          <w:rFonts w:ascii="Times New Roman" w:hAnsi="Times New Roman" w:cs="Times New Roman"/>
          <w:sz w:val="24"/>
          <w:szCs w:val="24"/>
        </w:rPr>
        <w:t xml:space="preserve"> </w:t>
      </w:r>
      <w:r w:rsidR="00567596" w:rsidRPr="0086148A">
        <w:rPr>
          <w:rFonts w:ascii="Times New Roman" w:hAnsi="Times New Roman" w:cs="Times New Roman"/>
          <w:sz w:val="24"/>
          <w:szCs w:val="24"/>
        </w:rPr>
        <w:t>relationship with the treaty bodies, th</w:t>
      </w:r>
      <w:r w:rsidR="005774DD" w:rsidRPr="0086148A">
        <w:rPr>
          <w:rFonts w:ascii="Times New Roman" w:hAnsi="Times New Roman" w:cs="Times New Roman"/>
          <w:sz w:val="24"/>
          <w:szCs w:val="24"/>
        </w:rPr>
        <w:t>e UPR</w:t>
      </w:r>
      <w:r w:rsidR="00567596" w:rsidRPr="0086148A">
        <w:rPr>
          <w:rFonts w:ascii="Times New Roman" w:hAnsi="Times New Roman" w:cs="Times New Roman"/>
          <w:sz w:val="24"/>
          <w:szCs w:val="24"/>
        </w:rPr>
        <w:t xml:space="preserve"> </w:t>
      </w:r>
      <w:r w:rsidR="00877ACB" w:rsidRPr="0086148A">
        <w:rPr>
          <w:rFonts w:ascii="Times New Roman" w:hAnsi="Times New Roman" w:cs="Times New Roman"/>
          <w:sz w:val="24"/>
          <w:szCs w:val="24"/>
        </w:rPr>
        <w:t xml:space="preserve">was criticised for </w:t>
      </w:r>
      <w:r w:rsidR="00B74B65" w:rsidRPr="0086148A">
        <w:rPr>
          <w:rFonts w:ascii="Times New Roman" w:hAnsi="Times New Roman" w:cs="Times New Roman"/>
          <w:sz w:val="24"/>
          <w:szCs w:val="24"/>
        </w:rPr>
        <w:t>encroaching on the work of the treaty bodies,</w:t>
      </w:r>
      <w:r w:rsidR="004069D1" w:rsidRPr="0086148A">
        <w:rPr>
          <w:rStyle w:val="FootnoteReference"/>
          <w:rFonts w:ascii="Times New Roman" w:hAnsi="Times New Roman" w:cs="Times New Roman"/>
          <w:sz w:val="24"/>
          <w:szCs w:val="24"/>
        </w:rPr>
        <w:footnoteReference w:id="16"/>
      </w:r>
      <w:r w:rsidR="00AF32D1" w:rsidRPr="0086148A">
        <w:rPr>
          <w:rFonts w:ascii="Times New Roman" w:hAnsi="Times New Roman" w:cs="Times New Roman"/>
          <w:sz w:val="24"/>
          <w:szCs w:val="24"/>
        </w:rPr>
        <w:t xml:space="preserve"> undermin</w:t>
      </w:r>
      <w:r w:rsidR="004069D1" w:rsidRPr="0086148A">
        <w:rPr>
          <w:rFonts w:ascii="Times New Roman" w:hAnsi="Times New Roman" w:cs="Times New Roman"/>
          <w:sz w:val="24"/>
          <w:szCs w:val="24"/>
        </w:rPr>
        <w:t>ing</w:t>
      </w:r>
      <w:r w:rsidR="00AF32D1" w:rsidRPr="0086148A">
        <w:rPr>
          <w:rFonts w:ascii="Times New Roman" w:hAnsi="Times New Roman" w:cs="Times New Roman"/>
          <w:sz w:val="24"/>
          <w:szCs w:val="24"/>
        </w:rPr>
        <w:t xml:space="preserve"> the validity </w:t>
      </w:r>
      <w:r w:rsidR="00CF39EB" w:rsidRPr="0086148A">
        <w:rPr>
          <w:rFonts w:ascii="Times New Roman" w:hAnsi="Times New Roman" w:cs="Times New Roman"/>
          <w:sz w:val="24"/>
          <w:szCs w:val="24"/>
        </w:rPr>
        <w:t>of treaty</w:t>
      </w:r>
      <w:r w:rsidR="00AF32D1" w:rsidRPr="0086148A">
        <w:rPr>
          <w:rFonts w:ascii="Times New Roman" w:hAnsi="Times New Roman" w:cs="Times New Roman"/>
          <w:sz w:val="24"/>
          <w:szCs w:val="24"/>
        </w:rPr>
        <w:t xml:space="preserve"> body </w:t>
      </w:r>
      <w:r w:rsidR="00AF32D1" w:rsidRPr="0086148A">
        <w:rPr>
          <w:rFonts w:ascii="Times New Roman" w:hAnsi="Times New Roman" w:cs="Times New Roman"/>
          <w:sz w:val="24"/>
          <w:szCs w:val="24"/>
        </w:rPr>
        <w:lastRenderedPageBreak/>
        <w:t>recommendations,</w:t>
      </w:r>
      <w:r w:rsidR="004069D1" w:rsidRPr="0086148A">
        <w:rPr>
          <w:rStyle w:val="FootnoteReference"/>
          <w:rFonts w:ascii="Times New Roman" w:hAnsi="Times New Roman" w:cs="Times New Roman"/>
          <w:sz w:val="24"/>
          <w:szCs w:val="24"/>
        </w:rPr>
        <w:footnoteReference w:id="17"/>
      </w:r>
      <w:r w:rsidR="00AF32D1" w:rsidRPr="0086148A">
        <w:rPr>
          <w:rFonts w:ascii="Times New Roman" w:hAnsi="Times New Roman" w:cs="Times New Roman"/>
          <w:sz w:val="24"/>
          <w:szCs w:val="24"/>
        </w:rPr>
        <w:t xml:space="preserve"> </w:t>
      </w:r>
      <w:r w:rsidR="00CF39EB" w:rsidRPr="0086148A">
        <w:rPr>
          <w:rFonts w:ascii="Times New Roman" w:hAnsi="Times New Roman" w:cs="Times New Roman"/>
          <w:sz w:val="24"/>
          <w:szCs w:val="24"/>
        </w:rPr>
        <w:t xml:space="preserve">and </w:t>
      </w:r>
      <w:r w:rsidR="001479A3" w:rsidRPr="0086148A">
        <w:rPr>
          <w:rFonts w:ascii="Times New Roman" w:hAnsi="Times New Roman" w:cs="Times New Roman"/>
          <w:sz w:val="24"/>
          <w:szCs w:val="24"/>
        </w:rPr>
        <w:t>diverting</w:t>
      </w:r>
      <w:r w:rsidR="00CF39EB" w:rsidRPr="0086148A">
        <w:rPr>
          <w:rFonts w:ascii="Times New Roman" w:hAnsi="Times New Roman" w:cs="Times New Roman"/>
          <w:sz w:val="24"/>
          <w:szCs w:val="24"/>
        </w:rPr>
        <w:t xml:space="preserve"> material resources from treaty bodies</w:t>
      </w:r>
      <w:r w:rsidR="004069D1" w:rsidRPr="0086148A">
        <w:rPr>
          <w:rFonts w:ascii="Times New Roman" w:hAnsi="Times New Roman" w:cs="Times New Roman"/>
          <w:sz w:val="24"/>
          <w:szCs w:val="24"/>
        </w:rPr>
        <w:t>.</w:t>
      </w:r>
      <w:r w:rsidR="001479A3" w:rsidRPr="0086148A">
        <w:rPr>
          <w:rStyle w:val="FootnoteReference"/>
          <w:rFonts w:ascii="Times New Roman" w:hAnsi="Times New Roman" w:cs="Times New Roman"/>
          <w:sz w:val="24"/>
          <w:szCs w:val="24"/>
        </w:rPr>
        <w:footnoteReference w:id="18"/>
      </w:r>
      <w:r w:rsidR="00704783" w:rsidRPr="0086148A">
        <w:rPr>
          <w:rFonts w:ascii="Times New Roman" w:hAnsi="Times New Roman" w:cs="Times New Roman"/>
          <w:sz w:val="24"/>
          <w:szCs w:val="24"/>
        </w:rPr>
        <w:t xml:space="preserve"> </w:t>
      </w:r>
      <w:r w:rsidR="000D0BC8" w:rsidRPr="0086148A">
        <w:rPr>
          <w:rFonts w:ascii="Times New Roman" w:hAnsi="Times New Roman" w:cs="Times New Roman"/>
          <w:sz w:val="24"/>
          <w:szCs w:val="24"/>
        </w:rPr>
        <w:t xml:space="preserve">The inclusion of </w:t>
      </w:r>
      <w:r w:rsidR="009C41E6" w:rsidRPr="0086148A">
        <w:rPr>
          <w:rFonts w:ascii="Times New Roman" w:hAnsi="Times New Roman" w:cs="Times New Roman"/>
          <w:sz w:val="24"/>
          <w:szCs w:val="24"/>
        </w:rPr>
        <w:t>IHL</w:t>
      </w:r>
      <w:r w:rsidR="000D0BC8" w:rsidRPr="0086148A">
        <w:rPr>
          <w:rFonts w:ascii="Times New Roman" w:hAnsi="Times New Roman" w:cs="Times New Roman"/>
          <w:sz w:val="24"/>
          <w:szCs w:val="24"/>
        </w:rPr>
        <w:t xml:space="preserve"> as one of the legal </w:t>
      </w:r>
      <w:r w:rsidR="00B66B00" w:rsidRPr="0086148A">
        <w:rPr>
          <w:rFonts w:ascii="Times New Roman" w:hAnsi="Times New Roman" w:cs="Times New Roman"/>
          <w:sz w:val="24"/>
          <w:szCs w:val="24"/>
        </w:rPr>
        <w:t>bases</w:t>
      </w:r>
      <w:r w:rsidR="000D0BC8" w:rsidRPr="0086148A">
        <w:rPr>
          <w:rFonts w:ascii="Times New Roman" w:hAnsi="Times New Roman" w:cs="Times New Roman"/>
          <w:sz w:val="24"/>
          <w:szCs w:val="24"/>
        </w:rPr>
        <w:t xml:space="preserve"> for the </w:t>
      </w:r>
      <w:r w:rsidR="00A0449E" w:rsidRPr="0086148A">
        <w:rPr>
          <w:rFonts w:ascii="Times New Roman" w:hAnsi="Times New Roman" w:cs="Times New Roman"/>
          <w:sz w:val="24"/>
          <w:szCs w:val="24"/>
        </w:rPr>
        <w:t xml:space="preserve">UPR </w:t>
      </w:r>
      <w:r w:rsidR="000B5928" w:rsidRPr="0086148A">
        <w:rPr>
          <w:rFonts w:ascii="Times New Roman" w:hAnsi="Times New Roman" w:cs="Times New Roman"/>
          <w:sz w:val="24"/>
          <w:szCs w:val="24"/>
        </w:rPr>
        <w:t>was contentious during the negotiation of the modalities for the UPR</w:t>
      </w:r>
      <w:bookmarkStart w:id="3" w:name="_Ref124608353"/>
      <w:r w:rsidR="00295F14" w:rsidRPr="0086148A">
        <w:rPr>
          <w:rStyle w:val="FootnoteReference"/>
          <w:rFonts w:ascii="Times New Roman" w:hAnsi="Times New Roman" w:cs="Times New Roman"/>
          <w:sz w:val="24"/>
          <w:szCs w:val="24"/>
        </w:rPr>
        <w:footnoteReference w:id="19"/>
      </w:r>
      <w:bookmarkEnd w:id="3"/>
      <w:r w:rsidR="000B5928" w:rsidRPr="0086148A">
        <w:rPr>
          <w:rFonts w:ascii="Times New Roman" w:hAnsi="Times New Roman" w:cs="Times New Roman"/>
          <w:sz w:val="24"/>
          <w:szCs w:val="24"/>
        </w:rPr>
        <w:t xml:space="preserve"> and </w:t>
      </w:r>
      <w:r w:rsidR="00295F14" w:rsidRPr="0086148A">
        <w:rPr>
          <w:rFonts w:ascii="Times New Roman" w:hAnsi="Times New Roman" w:cs="Times New Roman"/>
          <w:sz w:val="24"/>
          <w:szCs w:val="24"/>
        </w:rPr>
        <w:t xml:space="preserve">has been criticised in some of the literature. </w:t>
      </w:r>
      <w:r w:rsidR="008D7A63" w:rsidRPr="0086148A">
        <w:rPr>
          <w:rFonts w:ascii="Times New Roman" w:hAnsi="Times New Roman" w:cs="Times New Roman"/>
          <w:sz w:val="24"/>
          <w:szCs w:val="24"/>
        </w:rPr>
        <w:t xml:space="preserve">Several states (including Norway and Australia) had opposed, ultimately unsuccessfully, the inclusion of </w:t>
      </w:r>
      <w:r w:rsidR="009C41E6" w:rsidRPr="0086148A">
        <w:rPr>
          <w:rFonts w:ascii="Times New Roman" w:hAnsi="Times New Roman" w:cs="Times New Roman"/>
          <w:sz w:val="24"/>
          <w:szCs w:val="24"/>
        </w:rPr>
        <w:t>IHL</w:t>
      </w:r>
      <w:r w:rsidR="008D7A63" w:rsidRPr="0086148A">
        <w:rPr>
          <w:rFonts w:ascii="Times New Roman" w:hAnsi="Times New Roman" w:cs="Times New Roman"/>
          <w:sz w:val="24"/>
          <w:szCs w:val="24"/>
        </w:rPr>
        <w:t xml:space="preserve"> in the UPR on the basis that the mandate of the Human Rights Council did not include the promotion and protection of </w:t>
      </w:r>
      <w:r w:rsidR="009C41E6" w:rsidRPr="0086148A">
        <w:rPr>
          <w:rFonts w:ascii="Times New Roman" w:hAnsi="Times New Roman" w:cs="Times New Roman"/>
          <w:sz w:val="24"/>
          <w:szCs w:val="24"/>
        </w:rPr>
        <w:t>IHL</w:t>
      </w:r>
      <w:r w:rsidR="008D7A63" w:rsidRPr="0086148A">
        <w:rPr>
          <w:rFonts w:ascii="Times New Roman" w:hAnsi="Times New Roman" w:cs="Times New Roman"/>
          <w:sz w:val="24"/>
          <w:szCs w:val="24"/>
        </w:rPr>
        <w:t>.</w:t>
      </w:r>
      <w:r w:rsidR="008D7A63" w:rsidRPr="0086148A">
        <w:rPr>
          <w:rStyle w:val="FootnoteReference"/>
          <w:rFonts w:ascii="Times New Roman" w:hAnsi="Times New Roman" w:cs="Times New Roman"/>
          <w:sz w:val="24"/>
          <w:szCs w:val="24"/>
        </w:rPr>
        <w:footnoteReference w:id="20"/>
      </w:r>
      <w:r w:rsidR="008D7A63" w:rsidRPr="0086148A">
        <w:rPr>
          <w:rFonts w:ascii="Times New Roman" w:hAnsi="Times New Roman" w:cs="Times New Roman"/>
          <w:sz w:val="24"/>
          <w:szCs w:val="24"/>
        </w:rPr>
        <w:t xml:space="preserve"> </w:t>
      </w:r>
      <w:r w:rsidR="00D06172" w:rsidRPr="0086148A">
        <w:rPr>
          <w:rFonts w:ascii="Times New Roman" w:hAnsi="Times New Roman" w:cs="Times New Roman"/>
          <w:sz w:val="24"/>
          <w:szCs w:val="24"/>
        </w:rPr>
        <w:t>Claire Callejon</w:t>
      </w:r>
      <w:r w:rsidR="0085284B" w:rsidRPr="0086148A">
        <w:rPr>
          <w:rFonts w:ascii="Times New Roman" w:hAnsi="Times New Roman" w:cs="Times New Roman"/>
          <w:sz w:val="24"/>
          <w:szCs w:val="24"/>
        </w:rPr>
        <w:t xml:space="preserve"> argued that </w:t>
      </w:r>
      <w:r w:rsidR="00505395" w:rsidRPr="0086148A">
        <w:rPr>
          <w:rFonts w:ascii="Times New Roman" w:hAnsi="Times New Roman" w:cs="Times New Roman"/>
          <w:sz w:val="24"/>
          <w:szCs w:val="24"/>
        </w:rPr>
        <w:t xml:space="preserve">the inclusion of </w:t>
      </w:r>
      <w:r w:rsidR="009C41E6" w:rsidRPr="0086148A">
        <w:rPr>
          <w:rFonts w:ascii="Times New Roman" w:hAnsi="Times New Roman" w:cs="Times New Roman"/>
          <w:sz w:val="24"/>
          <w:szCs w:val="24"/>
        </w:rPr>
        <w:t>IHL</w:t>
      </w:r>
      <w:r w:rsidR="00505395" w:rsidRPr="0086148A">
        <w:rPr>
          <w:rFonts w:ascii="Times New Roman" w:hAnsi="Times New Roman" w:cs="Times New Roman"/>
          <w:sz w:val="24"/>
          <w:szCs w:val="24"/>
        </w:rPr>
        <w:t xml:space="preserve"> </w:t>
      </w:r>
      <w:r w:rsidR="00B04E1B" w:rsidRPr="0086148A">
        <w:rPr>
          <w:rFonts w:ascii="Times New Roman" w:hAnsi="Times New Roman" w:cs="Times New Roman"/>
          <w:sz w:val="24"/>
          <w:szCs w:val="24"/>
        </w:rPr>
        <w:t xml:space="preserve">as a basis for the UPR </w:t>
      </w:r>
      <w:r w:rsidR="00505395" w:rsidRPr="0086148A">
        <w:rPr>
          <w:rFonts w:ascii="Times New Roman" w:hAnsi="Times New Roman" w:cs="Times New Roman"/>
          <w:sz w:val="24"/>
          <w:szCs w:val="24"/>
        </w:rPr>
        <w:t>is ‘a questionable development as the Council has neither the mandate</w:t>
      </w:r>
      <w:r w:rsidR="00B04E1B" w:rsidRPr="0086148A">
        <w:rPr>
          <w:rFonts w:ascii="Times New Roman" w:hAnsi="Times New Roman" w:cs="Times New Roman"/>
          <w:sz w:val="24"/>
          <w:szCs w:val="24"/>
        </w:rPr>
        <w:t xml:space="preserve"> </w:t>
      </w:r>
      <w:r w:rsidR="00505395" w:rsidRPr="0086148A">
        <w:rPr>
          <w:rFonts w:ascii="Times New Roman" w:hAnsi="Times New Roman" w:cs="Times New Roman"/>
          <w:sz w:val="24"/>
          <w:szCs w:val="24"/>
        </w:rPr>
        <w:t>nor the competency to decide on the application of this body of law</w:t>
      </w:r>
      <w:r w:rsidR="00F21E13" w:rsidRPr="0086148A">
        <w:rPr>
          <w:rFonts w:ascii="Times New Roman" w:hAnsi="Times New Roman" w:cs="Times New Roman"/>
          <w:sz w:val="24"/>
          <w:szCs w:val="24"/>
        </w:rPr>
        <w:t>.</w:t>
      </w:r>
      <w:r w:rsidR="00B04E1B" w:rsidRPr="0086148A">
        <w:rPr>
          <w:rFonts w:ascii="Times New Roman" w:hAnsi="Times New Roman" w:cs="Times New Roman"/>
          <w:sz w:val="24"/>
          <w:szCs w:val="24"/>
        </w:rPr>
        <w:t>’</w:t>
      </w:r>
      <w:r w:rsidR="008A130A" w:rsidRPr="0086148A">
        <w:rPr>
          <w:rStyle w:val="FootnoteReference"/>
          <w:rFonts w:ascii="Times New Roman" w:hAnsi="Times New Roman" w:cs="Times New Roman"/>
          <w:sz w:val="24"/>
          <w:szCs w:val="24"/>
        </w:rPr>
        <w:footnoteReference w:id="21"/>
      </w:r>
      <w:r w:rsidR="00B5017D" w:rsidRPr="0086148A">
        <w:rPr>
          <w:rFonts w:ascii="Times New Roman" w:hAnsi="Times New Roman" w:cs="Times New Roman"/>
          <w:sz w:val="24"/>
          <w:szCs w:val="24"/>
        </w:rPr>
        <w:t xml:space="preserve"> </w:t>
      </w:r>
    </w:p>
    <w:p w14:paraId="61D65F1D" w14:textId="3BF5CE4E" w:rsidR="00B07B66" w:rsidRPr="0086148A" w:rsidRDefault="00C7531D"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However, </w:t>
      </w:r>
      <w:r w:rsidR="000E77E8" w:rsidRPr="0086148A">
        <w:rPr>
          <w:rFonts w:ascii="Times New Roman" w:hAnsi="Times New Roman" w:cs="Times New Roman"/>
          <w:sz w:val="24"/>
          <w:szCs w:val="24"/>
        </w:rPr>
        <w:t xml:space="preserve">there is </w:t>
      </w:r>
      <w:r w:rsidR="007644AE" w:rsidRPr="0086148A">
        <w:rPr>
          <w:rFonts w:ascii="Times New Roman" w:hAnsi="Times New Roman" w:cs="Times New Roman"/>
          <w:sz w:val="24"/>
          <w:szCs w:val="24"/>
        </w:rPr>
        <w:t xml:space="preserve">emerging evidence that </w:t>
      </w:r>
      <w:r w:rsidR="009C2619" w:rsidRPr="0086148A">
        <w:rPr>
          <w:rFonts w:ascii="Times New Roman" w:hAnsi="Times New Roman" w:cs="Times New Roman"/>
          <w:sz w:val="24"/>
          <w:szCs w:val="24"/>
        </w:rPr>
        <w:t>s</w:t>
      </w:r>
      <w:r w:rsidR="00146A77" w:rsidRPr="0086148A">
        <w:rPr>
          <w:rFonts w:ascii="Times New Roman" w:hAnsi="Times New Roman" w:cs="Times New Roman"/>
          <w:sz w:val="24"/>
          <w:szCs w:val="24"/>
        </w:rPr>
        <w:t xml:space="preserve">uggests </w:t>
      </w:r>
      <w:r w:rsidR="007644AE" w:rsidRPr="0086148A">
        <w:rPr>
          <w:rFonts w:ascii="Times New Roman" w:hAnsi="Times New Roman" w:cs="Times New Roman"/>
          <w:sz w:val="24"/>
          <w:szCs w:val="24"/>
        </w:rPr>
        <w:t xml:space="preserve">the UPR </w:t>
      </w:r>
      <w:r w:rsidR="0062752E" w:rsidRPr="0086148A">
        <w:rPr>
          <w:rFonts w:ascii="Times New Roman" w:hAnsi="Times New Roman" w:cs="Times New Roman"/>
          <w:sz w:val="24"/>
          <w:szCs w:val="24"/>
        </w:rPr>
        <w:t>can play</w:t>
      </w:r>
      <w:r w:rsidR="00E16CF3" w:rsidRPr="0086148A">
        <w:rPr>
          <w:rFonts w:ascii="Times New Roman" w:hAnsi="Times New Roman" w:cs="Times New Roman"/>
          <w:sz w:val="24"/>
          <w:szCs w:val="24"/>
        </w:rPr>
        <w:t xml:space="preserve"> a complementary role </w:t>
      </w:r>
      <w:r w:rsidR="003B54AA" w:rsidRPr="0086148A">
        <w:rPr>
          <w:rFonts w:ascii="Times New Roman" w:hAnsi="Times New Roman" w:cs="Times New Roman"/>
          <w:sz w:val="24"/>
          <w:szCs w:val="24"/>
        </w:rPr>
        <w:t>in relation to the treaty bodies,</w:t>
      </w:r>
      <w:r w:rsidR="004362EC" w:rsidRPr="0086148A">
        <w:rPr>
          <w:rFonts w:ascii="Times New Roman" w:hAnsi="Times New Roman" w:cs="Times New Roman"/>
          <w:sz w:val="24"/>
          <w:szCs w:val="24"/>
        </w:rPr>
        <w:t xml:space="preserve"> </w:t>
      </w:r>
      <w:r w:rsidR="00EA4766" w:rsidRPr="0086148A">
        <w:rPr>
          <w:rFonts w:ascii="Times New Roman" w:hAnsi="Times New Roman" w:cs="Times New Roman"/>
          <w:sz w:val="24"/>
          <w:szCs w:val="24"/>
        </w:rPr>
        <w:t>and reinforce</w:t>
      </w:r>
      <w:r w:rsidR="0062752E" w:rsidRPr="0086148A">
        <w:rPr>
          <w:rFonts w:ascii="Times New Roman" w:hAnsi="Times New Roman" w:cs="Times New Roman"/>
          <w:sz w:val="24"/>
          <w:szCs w:val="24"/>
        </w:rPr>
        <w:t>s</w:t>
      </w:r>
      <w:r w:rsidR="00EA4766" w:rsidRPr="0086148A">
        <w:rPr>
          <w:rFonts w:ascii="Times New Roman" w:hAnsi="Times New Roman" w:cs="Times New Roman"/>
          <w:sz w:val="24"/>
          <w:szCs w:val="24"/>
        </w:rPr>
        <w:t xml:space="preserve"> human rights recommendations from various human rights mechanisms</w:t>
      </w:r>
      <w:r w:rsidR="008D0F3E" w:rsidRPr="0086148A">
        <w:rPr>
          <w:rFonts w:ascii="Times New Roman" w:hAnsi="Times New Roman" w:cs="Times New Roman"/>
          <w:sz w:val="24"/>
          <w:szCs w:val="24"/>
        </w:rPr>
        <w:t xml:space="preserve">, including </w:t>
      </w:r>
      <w:r w:rsidR="009C41E6" w:rsidRPr="0086148A">
        <w:rPr>
          <w:rFonts w:ascii="Times New Roman" w:hAnsi="Times New Roman" w:cs="Times New Roman"/>
          <w:sz w:val="24"/>
          <w:szCs w:val="24"/>
        </w:rPr>
        <w:t>IHL</w:t>
      </w:r>
      <w:r w:rsidR="008D0F3E" w:rsidRPr="0086148A">
        <w:rPr>
          <w:rFonts w:ascii="Times New Roman" w:hAnsi="Times New Roman" w:cs="Times New Roman"/>
          <w:sz w:val="24"/>
          <w:szCs w:val="24"/>
        </w:rPr>
        <w:t xml:space="preserve">. </w:t>
      </w:r>
      <w:r w:rsidR="00146A77" w:rsidRPr="0086148A">
        <w:rPr>
          <w:rFonts w:ascii="Times New Roman" w:hAnsi="Times New Roman" w:cs="Times New Roman"/>
          <w:sz w:val="24"/>
          <w:szCs w:val="24"/>
        </w:rPr>
        <w:t xml:space="preserve">Helen Quane finds that </w:t>
      </w:r>
      <w:r w:rsidR="00D80DE1" w:rsidRPr="0086148A">
        <w:rPr>
          <w:rFonts w:ascii="Times New Roman" w:hAnsi="Times New Roman" w:cs="Times New Roman"/>
          <w:sz w:val="24"/>
          <w:szCs w:val="24"/>
        </w:rPr>
        <w:t>UPR recommendations have contributed to</w:t>
      </w:r>
      <w:r w:rsidR="00146A77" w:rsidRPr="0086148A">
        <w:rPr>
          <w:rFonts w:ascii="Times New Roman" w:hAnsi="Times New Roman" w:cs="Times New Roman"/>
          <w:sz w:val="24"/>
          <w:szCs w:val="24"/>
        </w:rPr>
        <w:t xml:space="preserve"> enhance the engagement of Asian states </w:t>
      </w:r>
      <w:r w:rsidR="001D131F" w:rsidRPr="0086148A">
        <w:rPr>
          <w:rFonts w:ascii="Times New Roman" w:hAnsi="Times New Roman" w:cs="Times New Roman"/>
          <w:sz w:val="24"/>
          <w:szCs w:val="24"/>
        </w:rPr>
        <w:t xml:space="preserve">with the </w:t>
      </w:r>
      <w:r w:rsidR="00D80DE1" w:rsidRPr="0086148A">
        <w:rPr>
          <w:rFonts w:ascii="Times New Roman" w:hAnsi="Times New Roman" w:cs="Times New Roman"/>
          <w:sz w:val="24"/>
          <w:szCs w:val="24"/>
        </w:rPr>
        <w:t xml:space="preserve">UN human rights </w:t>
      </w:r>
      <w:r w:rsidR="001D131F" w:rsidRPr="0086148A">
        <w:rPr>
          <w:rFonts w:ascii="Times New Roman" w:hAnsi="Times New Roman" w:cs="Times New Roman"/>
          <w:sz w:val="24"/>
          <w:szCs w:val="24"/>
        </w:rPr>
        <w:t xml:space="preserve">treaty bodies and </w:t>
      </w:r>
      <w:r w:rsidR="00D80DE1" w:rsidRPr="0086148A">
        <w:rPr>
          <w:rFonts w:ascii="Times New Roman" w:hAnsi="Times New Roman" w:cs="Times New Roman"/>
          <w:sz w:val="24"/>
          <w:szCs w:val="24"/>
        </w:rPr>
        <w:t>special procedures.</w:t>
      </w:r>
      <w:r w:rsidR="00D80DE1" w:rsidRPr="0086148A">
        <w:rPr>
          <w:rStyle w:val="FootnoteReference"/>
          <w:rFonts w:ascii="Times New Roman" w:hAnsi="Times New Roman" w:cs="Times New Roman"/>
          <w:sz w:val="24"/>
          <w:szCs w:val="24"/>
        </w:rPr>
        <w:footnoteReference w:id="22"/>
      </w:r>
      <w:r w:rsidR="00F85362" w:rsidRPr="0086148A">
        <w:rPr>
          <w:rFonts w:ascii="Times New Roman" w:hAnsi="Times New Roman" w:cs="Times New Roman"/>
          <w:sz w:val="24"/>
          <w:szCs w:val="24"/>
        </w:rPr>
        <w:t xml:space="preserve"> The UPR has also </w:t>
      </w:r>
      <w:r w:rsidR="00E8150E" w:rsidRPr="0086148A">
        <w:rPr>
          <w:rFonts w:ascii="Times New Roman" w:hAnsi="Times New Roman" w:cs="Times New Roman"/>
          <w:sz w:val="24"/>
          <w:szCs w:val="24"/>
        </w:rPr>
        <w:t xml:space="preserve">contributed to </w:t>
      </w:r>
      <w:r w:rsidR="00F85362" w:rsidRPr="0086148A">
        <w:rPr>
          <w:rFonts w:ascii="Times New Roman" w:hAnsi="Times New Roman" w:cs="Times New Roman"/>
          <w:sz w:val="24"/>
          <w:szCs w:val="24"/>
        </w:rPr>
        <w:t xml:space="preserve">improve compliance </w:t>
      </w:r>
      <w:r w:rsidR="00E8150E" w:rsidRPr="0086148A">
        <w:rPr>
          <w:rFonts w:ascii="Times New Roman" w:hAnsi="Times New Roman" w:cs="Times New Roman"/>
          <w:sz w:val="24"/>
          <w:szCs w:val="24"/>
        </w:rPr>
        <w:t>with human rights treaty body reporting obligations by s</w:t>
      </w:r>
      <w:r w:rsidR="000D3D73" w:rsidRPr="0086148A">
        <w:rPr>
          <w:rFonts w:ascii="Times New Roman" w:hAnsi="Times New Roman" w:cs="Times New Roman"/>
          <w:sz w:val="24"/>
          <w:szCs w:val="24"/>
        </w:rPr>
        <w:t>ome</w:t>
      </w:r>
      <w:r w:rsidR="00E8150E" w:rsidRPr="0086148A">
        <w:rPr>
          <w:rFonts w:ascii="Times New Roman" w:hAnsi="Times New Roman" w:cs="Times New Roman"/>
          <w:sz w:val="24"/>
          <w:szCs w:val="24"/>
        </w:rPr>
        <w:t xml:space="preserve"> African states.</w:t>
      </w:r>
      <w:r w:rsidR="00E8150E" w:rsidRPr="0086148A">
        <w:rPr>
          <w:rStyle w:val="FootnoteReference"/>
          <w:rFonts w:ascii="Times New Roman" w:hAnsi="Times New Roman" w:cs="Times New Roman"/>
          <w:sz w:val="24"/>
          <w:szCs w:val="24"/>
        </w:rPr>
        <w:footnoteReference w:id="23"/>
      </w:r>
      <w:r w:rsidR="00687D36" w:rsidRPr="0086148A">
        <w:rPr>
          <w:rFonts w:ascii="Times New Roman" w:hAnsi="Times New Roman" w:cs="Times New Roman"/>
          <w:sz w:val="24"/>
          <w:szCs w:val="24"/>
        </w:rPr>
        <w:t xml:space="preserve"> </w:t>
      </w:r>
      <w:r w:rsidR="00C65C2A" w:rsidRPr="0086148A">
        <w:rPr>
          <w:rFonts w:ascii="Times New Roman" w:hAnsi="Times New Roman" w:cs="Times New Roman"/>
          <w:sz w:val="24"/>
          <w:szCs w:val="24"/>
        </w:rPr>
        <w:t>I</w:t>
      </w:r>
      <w:r w:rsidR="00EF62A7" w:rsidRPr="0086148A">
        <w:rPr>
          <w:rFonts w:ascii="Times New Roman" w:hAnsi="Times New Roman" w:cs="Times New Roman"/>
          <w:sz w:val="24"/>
          <w:szCs w:val="24"/>
        </w:rPr>
        <w:t xml:space="preserve">n relation to </w:t>
      </w:r>
      <w:r w:rsidR="009C41E6" w:rsidRPr="0086148A">
        <w:rPr>
          <w:rFonts w:ascii="Times New Roman" w:hAnsi="Times New Roman" w:cs="Times New Roman"/>
          <w:sz w:val="24"/>
          <w:szCs w:val="24"/>
        </w:rPr>
        <w:t>IHL</w:t>
      </w:r>
      <w:r w:rsidR="00EF62A7" w:rsidRPr="0086148A">
        <w:rPr>
          <w:rFonts w:ascii="Times New Roman" w:hAnsi="Times New Roman" w:cs="Times New Roman"/>
          <w:sz w:val="24"/>
          <w:szCs w:val="24"/>
        </w:rPr>
        <w:t xml:space="preserve">, </w:t>
      </w:r>
      <w:r w:rsidR="009C41E6" w:rsidRPr="0086148A">
        <w:rPr>
          <w:rFonts w:ascii="Times New Roman" w:hAnsi="Times New Roman" w:cs="Times New Roman"/>
          <w:sz w:val="24"/>
          <w:szCs w:val="24"/>
        </w:rPr>
        <w:t>Lijiang Zhu finds that the UPR has been used as a forum to recommend ratification of IHL treaties and withdrawal of treaty reservations.</w:t>
      </w:r>
      <w:r w:rsidR="009C41E6" w:rsidRPr="0086148A">
        <w:rPr>
          <w:rStyle w:val="FootnoteReference"/>
          <w:rFonts w:ascii="Times New Roman" w:hAnsi="Times New Roman" w:cs="Times New Roman"/>
          <w:sz w:val="24"/>
          <w:szCs w:val="24"/>
        </w:rPr>
        <w:footnoteReference w:id="24"/>
      </w:r>
      <w:r w:rsidR="009C41E6" w:rsidRPr="0086148A">
        <w:rPr>
          <w:rFonts w:ascii="Times New Roman" w:hAnsi="Times New Roman" w:cs="Times New Roman"/>
          <w:sz w:val="24"/>
          <w:szCs w:val="24"/>
        </w:rPr>
        <w:t xml:space="preserve"> Over 1000 IHL recommendations have been made in the UPR process by states </w:t>
      </w:r>
      <w:r w:rsidR="009A1722" w:rsidRPr="0086148A">
        <w:rPr>
          <w:rFonts w:ascii="Times New Roman" w:hAnsi="Times New Roman" w:cs="Times New Roman"/>
          <w:sz w:val="24"/>
          <w:szCs w:val="24"/>
        </w:rPr>
        <w:t>during</w:t>
      </w:r>
      <w:r w:rsidR="009C41E6" w:rsidRPr="0086148A">
        <w:rPr>
          <w:rFonts w:ascii="Times New Roman" w:hAnsi="Times New Roman" w:cs="Times New Roman"/>
          <w:sz w:val="24"/>
          <w:szCs w:val="24"/>
        </w:rPr>
        <w:t xml:space="preserve"> the first three cycles of the mechanism</w:t>
      </w:r>
      <w:r w:rsidR="0072088D" w:rsidRPr="0086148A">
        <w:rPr>
          <w:rFonts w:ascii="Times New Roman" w:hAnsi="Times New Roman" w:cs="Times New Roman"/>
          <w:sz w:val="24"/>
          <w:szCs w:val="24"/>
        </w:rPr>
        <w:t>.</w:t>
      </w:r>
      <w:r w:rsidR="007A16DA" w:rsidRPr="0086148A">
        <w:rPr>
          <w:rFonts w:ascii="Times New Roman" w:hAnsi="Times New Roman" w:cs="Times New Roman"/>
          <w:sz w:val="24"/>
          <w:szCs w:val="24"/>
        </w:rPr>
        <w:t xml:space="preserve"> </w:t>
      </w:r>
      <w:r w:rsidR="0072088D" w:rsidRPr="0086148A">
        <w:rPr>
          <w:rFonts w:ascii="Times New Roman" w:hAnsi="Times New Roman" w:cs="Times New Roman"/>
          <w:sz w:val="24"/>
          <w:szCs w:val="24"/>
        </w:rPr>
        <w:t>S</w:t>
      </w:r>
      <w:r w:rsidR="007A16DA" w:rsidRPr="0086148A">
        <w:rPr>
          <w:rFonts w:ascii="Times New Roman" w:hAnsi="Times New Roman" w:cs="Times New Roman"/>
          <w:sz w:val="24"/>
          <w:szCs w:val="24"/>
        </w:rPr>
        <w:t xml:space="preserve">everal of these recommendations </w:t>
      </w:r>
      <w:r w:rsidR="009114BC" w:rsidRPr="0086148A">
        <w:rPr>
          <w:rFonts w:ascii="Times New Roman" w:hAnsi="Times New Roman" w:cs="Times New Roman"/>
          <w:sz w:val="24"/>
          <w:szCs w:val="24"/>
        </w:rPr>
        <w:t>are related to</w:t>
      </w:r>
      <w:r w:rsidR="0072088D" w:rsidRPr="0086148A">
        <w:rPr>
          <w:rFonts w:ascii="Times New Roman" w:hAnsi="Times New Roman" w:cs="Times New Roman"/>
          <w:sz w:val="24"/>
          <w:szCs w:val="24"/>
        </w:rPr>
        <w:t xml:space="preserve"> </w:t>
      </w:r>
      <w:r w:rsidR="009114BC" w:rsidRPr="0086148A">
        <w:rPr>
          <w:rFonts w:ascii="Times New Roman" w:hAnsi="Times New Roman" w:cs="Times New Roman"/>
          <w:sz w:val="24"/>
          <w:szCs w:val="24"/>
        </w:rPr>
        <w:t>transitional justice processes.</w:t>
      </w:r>
      <w:r w:rsidR="009C41E6" w:rsidRPr="0086148A">
        <w:rPr>
          <w:rStyle w:val="FootnoteReference"/>
          <w:rFonts w:ascii="Times New Roman" w:hAnsi="Times New Roman" w:cs="Times New Roman"/>
          <w:sz w:val="24"/>
          <w:szCs w:val="24"/>
        </w:rPr>
        <w:footnoteReference w:id="25"/>
      </w:r>
      <w:r w:rsidR="009C41E6" w:rsidRPr="0086148A">
        <w:rPr>
          <w:rFonts w:ascii="Times New Roman" w:hAnsi="Times New Roman" w:cs="Times New Roman"/>
          <w:sz w:val="24"/>
          <w:szCs w:val="24"/>
        </w:rPr>
        <w:t xml:space="preserve"> </w:t>
      </w:r>
    </w:p>
    <w:p w14:paraId="65447020" w14:textId="7BB46F62" w:rsidR="00EE3D98" w:rsidRPr="0086148A" w:rsidRDefault="793D61D6"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Transitional justice scholars generally embrace a human rights-based approach that seek to empower victims, and transitional justice goals including peace, reconciliation, truth-telling, prosecution, reparations, restitution, deterrence and prevention, are intertwined with international human rights law. </w:t>
      </w:r>
      <w:r w:rsidR="00186B51" w:rsidRPr="0086148A">
        <w:rPr>
          <w:rFonts w:ascii="Times New Roman" w:hAnsi="Times New Roman" w:cs="Times New Roman"/>
          <w:sz w:val="24"/>
          <w:szCs w:val="24"/>
        </w:rPr>
        <w:t>T</w:t>
      </w:r>
      <w:r w:rsidR="00FA640E" w:rsidRPr="0086148A">
        <w:rPr>
          <w:rFonts w:ascii="Times New Roman" w:hAnsi="Times New Roman" w:cs="Times New Roman"/>
          <w:sz w:val="24"/>
          <w:szCs w:val="24"/>
        </w:rPr>
        <w:t>he</w:t>
      </w:r>
      <w:r w:rsidR="006C76FC" w:rsidRPr="0086148A">
        <w:rPr>
          <w:rFonts w:ascii="Times New Roman" w:hAnsi="Times New Roman" w:cs="Times New Roman"/>
          <w:sz w:val="24"/>
          <w:szCs w:val="24"/>
        </w:rPr>
        <w:t xml:space="preserve"> </w:t>
      </w:r>
      <w:r w:rsidR="000521CE" w:rsidRPr="0086148A">
        <w:rPr>
          <w:rFonts w:ascii="Times New Roman" w:hAnsi="Times New Roman" w:cs="Times New Roman"/>
          <w:sz w:val="24"/>
          <w:szCs w:val="24"/>
        </w:rPr>
        <w:t xml:space="preserve">ability </w:t>
      </w:r>
      <w:r w:rsidR="00105111" w:rsidRPr="0086148A">
        <w:rPr>
          <w:rFonts w:ascii="Times New Roman" w:hAnsi="Times New Roman" w:cs="Times New Roman"/>
          <w:sz w:val="24"/>
          <w:szCs w:val="24"/>
        </w:rPr>
        <w:t xml:space="preserve">of the UPR to complement other </w:t>
      </w:r>
      <w:r w:rsidR="00FE2AD2" w:rsidRPr="0086148A">
        <w:rPr>
          <w:rFonts w:ascii="Times New Roman" w:hAnsi="Times New Roman" w:cs="Times New Roman"/>
          <w:sz w:val="24"/>
          <w:szCs w:val="24"/>
        </w:rPr>
        <w:t xml:space="preserve">human rights </w:t>
      </w:r>
      <w:r w:rsidR="0786EA04" w:rsidRPr="0086148A">
        <w:rPr>
          <w:rFonts w:ascii="Times New Roman" w:hAnsi="Times New Roman" w:cs="Times New Roman"/>
          <w:sz w:val="24"/>
          <w:szCs w:val="24"/>
        </w:rPr>
        <w:t>mechanisms</w:t>
      </w:r>
      <w:r w:rsidR="00FE2AD2" w:rsidRPr="0086148A">
        <w:rPr>
          <w:rFonts w:ascii="Times New Roman" w:hAnsi="Times New Roman" w:cs="Times New Roman"/>
          <w:sz w:val="24"/>
          <w:szCs w:val="24"/>
        </w:rPr>
        <w:t xml:space="preserve"> can create a complex </w:t>
      </w:r>
      <w:r w:rsidR="00CC3701" w:rsidRPr="0086148A">
        <w:rPr>
          <w:rFonts w:ascii="Times New Roman" w:hAnsi="Times New Roman" w:cs="Times New Roman"/>
          <w:sz w:val="24"/>
          <w:szCs w:val="24"/>
        </w:rPr>
        <w:t xml:space="preserve">regime </w:t>
      </w:r>
      <w:r w:rsidR="00657F07" w:rsidRPr="0086148A">
        <w:rPr>
          <w:rFonts w:ascii="Times New Roman" w:hAnsi="Times New Roman" w:cs="Times New Roman"/>
          <w:sz w:val="24"/>
          <w:szCs w:val="24"/>
        </w:rPr>
        <w:t xml:space="preserve">in which there is </w:t>
      </w:r>
      <w:r w:rsidR="004F613F" w:rsidRPr="0086148A">
        <w:rPr>
          <w:rFonts w:ascii="Times New Roman" w:hAnsi="Times New Roman" w:cs="Times New Roman"/>
          <w:sz w:val="24"/>
          <w:szCs w:val="24"/>
        </w:rPr>
        <w:t>duplication</w:t>
      </w:r>
      <w:r w:rsidR="00657F07" w:rsidRPr="0086148A">
        <w:rPr>
          <w:rFonts w:ascii="Times New Roman" w:hAnsi="Times New Roman" w:cs="Times New Roman"/>
          <w:sz w:val="24"/>
          <w:szCs w:val="24"/>
        </w:rPr>
        <w:t xml:space="preserve"> of human rights recommendations</w:t>
      </w:r>
      <w:r w:rsidR="00406BAA" w:rsidRPr="0086148A">
        <w:rPr>
          <w:rFonts w:ascii="Times New Roman" w:hAnsi="Times New Roman" w:cs="Times New Roman"/>
          <w:sz w:val="24"/>
          <w:szCs w:val="24"/>
        </w:rPr>
        <w:t xml:space="preserve"> between domestic and international human rights mecha</w:t>
      </w:r>
      <w:r w:rsidR="00BD33A3" w:rsidRPr="0086148A">
        <w:rPr>
          <w:rFonts w:ascii="Times New Roman" w:hAnsi="Times New Roman" w:cs="Times New Roman"/>
          <w:sz w:val="24"/>
          <w:szCs w:val="24"/>
        </w:rPr>
        <w:t>nism</w:t>
      </w:r>
      <w:r w:rsidR="00406BAA" w:rsidRPr="0086148A">
        <w:rPr>
          <w:rFonts w:ascii="Times New Roman" w:hAnsi="Times New Roman" w:cs="Times New Roman"/>
          <w:sz w:val="24"/>
          <w:szCs w:val="24"/>
        </w:rPr>
        <w:t>, and between</w:t>
      </w:r>
      <w:r w:rsidR="00BD33A3" w:rsidRPr="0086148A">
        <w:rPr>
          <w:rFonts w:ascii="Times New Roman" w:hAnsi="Times New Roman" w:cs="Times New Roman"/>
          <w:sz w:val="24"/>
          <w:szCs w:val="24"/>
        </w:rPr>
        <w:t xml:space="preserve"> different international human rights bodies</w:t>
      </w:r>
      <w:r w:rsidR="00657F07" w:rsidRPr="0086148A">
        <w:rPr>
          <w:rFonts w:ascii="Times New Roman" w:hAnsi="Times New Roman" w:cs="Times New Roman"/>
          <w:sz w:val="24"/>
          <w:szCs w:val="24"/>
        </w:rPr>
        <w:t xml:space="preserve">. </w:t>
      </w:r>
      <w:r w:rsidR="004E61E7" w:rsidRPr="0086148A">
        <w:rPr>
          <w:rFonts w:ascii="Times New Roman" w:hAnsi="Times New Roman" w:cs="Times New Roman"/>
          <w:sz w:val="24"/>
          <w:szCs w:val="24"/>
        </w:rPr>
        <w:t>Valentina Carraro</w:t>
      </w:r>
      <w:r w:rsidR="00C35EAC" w:rsidRPr="0086148A">
        <w:rPr>
          <w:rFonts w:ascii="Times New Roman" w:hAnsi="Times New Roman" w:cs="Times New Roman"/>
          <w:sz w:val="24"/>
          <w:szCs w:val="24"/>
        </w:rPr>
        <w:t xml:space="preserve"> undertakes the first empirical </w:t>
      </w:r>
      <w:r w:rsidR="00D44665" w:rsidRPr="0086148A">
        <w:rPr>
          <w:rFonts w:ascii="Times New Roman" w:hAnsi="Times New Roman" w:cs="Times New Roman"/>
          <w:sz w:val="24"/>
          <w:szCs w:val="24"/>
        </w:rPr>
        <w:t>study that</w:t>
      </w:r>
      <w:r w:rsidR="00C35EAC" w:rsidRPr="0086148A">
        <w:rPr>
          <w:rFonts w:ascii="Times New Roman" w:hAnsi="Times New Roman" w:cs="Times New Roman"/>
          <w:sz w:val="24"/>
          <w:szCs w:val="24"/>
        </w:rPr>
        <w:t xml:space="preserve"> finds that </w:t>
      </w:r>
      <w:r w:rsidR="00B91122" w:rsidRPr="0086148A">
        <w:rPr>
          <w:rFonts w:ascii="Times New Roman" w:hAnsi="Times New Roman" w:cs="Times New Roman"/>
          <w:sz w:val="24"/>
          <w:szCs w:val="24"/>
        </w:rPr>
        <w:t xml:space="preserve">duplications are frequent between recommendations made by </w:t>
      </w:r>
      <w:r w:rsidR="5310C488" w:rsidRPr="0086148A">
        <w:rPr>
          <w:rFonts w:ascii="Times New Roman" w:hAnsi="Times New Roman" w:cs="Times New Roman"/>
          <w:sz w:val="24"/>
          <w:szCs w:val="24"/>
        </w:rPr>
        <w:t>states in the UPR process and those made by</w:t>
      </w:r>
      <w:r w:rsidR="00B91122" w:rsidRPr="0086148A">
        <w:rPr>
          <w:rFonts w:ascii="Times New Roman" w:hAnsi="Times New Roman" w:cs="Times New Roman"/>
          <w:sz w:val="24"/>
          <w:szCs w:val="24"/>
        </w:rPr>
        <w:t xml:space="preserve"> </w:t>
      </w:r>
      <w:r w:rsidR="5310C488" w:rsidRPr="0086148A">
        <w:rPr>
          <w:rFonts w:ascii="Times New Roman" w:hAnsi="Times New Roman" w:cs="Times New Roman"/>
          <w:sz w:val="24"/>
          <w:szCs w:val="24"/>
        </w:rPr>
        <w:t>human rights treaty bodies.</w:t>
      </w:r>
      <w:r w:rsidR="0057691B" w:rsidRPr="0086148A">
        <w:rPr>
          <w:rStyle w:val="FootnoteReference"/>
          <w:rFonts w:ascii="Times New Roman" w:hAnsi="Times New Roman" w:cs="Times New Roman"/>
          <w:sz w:val="24"/>
          <w:szCs w:val="24"/>
        </w:rPr>
        <w:footnoteReference w:id="26"/>
      </w:r>
      <w:r w:rsidR="73DC6034" w:rsidRPr="0086148A">
        <w:rPr>
          <w:rFonts w:ascii="Times New Roman" w:hAnsi="Times New Roman" w:cs="Times New Roman"/>
          <w:sz w:val="24"/>
          <w:szCs w:val="24"/>
        </w:rPr>
        <w:t xml:space="preserve"> </w:t>
      </w:r>
      <w:r w:rsidR="0D9D002F" w:rsidRPr="0086148A">
        <w:rPr>
          <w:rFonts w:ascii="Times New Roman" w:hAnsi="Times New Roman" w:cs="Times New Roman"/>
          <w:sz w:val="24"/>
          <w:szCs w:val="24"/>
        </w:rPr>
        <w:t>In addition, s</w:t>
      </w:r>
      <w:r w:rsidR="6A77A2D6" w:rsidRPr="0086148A">
        <w:rPr>
          <w:rFonts w:ascii="Times New Roman" w:hAnsi="Times New Roman" w:cs="Times New Roman"/>
          <w:sz w:val="24"/>
          <w:szCs w:val="24"/>
        </w:rPr>
        <w:t>cholars</w:t>
      </w:r>
      <w:r w:rsidR="00AD52A7" w:rsidRPr="0086148A">
        <w:rPr>
          <w:rFonts w:ascii="Times New Roman" w:hAnsi="Times New Roman" w:cs="Times New Roman"/>
          <w:sz w:val="24"/>
          <w:szCs w:val="24"/>
        </w:rPr>
        <w:t xml:space="preserve"> have highlighted the </w:t>
      </w:r>
      <w:r w:rsidR="00AF76EB" w:rsidRPr="0086148A">
        <w:rPr>
          <w:rFonts w:ascii="Times New Roman" w:hAnsi="Times New Roman" w:cs="Times New Roman"/>
          <w:sz w:val="24"/>
          <w:szCs w:val="24"/>
        </w:rPr>
        <w:t>impact of the UPR</w:t>
      </w:r>
      <w:r w:rsidR="001A3ACA" w:rsidRPr="0086148A">
        <w:rPr>
          <w:rFonts w:ascii="Times New Roman" w:hAnsi="Times New Roman" w:cs="Times New Roman"/>
          <w:sz w:val="24"/>
          <w:szCs w:val="24"/>
        </w:rPr>
        <w:t xml:space="preserve"> in </w:t>
      </w:r>
      <w:r w:rsidR="00377BD2" w:rsidRPr="0086148A">
        <w:rPr>
          <w:rFonts w:ascii="Times New Roman" w:hAnsi="Times New Roman" w:cs="Times New Roman"/>
          <w:sz w:val="24"/>
          <w:szCs w:val="24"/>
        </w:rPr>
        <w:t xml:space="preserve">advancing </w:t>
      </w:r>
      <w:r w:rsidR="00A64654" w:rsidRPr="0086148A">
        <w:rPr>
          <w:rFonts w:ascii="Times New Roman" w:hAnsi="Times New Roman" w:cs="Times New Roman"/>
          <w:sz w:val="24"/>
          <w:szCs w:val="24"/>
        </w:rPr>
        <w:t>a range of</w:t>
      </w:r>
      <w:r w:rsidR="00377BD2" w:rsidRPr="0086148A">
        <w:rPr>
          <w:rFonts w:ascii="Times New Roman" w:hAnsi="Times New Roman" w:cs="Times New Roman"/>
          <w:sz w:val="24"/>
          <w:szCs w:val="24"/>
        </w:rPr>
        <w:t xml:space="preserve"> human rights thematic issues</w:t>
      </w:r>
      <w:r w:rsidR="00AF76EB" w:rsidRPr="0086148A">
        <w:rPr>
          <w:rFonts w:ascii="Times New Roman" w:hAnsi="Times New Roman" w:cs="Times New Roman"/>
          <w:sz w:val="24"/>
          <w:szCs w:val="24"/>
        </w:rPr>
        <w:t xml:space="preserve"> at the </w:t>
      </w:r>
      <w:r w:rsidR="00AF76EB" w:rsidRPr="0086148A">
        <w:rPr>
          <w:rFonts w:ascii="Times New Roman" w:hAnsi="Times New Roman" w:cs="Times New Roman"/>
          <w:sz w:val="24"/>
          <w:szCs w:val="24"/>
        </w:rPr>
        <w:lastRenderedPageBreak/>
        <w:t>domestic level</w:t>
      </w:r>
      <w:r w:rsidR="00377BD2" w:rsidRPr="0086148A">
        <w:rPr>
          <w:rFonts w:ascii="Times New Roman" w:hAnsi="Times New Roman" w:cs="Times New Roman"/>
          <w:sz w:val="24"/>
          <w:szCs w:val="24"/>
        </w:rPr>
        <w:t xml:space="preserve"> including, </w:t>
      </w:r>
      <w:r w:rsidR="5C2C2559" w:rsidRPr="0086148A">
        <w:rPr>
          <w:rFonts w:ascii="Times New Roman" w:hAnsi="Times New Roman" w:cs="Times New Roman"/>
          <w:sz w:val="24"/>
          <w:szCs w:val="24"/>
        </w:rPr>
        <w:t>health,</w:t>
      </w:r>
      <w:bookmarkStart w:id="4" w:name="_Ref124615485"/>
      <w:r w:rsidR="00A64654" w:rsidRPr="0086148A">
        <w:rPr>
          <w:rStyle w:val="FootnoteReference"/>
          <w:rFonts w:ascii="Times New Roman" w:hAnsi="Times New Roman" w:cs="Times New Roman"/>
          <w:sz w:val="24"/>
          <w:szCs w:val="24"/>
        </w:rPr>
        <w:footnoteReference w:id="27"/>
      </w:r>
      <w:bookmarkEnd w:id="4"/>
      <w:r w:rsidR="1E046829" w:rsidRPr="0086148A">
        <w:rPr>
          <w:rFonts w:ascii="Times New Roman" w:hAnsi="Times New Roman" w:cs="Times New Roman"/>
          <w:sz w:val="24"/>
          <w:szCs w:val="24"/>
        </w:rPr>
        <w:t xml:space="preserve"> indigenous rights,</w:t>
      </w:r>
      <w:r w:rsidR="00B262A0" w:rsidRPr="0086148A">
        <w:rPr>
          <w:rStyle w:val="FootnoteReference"/>
          <w:rFonts w:ascii="Times New Roman" w:hAnsi="Times New Roman" w:cs="Times New Roman"/>
          <w:sz w:val="24"/>
          <w:szCs w:val="24"/>
        </w:rPr>
        <w:footnoteReference w:id="28"/>
      </w:r>
      <w:r w:rsidR="0BF026CD" w:rsidRPr="0086148A">
        <w:rPr>
          <w:rFonts w:ascii="Times New Roman" w:hAnsi="Times New Roman" w:cs="Times New Roman"/>
          <w:sz w:val="24"/>
          <w:szCs w:val="24"/>
        </w:rPr>
        <w:t xml:space="preserve"> </w:t>
      </w:r>
      <w:r w:rsidR="00A64654" w:rsidRPr="0086148A">
        <w:rPr>
          <w:rFonts w:ascii="Times New Roman" w:hAnsi="Times New Roman" w:cs="Times New Roman"/>
          <w:sz w:val="24"/>
          <w:szCs w:val="24"/>
        </w:rPr>
        <w:t>rights of sexual minorities</w:t>
      </w:r>
      <w:r w:rsidR="7C8C1583" w:rsidRPr="0086148A">
        <w:rPr>
          <w:rFonts w:ascii="Times New Roman" w:hAnsi="Times New Roman" w:cs="Times New Roman"/>
          <w:sz w:val="24"/>
          <w:szCs w:val="24"/>
        </w:rPr>
        <w:t>,</w:t>
      </w:r>
      <w:r w:rsidR="00B262A0" w:rsidRPr="0086148A">
        <w:rPr>
          <w:rStyle w:val="FootnoteReference"/>
          <w:rFonts w:ascii="Times New Roman" w:hAnsi="Times New Roman" w:cs="Times New Roman"/>
          <w:sz w:val="24"/>
          <w:szCs w:val="24"/>
        </w:rPr>
        <w:footnoteReference w:id="29"/>
      </w:r>
      <w:r w:rsidR="00B262A0" w:rsidRPr="0086148A">
        <w:rPr>
          <w:rFonts w:ascii="Times New Roman" w:hAnsi="Times New Roman" w:cs="Times New Roman"/>
          <w:sz w:val="24"/>
          <w:szCs w:val="24"/>
        </w:rPr>
        <w:t xml:space="preserve"> </w:t>
      </w:r>
      <w:r w:rsidR="00A64654" w:rsidRPr="0086148A">
        <w:rPr>
          <w:rFonts w:ascii="Times New Roman" w:hAnsi="Times New Roman" w:cs="Times New Roman"/>
          <w:sz w:val="24"/>
          <w:szCs w:val="24"/>
        </w:rPr>
        <w:t>abolition of the death penalty</w:t>
      </w:r>
      <w:r w:rsidR="43E0F11D" w:rsidRPr="0086148A">
        <w:rPr>
          <w:rFonts w:ascii="Times New Roman" w:hAnsi="Times New Roman" w:cs="Times New Roman"/>
          <w:sz w:val="24"/>
          <w:szCs w:val="24"/>
        </w:rPr>
        <w:t>,</w:t>
      </w:r>
      <w:r w:rsidR="00B262A0" w:rsidRPr="0086148A">
        <w:rPr>
          <w:rStyle w:val="FootnoteReference"/>
          <w:rFonts w:ascii="Times New Roman" w:hAnsi="Times New Roman" w:cs="Times New Roman"/>
          <w:sz w:val="24"/>
          <w:szCs w:val="24"/>
        </w:rPr>
        <w:footnoteReference w:id="30"/>
      </w:r>
      <w:r w:rsidR="721F1CD7" w:rsidRPr="0086148A">
        <w:rPr>
          <w:rFonts w:ascii="Times New Roman" w:hAnsi="Times New Roman" w:cs="Times New Roman"/>
          <w:sz w:val="24"/>
          <w:szCs w:val="24"/>
        </w:rPr>
        <w:t xml:space="preserve"> and </w:t>
      </w:r>
      <w:r w:rsidR="00E97D98" w:rsidRPr="0086148A">
        <w:rPr>
          <w:rFonts w:ascii="Times New Roman" w:hAnsi="Times New Roman" w:cs="Times New Roman"/>
          <w:sz w:val="24"/>
          <w:szCs w:val="24"/>
        </w:rPr>
        <w:t xml:space="preserve">peace and </w:t>
      </w:r>
      <w:r w:rsidR="00B262A0" w:rsidRPr="0086148A">
        <w:rPr>
          <w:rFonts w:ascii="Times New Roman" w:hAnsi="Times New Roman" w:cs="Times New Roman"/>
          <w:sz w:val="24"/>
          <w:szCs w:val="24"/>
        </w:rPr>
        <w:t>development</w:t>
      </w:r>
      <w:r w:rsidR="1810A2E1" w:rsidRPr="0086148A">
        <w:rPr>
          <w:rFonts w:ascii="Times New Roman" w:hAnsi="Times New Roman" w:cs="Times New Roman"/>
          <w:sz w:val="24"/>
          <w:szCs w:val="24"/>
        </w:rPr>
        <w:t>.</w:t>
      </w:r>
      <w:r w:rsidR="00E97D98" w:rsidRPr="0086148A">
        <w:rPr>
          <w:rStyle w:val="FootnoteReference"/>
          <w:rFonts w:ascii="Times New Roman" w:hAnsi="Times New Roman" w:cs="Times New Roman"/>
          <w:sz w:val="24"/>
          <w:szCs w:val="24"/>
        </w:rPr>
        <w:footnoteReference w:id="31"/>
      </w:r>
      <w:r w:rsidR="00282456" w:rsidRPr="0086148A">
        <w:rPr>
          <w:rFonts w:ascii="Times New Roman" w:hAnsi="Times New Roman" w:cs="Times New Roman"/>
          <w:sz w:val="24"/>
          <w:szCs w:val="24"/>
        </w:rPr>
        <w:t xml:space="preserve"> </w:t>
      </w:r>
      <w:r w:rsidR="00CD1A8F" w:rsidRPr="0086148A">
        <w:rPr>
          <w:rFonts w:ascii="Times New Roman" w:hAnsi="Times New Roman" w:cs="Times New Roman"/>
          <w:sz w:val="24"/>
          <w:szCs w:val="24"/>
        </w:rPr>
        <w:t>This paper adds to tha</w:t>
      </w:r>
      <w:r w:rsidR="00ED730E" w:rsidRPr="0086148A">
        <w:rPr>
          <w:rFonts w:ascii="Times New Roman" w:hAnsi="Times New Roman" w:cs="Times New Roman"/>
          <w:sz w:val="24"/>
          <w:szCs w:val="24"/>
        </w:rPr>
        <w:t xml:space="preserve">t body of knowledge </w:t>
      </w:r>
      <w:r w:rsidR="009C39F8" w:rsidRPr="0086148A">
        <w:rPr>
          <w:rFonts w:ascii="Times New Roman" w:hAnsi="Times New Roman" w:cs="Times New Roman"/>
          <w:sz w:val="24"/>
          <w:szCs w:val="24"/>
        </w:rPr>
        <w:t xml:space="preserve">by examining the relationship between the UPR and transitional justice. </w:t>
      </w:r>
      <w:r w:rsidR="007B5116" w:rsidRPr="0086148A">
        <w:rPr>
          <w:rFonts w:ascii="Times New Roman" w:hAnsi="Times New Roman" w:cs="Times New Roman"/>
          <w:sz w:val="24"/>
          <w:szCs w:val="24"/>
        </w:rPr>
        <w:t>It</w:t>
      </w:r>
      <w:r w:rsidR="002329D5" w:rsidRPr="0086148A">
        <w:rPr>
          <w:rFonts w:ascii="Times New Roman" w:hAnsi="Times New Roman" w:cs="Times New Roman"/>
          <w:sz w:val="24"/>
          <w:szCs w:val="24"/>
        </w:rPr>
        <w:t xml:space="preserve"> </w:t>
      </w:r>
      <w:r w:rsidR="00187D6D" w:rsidRPr="0086148A">
        <w:rPr>
          <w:rFonts w:ascii="Times New Roman" w:hAnsi="Times New Roman" w:cs="Times New Roman"/>
          <w:sz w:val="24"/>
          <w:szCs w:val="24"/>
        </w:rPr>
        <w:t>acknowledges</w:t>
      </w:r>
      <w:r w:rsidR="002329D5" w:rsidRPr="0086148A">
        <w:rPr>
          <w:rFonts w:ascii="Times New Roman" w:hAnsi="Times New Roman" w:cs="Times New Roman"/>
          <w:sz w:val="24"/>
          <w:szCs w:val="24"/>
        </w:rPr>
        <w:t xml:space="preserve"> the existence of </w:t>
      </w:r>
      <w:r w:rsidR="00BB1C8B" w:rsidRPr="0086148A">
        <w:rPr>
          <w:rFonts w:ascii="Times New Roman" w:hAnsi="Times New Roman" w:cs="Times New Roman"/>
          <w:sz w:val="24"/>
          <w:szCs w:val="24"/>
        </w:rPr>
        <w:t>duplication of human rights recommendations but vi</w:t>
      </w:r>
      <w:r w:rsidR="00706BAE" w:rsidRPr="0086148A">
        <w:rPr>
          <w:rFonts w:ascii="Times New Roman" w:hAnsi="Times New Roman" w:cs="Times New Roman"/>
          <w:sz w:val="24"/>
          <w:szCs w:val="24"/>
        </w:rPr>
        <w:t>ews</w:t>
      </w:r>
      <w:r w:rsidR="00BB1C8B" w:rsidRPr="0086148A">
        <w:rPr>
          <w:rFonts w:ascii="Times New Roman" w:hAnsi="Times New Roman" w:cs="Times New Roman"/>
          <w:sz w:val="24"/>
          <w:szCs w:val="24"/>
        </w:rPr>
        <w:t xml:space="preserve"> this </w:t>
      </w:r>
      <w:r w:rsidR="00084B73" w:rsidRPr="0086148A">
        <w:rPr>
          <w:rFonts w:ascii="Times New Roman" w:hAnsi="Times New Roman" w:cs="Times New Roman"/>
          <w:sz w:val="24"/>
          <w:szCs w:val="24"/>
        </w:rPr>
        <w:t xml:space="preserve">rather </w:t>
      </w:r>
      <w:r w:rsidR="00BB1C8B" w:rsidRPr="0086148A">
        <w:rPr>
          <w:rFonts w:ascii="Times New Roman" w:hAnsi="Times New Roman" w:cs="Times New Roman"/>
          <w:sz w:val="24"/>
          <w:szCs w:val="24"/>
        </w:rPr>
        <w:t xml:space="preserve">positively. </w:t>
      </w:r>
      <w:r w:rsidR="003741E6" w:rsidRPr="0086148A">
        <w:rPr>
          <w:rFonts w:ascii="Times New Roman" w:hAnsi="Times New Roman" w:cs="Times New Roman"/>
          <w:sz w:val="24"/>
          <w:szCs w:val="24"/>
        </w:rPr>
        <w:t xml:space="preserve">The chapter argues that the </w:t>
      </w:r>
      <w:r w:rsidR="00884373" w:rsidRPr="0086148A">
        <w:rPr>
          <w:rFonts w:ascii="Times New Roman" w:hAnsi="Times New Roman" w:cs="Times New Roman"/>
          <w:sz w:val="24"/>
          <w:szCs w:val="24"/>
        </w:rPr>
        <w:t xml:space="preserve">ability of the </w:t>
      </w:r>
      <w:r w:rsidR="003741E6" w:rsidRPr="0086148A">
        <w:rPr>
          <w:rFonts w:ascii="Times New Roman" w:hAnsi="Times New Roman" w:cs="Times New Roman"/>
          <w:sz w:val="24"/>
          <w:szCs w:val="24"/>
        </w:rPr>
        <w:t>UPR</w:t>
      </w:r>
      <w:r w:rsidR="00884373" w:rsidRPr="0086148A">
        <w:rPr>
          <w:rFonts w:ascii="Times New Roman" w:hAnsi="Times New Roman" w:cs="Times New Roman"/>
          <w:sz w:val="24"/>
          <w:szCs w:val="24"/>
        </w:rPr>
        <w:t xml:space="preserve"> to complement, support</w:t>
      </w:r>
      <w:r w:rsidR="00A85975" w:rsidRPr="0086148A">
        <w:rPr>
          <w:rFonts w:ascii="Times New Roman" w:hAnsi="Times New Roman" w:cs="Times New Roman"/>
          <w:sz w:val="24"/>
          <w:szCs w:val="24"/>
        </w:rPr>
        <w:t>,</w:t>
      </w:r>
      <w:r w:rsidR="00884373" w:rsidRPr="0086148A">
        <w:rPr>
          <w:rFonts w:ascii="Times New Roman" w:hAnsi="Times New Roman" w:cs="Times New Roman"/>
          <w:sz w:val="24"/>
          <w:szCs w:val="24"/>
        </w:rPr>
        <w:t xml:space="preserve"> and </w:t>
      </w:r>
      <w:r w:rsidR="00DC7434" w:rsidRPr="0086148A">
        <w:rPr>
          <w:rFonts w:ascii="Times New Roman" w:hAnsi="Times New Roman" w:cs="Times New Roman"/>
          <w:sz w:val="24"/>
          <w:szCs w:val="24"/>
        </w:rPr>
        <w:t>promote</w:t>
      </w:r>
      <w:r w:rsidR="00884373" w:rsidRPr="0086148A">
        <w:rPr>
          <w:rFonts w:ascii="Times New Roman" w:hAnsi="Times New Roman" w:cs="Times New Roman"/>
          <w:sz w:val="24"/>
          <w:szCs w:val="24"/>
        </w:rPr>
        <w:t xml:space="preserve"> transitional </w:t>
      </w:r>
      <w:r w:rsidR="00A85975" w:rsidRPr="0086148A">
        <w:rPr>
          <w:rFonts w:ascii="Times New Roman" w:hAnsi="Times New Roman" w:cs="Times New Roman"/>
          <w:sz w:val="24"/>
          <w:szCs w:val="24"/>
        </w:rPr>
        <w:t>justice mechanisms is an achievable utopian goa</w:t>
      </w:r>
      <w:r w:rsidR="0043335D" w:rsidRPr="0086148A">
        <w:rPr>
          <w:rFonts w:ascii="Times New Roman" w:hAnsi="Times New Roman" w:cs="Times New Roman"/>
          <w:sz w:val="24"/>
          <w:szCs w:val="24"/>
        </w:rPr>
        <w:t xml:space="preserve">l. </w:t>
      </w:r>
      <w:r w:rsidR="00175995" w:rsidRPr="0086148A">
        <w:rPr>
          <w:rFonts w:ascii="Times New Roman" w:hAnsi="Times New Roman" w:cs="Times New Roman"/>
          <w:sz w:val="24"/>
          <w:szCs w:val="24"/>
        </w:rPr>
        <w:t xml:space="preserve">The repetition of same recommendations across multiple mechanisms not only highlights the importance of the issue but also creates pressure that can incentivise compliance or positively influence state behaviour. </w:t>
      </w:r>
      <w:r w:rsidR="0043335D" w:rsidRPr="0086148A">
        <w:rPr>
          <w:rFonts w:ascii="Times New Roman" w:hAnsi="Times New Roman" w:cs="Times New Roman"/>
          <w:sz w:val="24"/>
          <w:szCs w:val="24"/>
        </w:rPr>
        <w:t>The UPR</w:t>
      </w:r>
      <w:r w:rsidR="003741E6" w:rsidRPr="0086148A">
        <w:rPr>
          <w:rFonts w:ascii="Times New Roman" w:hAnsi="Times New Roman" w:cs="Times New Roman"/>
          <w:sz w:val="24"/>
          <w:szCs w:val="24"/>
        </w:rPr>
        <w:t xml:space="preserve"> can give renewed visibility, </w:t>
      </w:r>
      <w:r w:rsidR="00AA70C3" w:rsidRPr="0086148A">
        <w:rPr>
          <w:rFonts w:ascii="Times New Roman" w:hAnsi="Times New Roman" w:cs="Times New Roman"/>
          <w:sz w:val="24"/>
          <w:szCs w:val="24"/>
        </w:rPr>
        <w:t>amplify,</w:t>
      </w:r>
      <w:r w:rsidR="003741E6" w:rsidRPr="0086148A">
        <w:rPr>
          <w:rFonts w:ascii="Times New Roman" w:hAnsi="Times New Roman" w:cs="Times New Roman"/>
          <w:sz w:val="24"/>
          <w:szCs w:val="24"/>
        </w:rPr>
        <w:t xml:space="preserve"> and reinforce the recommendations from other domestic and international human rights mechanisms</w:t>
      </w:r>
      <w:r w:rsidR="00175995" w:rsidRPr="0086148A">
        <w:rPr>
          <w:rFonts w:ascii="Times New Roman" w:hAnsi="Times New Roman" w:cs="Times New Roman"/>
          <w:sz w:val="24"/>
          <w:szCs w:val="24"/>
        </w:rPr>
        <w:t xml:space="preserve"> on transitional justice measures</w:t>
      </w:r>
      <w:r w:rsidR="003741E6" w:rsidRPr="0086148A">
        <w:rPr>
          <w:rFonts w:ascii="Times New Roman" w:hAnsi="Times New Roman" w:cs="Times New Roman"/>
          <w:sz w:val="24"/>
          <w:szCs w:val="24"/>
        </w:rPr>
        <w:t>.</w:t>
      </w:r>
      <w:r w:rsidR="00E53F99" w:rsidRPr="0086148A">
        <w:rPr>
          <w:rFonts w:ascii="Times New Roman" w:hAnsi="Times New Roman" w:cs="Times New Roman"/>
          <w:sz w:val="24"/>
          <w:szCs w:val="24"/>
        </w:rPr>
        <w:t xml:space="preserve"> </w:t>
      </w:r>
    </w:p>
    <w:p w14:paraId="5F70F4CA" w14:textId="6ECD1E59" w:rsidR="00EE3D98" w:rsidRPr="0086148A" w:rsidRDefault="00EE3D98" w:rsidP="00A352E7">
      <w:pPr>
        <w:pStyle w:val="ListParagraph"/>
        <w:numPr>
          <w:ilvl w:val="0"/>
          <w:numId w:val="1"/>
        </w:numPr>
        <w:jc w:val="both"/>
        <w:rPr>
          <w:rFonts w:ascii="Times New Roman" w:hAnsi="Times New Roman" w:cs="Times New Roman"/>
          <w:b/>
          <w:bCs/>
          <w:sz w:val="24"/>
          <w:szCs w:val="24"/>
        </w:rPr>
      </w:pPr>
      <w:r w:rsidRPr="0086148A">
        <w:rPr>
          <w:rFonts w:ascii="Times New Roman" w:hAnsi="Times New Roman" w:cs="Times New Roman"/>
          <w:b/>
          <w:bCs/>
          <w:sz w:val="24"/>
          <w:szCs w:val="24"/>
        </w:rPr>
        <w:t>Methods</w:t>
      </w:r>
    </w:p>
    <w:p w14:paraId="3ABF4D39" w14:textId="5EA481FB" w:rsidR="00380ED2" w:rsidRPr="0086148A" w:rsidRDefault="00380ED2"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 undertook empirical </w:t>
      </w:r>
      <w:r w:rsidR="007D73BA" w:rsidRPr="0086148A">
        <w:rPr>
          <w:rFonts w:ascii="Times New Roman" w:hAnsi="Times New Roman" w:cs="Times New Roman"/>
          <w:sz w:val="24"/>
          <w:szCs w:val="24"/>
        </w:rPr>
        <w:t>analysis</w:t>
      </w:r>
      <w:r w:rsidRPr="0086148A">
        <w:rPr>
          <w:rFonts w:ascii="Times New Roman" w:hAnsi="Times New Roman" w:cs="Times New Roman"/>
          <w:sz w:val="24"/>
          <w:szCs w:val="24"/>
        </w:rPr>
        <w:t xml:space="preserve"> on all recommendations made to </w:t>
      </w:r>
      <w:r w:rsidR="007E2504" w:rsidRPr="0086148A">
        <w:rPr>
          <w:rFonts w:ascii="Times New Roman" w:hAnsi="Times New Roman" w:cs="Times New Roman"/>
          <w:sz w:val="24"/>
          <w:szCs w:val="24"/>
        </w:rPr>
        <w:t>two</w:t>
      </w:r>
      <w:r w:rsidR="007D73BA" w:rsidRPr="0086148A">
        <w:rPr>
          <w:rFonts w:ascii="Times New Roman" w:hAnsi="Times New Roman" w:cs="Times New Roman"/>
          <w:sz w:val="24"/>
          <w:szCs w:val="24"/>
        </w:rPr>
        <w:t xml:space="preserve"> </w:t>
      </w:r>
      <w:r w:rsidR="001E011A" w:rsidRPr="0086148A">
        <w:rPr>
          <w:rFonts w:ascii="Times New Roman" w:hAnsi="Times New Roman" w:cs="Times New Roman"/>
          <w:sz w:val="24"/>
          <w:szCs w:val="24"/>
        </w:rPr>
        <w:t xml:space="preserve">African </w:t>
      </w:r>
      <w:r w:rsidRPr="0086148A">
        <w:rPr>
          <w:rFonts w:ascii="Times New Roman" w:hAnsi="Times New Roman" w:cs="Times New Roman"/>
          <w:sz w:val="24"/>
          <w:szCs w:val="24"/>
        </w:rPr>
        <w:t xml:space="preserve">states </w:t>
      </w:r>
      <w:r w:rsidR="006E0865" w:rsidRPr="0086148A">
        <w:rPr>
          <w:rFonts w:ascii="Times New Roman" w:hAnsi="Times New Roman" w:cs="Times New Roman"/>
          <w:sz w:val="24"/>
          <w:szCs w:val="24"/>
        </w:rPr>
        <w:t xml:space="preserve">(Burundi, and </w:t>
      </w:r>
      <w:r w:rsidR="007E2504" w:rsidRPr="0086148A">
        <w:rPr>
          <w:rFonts w:ascii="Times New Roman" w:hAnsi="Times New Roman" w:cs="Times New Roman"/>
          <w:sz w:val="24"/>
          <w:szCs w:val="24"/>
        </w:rPr>
        <w:t>South</w:t>
      </w:r>
      <w:r w:rsidR="006E0865" w:rsidRPr="0086148A">
        <w:rPr>
          <w:rFonts w:ascii="Times New Roman" w:hAnsi="Times New Roman" w:cs="Times New Roman"/>
          <w:sz w:val="24"/>
          <w:szCs w:val="24"/>
        </w:rPr>
        <w:t xml:space="preserve"> Sudan)</w:t>
      </w:r>
      <w:r w:rsidR="007E2504" w:rsidRPr="0086148A">
        <w:rPr>
          <w:rFonts w:ascii="Times New Roman" w:hAnsi="Times New Roman" w:cs="Times New Roman"/>
          <w:sz w:val="24"/>
          <w:szCs w:val="24"/>
        </w:rPr>
        <w:t>. Burundi has been grappling with transitional justice since 2000 while South Sudan is more recently</w:t>
      </w:r>
      <w:r w:rsidR="006E0865" w:rsidRPr="0086148A">
        <w:rPr>
          <w:rFonts w:ascii="Times New Roman" w:hAnsi="Times New Roman" w:cs="Times New Roman"/>
          <w:sz w:val="24"/>
          <w:szCs w:val="24"/>
        </w:rPr>
        <w:t xml:space="preserve"> </w:t>
      </w:r>
      <w:r w:rsidR="00047EC1" w:rsidRPr="0086148A">
        <w:rPr>
          <w:rFonts w:ascii="Times New Roman" w:hAnsi="Times New Roman" w:cs="Times New Roman"/>
          <w:sz w:val="24"/>
          <w:szCs w:val="24"/>
        </w:rPr>
        <w:t xml:space="preserve">emerging from conflict and seeking to deal with the legacies of war </w:t>
      </w:r>
      <w:r w:rsidR="006E0865" w:rsidRPr="0086148A">
        <w:rPr>
          <w:rFonts w:ascii="Times New Roman" w:hAnsi="Times New Roman" w:cs="Times New Roman"/>
          <w:sz w:val="24"/>
          <w:szCs w:val="24"/>
        </w:rPr>
        <w:t xml:space="preserve">and repression. </w:t>
      </w:r>
      <w:r w:rsidR="008C6F10" w:rsidRPr="0086148A">
        <w:rPr>
          <w:rFonts w:ascii="Times New Roman" w:hAnsi="Times New Roman" w:cs="Times New Roman"/>
          <w:sz w:val="24"/>
          <w:szCs w:val="24"/>
        </w:rPr>
        <w:t xml:space="preserve">I analysed the UPR recommendations made to these three states </w:t>
      </w:r>
      <w:r w:rsidRPr="0086148A">
        <w:rPr>
          <w:rFonts w:ascii="Times New Roman" w:hAnsi="Times New Roman" w:cs="Times New Roman"/>
          <w:sz w:val="24"/>
          <w:szCs w:val="24"/>
        </w:rPr>
        <w:t>during the UPR’s first t</w:t>
      </w:r>
      <w:r w:rsidR="008C6F10" w:rsidRPr="0086148A">
        <w:rPr>
          <w:rFonts w:ascii="Times New Roman" w:hAnsi="Times New Roman" w:cs="Times New Roman"/>
          <w:sz w:val="24"/>
          <w:szCs w:val="24"/>
        </w:rPr>
        <w:t>hree</w:t>
      </w:r>
      <w:r w:rsidRPr="0086148A">
        <w:rPr>
          <w:rFonts w:ascii="Times New Roman" w:hAnsi="Times New Roman" w:cs="Times New Roman"/>
          <w:sz w:val="24"/>
          <w:szCs w:val="24"/>
        </w:rPr>
        <w:t xml:space="preserve"> cycles</w:t>
      </w:r>
      <w:r w:rsidR="00EB5020" w:rsidRPr="0086148A">
        <w:rPr>
          <w:rFonts w:ascii="Times New Roman" w:hAnsi="Times New Roman" w:cs="Times New Roman"/>
          <w:sz w:val="24"/>
          <w:szCs w:val="24"/>
        </w:rPr>
        <w:t xml:space="preserve"> with the goal of determining the extent </w:t>
      </w:r>
      <w:r w:rsidR="00B3185E" w:rsidRPr="0086148A">
        <w:rPr>
          <w:rFonts w:ascii="Times New Roman" w:hAnsi="Times New Roman" w:cs="Times New Roman"/>
          <w:sz w:val="24"/>
          <w:szCs w:val="24"/>
        </w:rPr>
        <w:t>to which the recommendations referred to transitional justice goals</w:t>
      </w:r>
      <w:r w:rsidR="00F16822" w:rsidRPr="0086148A">
        <w:rPr>
          <w:rFonts w:ascii="Times New Roman" w:hAnsi="Times New Roman" w:cs="Times New Roman"/>
          <w:sz w:val="24"/>
          <w:szCs w:val="24"/>
        </w:rPr>
        <w:t>.</w:t>
      </w:r>
      <w:r w:rsidR="00B3185E" w:rsidRPr="0086148A">
        <w:rPr>
          <w:rFonts w:ascii="Times New Roman" w:hAnsi="Times New Roman" w:cs="Times New Roman"/>
          <w:sz w:val="24"/>
          <w:szCs w:val="24"/>
        </w:rPr>
        <w:t xml:space="preserve"> </w:t>
      </w:r>
      <w:r w:rsidRPr="0086148A">
        <w:rPr>
          <w:rFonts w:ascii="Times New Roman" w:hAnsi="Times New Roman" w:cs="Times New Roman"/>
          <w:sz w:val="24"/>
          <w:szCs w:val="24"/>
        </w:rPr>
        <w:t xml:space="preserve"> Th</w:t>
      </w:r>
      <w:r w:rsidR="00F16822" w:rsidRPr="0086148A">
        <w:rPr>
          <w:rFonts w:ascii="Times New Roman" w:hAnsi="Times New Roman" w:cs="Times New Roman"/>
          <w:sz w:val="24"/>
          <w:szCs w:val="24"/>
        </w:rPr>
        <w:t xml:space="preserve">e analysis </w:t>
      </w:r>
      <w:r w:rsidRPr="0086148A">
        <w:rPr>
          <w:rFonts w:ascii="Times New Roman" w:hAnsi="Times New Roman" w:cs="Times New Roman"/>
          <w:sz w:val="24"/>
          <w:szCs w:val="24"/>
        </w:rPr>
        <w:t xml:space="preserve">was </w:t>
      </w:r>
      <w:r w:rsidR="00F16822" w:rsidRPr="0086148A">
        <w:rPr>
          <w:rFonts w:ascii="Times New Roman" w:hAnsi="Times New Roman" w:cs="Times New Roman"/>
          <w:sz w:val="24"/>
          <w:szCs w:val="24"/>
        </w:rPr>
        <w:t>gui</w:t>
      </w:r>
      <w:r w:rsidR="00267B1D" w:rsidRPr="0086148A">
        <w:rPr>
          <w:rFonts w:ascii="Times New Roman" w:hAnsi="Times New Roman" w:cs="Times New Roman"/>
          <w:sz w:val="24"/>
          <w:szCs w:val="24"/>
        </w:rPr>
        <w:t>ded by</w:t>
      </w:r>
      <w:r w:rsidRPr="0086148A">
        <w:rPr>
          <w:rFonts w:ascii="Times New Roman" w:hAnsi="Times New Roman" w:cs="Times New Roman"/>
          <w:sz w:val="24"/>
          <w:szCs w:val="24"/>
        </w:rPr>
        <w:t xml:space="preserve"> three </w:t>
      </w:r>
      <w:r w:rsidR="00267B1D" w:rsidRPr="0086148A">
        <w:rPr>
          <w:rFonts w:ascii="Times New Roman" w:hAnsi="Times New Roman" w:cs="Times New Roman"/>
          <w:sz w:val="24"/>
          <w:szCs w:val="24"/>
        </w:rPr>
        <w:t xml:space="preserve">key </w:t>
      </w:r>
      <w:r w:rsidRPr="0086148A">
        <w:rPr>
          <w:rFonts w:ascii="Times New Roman" w:hAnsi="Times New Roman" w:cs="Times New Roman"/>
          <w:sz w:val="24"/>
          <w:szCs w:val="24"/>
        </w:rPr>
        <w:t xml:space="preserve">questions: (1) How prominent was </w:t>
      </w:r>
      <w:r w:rsidR="00267B1D" w:rsidRPr="0086148A">
        <w:rPr>
          <w:rFonts w:ascii="Times New Roman" w:hAnsi="Times New Roman" w:cs="Times New Roman"/>
          <w:sz w:val="24"/>
          <w:szCs w:val="24"/>
        </w:rPr>
        <w:t>transitional justice goals</w:t>
      </w:r>
      <w:r w:rsidRPr="0086148A">
        <w:rPr>
          <w:rFonts w:ascii="Times New Roman" w:hAnsi="Times New Roman" w:cs="Times New Roman"/>
          <w:sz w:val="24"/>
          <w:szCs w:val="24"/>
        </w:rPr>
        <w:t xml:space="preserve"> in the UPR’s recommendations? (2) What was the distribution of recommendations between different </w:t>
      </w:r>
      <w:r w:rsidR="001C3992" w:rsidRPr="0086148A">
        <w:rPr>
          <w:rFonts w:ascii="Times New Roman" w:hAnsi="Times New Roman" w:cs="Times New Roman"/>
          <w:sz w:val="24"/>
          <w:szCs w:val="24"/>
        </w:rPr>
        <w:t>transitional justice</w:t>
      </w:r>
      <w:r w:rsidRPr="0086148A">
        <w:rPr>
          <w:rFonts w:ascii="Times New Roman" w:hAnsi="Times New Roman" w:cs="Times New Roman"/>
          <w:sz w:val="24"/>
          <w:szCs w:val="24"/>
        </w:rPr>
        <w:t xml:space="preserve"> issues? (3)</w:t>
      </w:r>
      <w:r w:rsidR="00E516AE" w:rsidRPr="0086148A">
        <w:rPr>
          <w:rFonts w:ascii="Times New Roman" w:hAnsi="Times New Roman" w:cs="Times New Roman"/>
          <w:sz w:val="24"/>
          <w:szCs w:val="24"/>
        </w:rPr>
        <w:t xml:space="preserve"> How specific</w:t>
      </w:r>
      <w:r w:rsidR="00ED69D7" w:rsidRPr="0086148A">
        <w:rPr>
          <w:rFonts w:ascii="Times New Roman" w:hAnsi="Times New Roman" w:cs="Times New Roman"/>
          <w:sz w:val="24"/>
          <w:szCs w:val="24"/>
        </w:rPr>
        <w:t xml:space="preserve">, </w:t>
      </w:r>
      <w:r w:rsidR="00A27FF6" w:rsidRPr="0086148A">
        <w:rPr>
          <w:rFonts w:ascii="Times New Roman" w:hAnsi="Times New Roman" w:cs="Times New Roman"/>
          <w:sz w:val="24"/>
          <w:szCs w:val="24"/>
        </w:rPr>
        <w:t>useful,</w:t>
      </w:r>
      <w:r w:rsidR="00ED69D7" w:rsidRPr="0086148A">
        <w:rPr>
          <w:rFonts w:ascii="Times New Roman" w:hAnsi="Times New Roman" w:cs="Times New Roman"/>
          <w:sz w:val="24"/>
          <w:szCs w:val="24"/>
        </w:rPr>
        <w:t xml:space="preserve"> and measurable were</w:t>
      </w:r>
      <w:r w:rsidRPr="0086148A">
        <w:rPr>
          <w:rFonts w:ascii="Times New Roman" w:hAnsi="Times New Roman" w:cs="Times New Roman"/>
          <w:sz w:val="24"/>
          <w:szCs w:val="24"/>
        </w:rPr>
        <w:t xml:space="preserve"> </w:t>
      </w:r>
      <w:r w:rsidR="00C72982" w:rsidRPr="0086148A">
        <w:rPr>
          <w:rFonts w:ascii="Times New Roman" w:hAnsi="Times New Roman" w:cs="Times New Roman"/>
          <w:sz w:val="24"/>
          <w:szCs w:val="24"/>
        </w:rPr>
        <w:t>the recommendations</w:t>
      </w:r>
      <w:r w:rsidRPr="0086148A">
        <w:rPr>
          <w:rFonts w:ascii="Times New Roman" w:hAnsi="Times New Roman" w:cs="Times New Roman"/>
          <w:sz w:val="24"/>
          <w:szCs w:val="24"/>
        </w:rPr>
        <w:t xml:space="preserve">? This </w:t>
      </w:r>
      <w:r w:rsidR="00F26F3B" w:rsidRPr="0086148A">
        <w:rPr>
          <w:rFonts w:ascii="Times New Roman" w:hAnsi="Times New Roman" w:cs="Times New Roman"/>
          <w:sz w:val="24"/>
          <w:szCs w:val="24"/>
        </w:rPr>
        <w:t>paper</w:t>
      </w:r>
      <w:r w:rsidRPr="0086148A">
        <w:rPr>
          <w:rFonts w:ascii="Times New Roman" w:hAnsi="Times New Roman" w:cs="Times New Roman"/>
          <w:sz w:val="24"/>
          <w:szCs w:val="24"/>
        </w:rPr>
        <w:t xml:space="preserve"> is based on these findings, and a desk review of literature on the UPR.</w:t>
      </w:r>
    </w:p>
    <w:p w14:paraId="69ABE94F" w14:textId="577589E4" w:rsidR="00613A92" w:rsidRPr="0086148A" w:rsidRDefault="00812091"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 undertook a desk-based review of all the </w:t>
      </w:r>
      <w:r w:rsidR="004E3A13" w:rsidRPr="0086148A">
        <w:rPr>
          <w:rFonts w:ascii="Times New Roman" w:hAnsi="Times New Roman" w:cs="Times New Roman"/>
          <w:sz w:val="24"/>
          <w:szCs w:val="24"/>
        </w:rPr>
        <w:t xml:space="preserve">recommendations </w:t>
      </w:r>
      <w:r w:rsidR="00D12008" w:rsidRPr="0086148A">
        <w:rPr>
          <w:rFonts w:ascii="Times New Roman" w:hAnsi="Times New Roman" w:cs="Times New Roman"/>
          <w:sz w:val="24"/>
          <w:szCs w:val="24"/>
        </w:rPr>
        <w:t xml:space="preserve">made to the </w:t>
      </w:r>
      <w:r w:rsidR="005E1B2C" w:rsidRPr="0086148A">
        <w:rPr>
          <w:rFonts w:ascii="Times New Roman" w:hAnsi="Times New Roman" w:cs="Times New Roman"/>
          <w:sz w:val="24"/>
          <w:szCs w:val="24"/>
        </w:rPr>
        <w:t>two</w:t>
      </w:r>
      <w:r w:rsidR="00D12008" w:rsidRPr="0086148A">
        <w:rPr>
          <w:rFonts w:ascii="Times New Roman" w:hAnsi="Times New Roman" w:cs="Times New Roman"/>
          <w:sz w:val="24"/>
          <w:szCs w:val="24"/>
        </w:rPr>
        <w:t xml:space="preserve"> states under study. Transitional Justice covers a broad range of issues. </w:t>
      </w:r>
      <w:r w:rsidR="0059626F" w:rsidRPr="0086148A">
        <w:rPr>
          <w:rFonts w:ascii="Times New Roman" w:hAnsi="Times New Roman" w:cs="Times New Roman"/>
          <w:sz w:val="24"/>
          <w:szCs w:val="24"/>
        </w:rPr>
        <w:t xml:space="preserve">It was necessary to </w:t>
      </w:r>
      <w:r w:rsidR="00F241F6" w:rsidRPr="0086148A">
        <w:rPr>
          <w:rFonts w:ascii="Times New Roman" w:hAnsi="Times New Roman" w:cs="Times New Roman"/>
          <w:sz w:val="24"/>
          <w:szCs w:val="24"/>
        </w:rPr>
        <w:t xml:space="preserve">apply restrictions when coding UPR recommendations on transitional justice. </w:t>
      </w:r>
      <w:r w:rsidR="00380ED2" w:rsidRPr="0086148A">
        <w:rPr>
          <w:rFonts w:ascii="Times New Roman" w:hAnsi="Times New Roman" w:cs="Times New Roman"/>
          <w:sz w:val="24"/>
          <w:szCs w:val="24"/>
        </w:rPr>
        <w:t xml:space="preserve">First, </w:t>
      </w:r>
      <w:r w:rsidR="007D48D2" w:rsidRPr="0086148A">
        <w:rPr>
          <w:rFonts w:ascii="Times New Roman" w:hAnsi="Times New Roman" w:cs="Times New Roman"/>
          <w:sz w:val="24"/>
          <w:szCs w:val="24"/>
        </w:rPr>
        <w:t xml:space="preserve">the categorisation was restricted to </w:t>
      </w:r>
      <w:r w:rsidR="00A12CC1" w:rsidRPr="0086148A">
        <w:rPr>
          <w:rFonts w:ascii="Times New Roman" w:hAnsi="Times New Roman" w:cs="Times New Roman"/>
          <w:sz w:val="24"/>
          <w:szCs w:val="24"/>
        </w:rPr>
        <w:t xml:space="preserve">recommendations </w:t>
      </w:r>
      <w:r w:rsidR="003344C4" w:rsidRPr="0086148A">
        <w:rPr>
          <w:rFonts w:ascii="Times New Roman" w:hAnsi="Times New Roman" w:cs="Times New Roman"/>
          <w:sz w:val="24"/>
          <w:szCs w:val="24"/>
        </w:rPr>
        <w:t xml:space="preserve">that directly </w:t>
      </w:r>
      <w:r w:rsidR="00230BD7" w:rsidRPr="0086148A">
        <w:rPr>
          <w:rFonts w:ascii="Times New Roman" w:hAnsi="Times New Roman" w:cs="Times New Roman"/>
          <w:sz w:val="24"/>
          <w:szCs w:val="24"/>
        </w:rPr>
        <w:t>referred to</w:t>
      </w:r>
      <w:r w:rsidR="001B2557" w:rsidRPr="0086148A">
        <w:rPr>
          <w:rFonts w:ascii="Times New Roman" w:hAnsi="Times New Roman" w:cs="Times New Roman"/>
          <w:sz w:val="24"/>
          <w:szCs w:val="24"/>
        </w:rPr>
        <w:t xml:space="preserve"> transitional justice measures aimed</w:t>
      </w:r>
      <w:r w:rsidR="00230BD7" w:rsidRPr="0086148A">
        <w:rPr>
          <w:rFonts w:ascii="Times New Roman" w:hAnsi="Times New Roman" w:cs="Times New Roman"/>
          <w:sz w:val="24"/>
          <w:szCs w:val="24"/>
        </w:rPr>
        <w:t xml:space="preserve"> at dealing with </w:t>
      </w:r>
      <w:r w:rsidR="00B371A4" w:rsidRPr="0086148A">
        <w:rPr>
          <w:rFonts w:ascii="Times New Roman" w:hAnsi="Times New Roman" w:cs="Times New Roman"/>
          <w:sz w:val="24"/>
          <w:szCs w:val="24"/>
        </w:rPr>
        <w:t xml:space="preserve">human rights abuses that took place during the conflict or </w:t>
      </w:r>
      <w:r w:rsidR="007C6860" w:rsidRPr="0086148A">
        <w:rPr>
          <w:rFonts w:ascii="Times New Roman" w:hAnsi="Times New Roman" w:cs="Times New Roman"/>
          <w:sz w:val="24"/>
          <w:szCs w:val="24"/>
        </w:rPr>
        <w:t>reinforcing a recommendation from a domestic or international transitional justice mechanism</w:t>
      </w:r>
      <w:r w:rsidR="00403571" w:rsidRPr="0086148A">
        <w:rPr>
          <w:rFonts w:ascii="Times New Roman" w:hAnsi="Times New Roman" w:cs="Times New Roman"/>
          <w:sz w:val="24"/>
          <w:szCs w:val="24"/>
        </w:rPr>
        <w:t>.</w:t>
      </w:r>
      <w:r w:rsidR="00230BD7" w:rsidRPr="0086148A">
        <w:rPr>
          <w:rFonts w:ascii="Times New Roman" w:hAnsi="Times New Roman" w:cs="Times New Roman"/>
          <w:sz w:val="24"/>
          <w:szCs w:val="24"/>
        </w:rPr>
        <w:t xml:space="preserve"> </w:t>
      </w:r>
      <w:r w:rsidR="00403571" w:rsidRPr="0086148A">
        <w:rPr>
          <w:rFonts w:ascii="Times New Roman" w:hAnsi="Times New Roman" w:cs="Times New Roman"/>
          <w:sz w:val="24"/>
          <w:szCs w:val="24"/>
        </w:rPr>
        <w:t xml:space="preserve">For example, a recommendation on </w:t>
      </w:r>
      <w:r w:rsidR="00FE4550" w:rsidRPr="0086148A">
        <w:rPr>
          <w:rFonts w:ascii="Times New Roman" w:hAnsi="Times New Roman" w:cs="Times New Roman"/>
          <w:sz w:val="24"/>
          <w:szCs w:val="24"/>
        </w:rPr>
        <w:t xml:space="preserve">sexual violence </w:t>
      </w:r>
      <w:r w:rsidR="003C508D" w:rsidRPr="0086148A">
        <w:rPr>
          <w:rFonts w:ascii="Times New Roman" w:hAnsi="Times New Roman" w:cs="Times New Roman"/>
          <w:sz w:val="24"/>
          <w:szCs w:val="24"/>
        </w:rPr>
        <w:t>was coded as a transitional justice recommendation only</w:t>
      </w:r>
      <w:r w:rsidR="00FE4550" w:rsidRPr="0086148A">
        <w:rPr>
          <w:rFonts w:ascii="Times New Roman" w:hAnsi="Times New Roman" w:cs="Times New Roman"/>
          <w:sz w:val="24"/>
          <w:szCs w:val="24"/>
        </w:rPr>
        <w:t xml:space="preserve"> if it was related to the </w:t>
      </w:r>
      <w:r w:rsidR="00FE4550" w:rsidRPr="0086148A">
        <w:rPr>
          <w:rFonts w:ascii="Times New Roman" w:hAnsi="Times New Roman" w:cs="Times New Roman"/>
          <w:sz w:val="24"/>
          <w:szCs w:val="24"/>
        </w:rPr>
        <w:lastRenderedPageBreak/>
        <w:t xml:space="preserve">conflict or </w:t>
      </w:r>
      <w:r w:rsidR="001D4C8F" w:rsidRPr="0086148A">
        <w:rPr>
          <w:rFonts w:ascii="Times New Roman" w:hAnsi="Times New Roman" w:cs="Times New Roman"/>
          <w:sz w:val="24"/>
          <w:szCs w:val="24"/>
        </w:rPr>
        <w:t xml:space="preserve">made as part of </w:t>
      </w:r>
      <w:r w:rsidR="000D40EE" w:rsidRPr="0086148A">
        <w:rPr>
          <w:rFonts w:ascii="Times New Roman" w:hAnsi="Times New Roman" w:cs="Times New Roman"/>
          <w:sz w:val="24"/>
          <w:szCs w:val="24"/>
        </w:rPr>
        <w:t>a</w:t>
      </w:r>
      <w:r w:rsidR="001D4C8F" w:rsidRPr="0086148A">
        <w:rPr>
          <w:rFonts w:ascii="Times New Roman" w:hAnsi="Times New Roman" w:cs="Times New Roman"/>
          <w:sz w:val="24"/>
          <w:szCs w:val="24"/>
        </w:rPr>
        <w:t xml:space="preserve"> t</w:t>
      </w:r>
      <w:r w:rsidR="0084747B" w:rsidRPr="0086148A">
        <w:rPr>
          <w:rFonts w:ascii="Times New Roman" w:hAnsi="Times New Roman" w:cs="Times New Roman"/>
          <w:sz w:val="24"/>
          <w:szCs w:val="24"/>
        </w:rPr>
        <w:t>ruth commission or related transitional justice mechanism</w:t>
      </w:r>
      <w:r w:rsidR="00380ED2" w:rsidRPr="0086148A">
        <w:rPr>
          <w:rFonts w:ascii="Times New Roman" w:hAnsi="Times New Roman" w:cs="Times New Roman"/>
          <w:sz w:val="24"/>
          <w:szCs w:val="24"/>
        </w:rPr>
        <w:t>.</w:t>
      </w:r>
      <w:r w:rsidR="007259D6" w:rsidRPr="0086148A">
        <w:rPr>
          <w:rFonts w:ascii="Times New Roman" w:hAnsi="Times New Roman" w:cs="Times New Roman"/>
          <w:sz w:val="24"/>
          <w:szCs w:val="24"/>
        </w:rPr>
        <w:t xml:space="preserve"> </w:t>
      </w:r>
      <w:r w:rsidR="003A3D63" w:rsidRPr="0086148A">
        <w:rPr>
          <w:rFonts w:ascii="Times New Roman" w:hAnsi="Times New Roman" w:cs="Times New Roman"/>
          <w:sz w:val="24"/>
          <w:szCs w:val="24"/>
        </w:rPr>
        <w:t xml:space="preserve"> </w:t>
      </w:r>
      <w:r w:rsidR="00380ED2" w:rsidRPr="0086148A">
        <w:rPr>
          <w:rFonts w:ascii="Times New Roman" w:hAnsi="Times New Roman" w:cs="Times New Roman"/>
          <w:sz w:val="24"/>
          <w:szCs w:val="24"/>
        </w:rPr>
        <w:t xml:space="preserve">Second, </w:t>
      </w:r>
      <w:r w:rsidR="00623604" w:rsidRPr="0086148A">
        <w:rPr>
          <w:rFonts w:ascii="Times New Roman" w:hAnsi="Times New Roman" w:cs="Times New Roman"/>
          <w:sz w:val="24"/>
          <w:szCs w:val="24"/>
        </w:rPr>
        <w:t xml:space="preserve">the range of transitional justice goals were </w:t>
      </w:r>
      <w:r w:rsidR="005036CF" w:rsidRPr="0086148A">
        <w:rPr>
          <w:rFonts w:ascii="Times New Roman" w:hAnsi="Times New Roman" w:cs="Times New Roman"/>
          <w:sz w:val="24"/>
          <w:szCs w:val="24"/>
        </w:rPr>
        <w:t xml:space="preserve">restricted to </w:t>
      </w:r>
      <w:r w:rsidR="005E1B2C" w:rsidRPr="0086148A">
        <w:rPr>
          <w:rFonts w:ascii="Times New Roman" w:hAnsi="Times New Roman" w:cs="Times New Roman"/>
          <w:sz w:val="24"/>
          <w:szCs w:val="24"/>
        </w:rPr>
        <w:t>six</w:t>
      </w:r>
      <w:r w:rsidR="005036CF" w:rsidRPr="0086148A">
        <w:rPr>
          <w:rFonts w:ascii="Times New Roman" w:hAnsi="Times New Roman" w:cs="Times New Roman"/>
          <w:sz w:val="24"/>
          <w:szCs w:val="24"/>
        </w:rPr>
        <w:t xml:space="preserve"> core cat</w:t>
      </w:r>
      <w:r w:rsidR="00E56A4F" w:rsidRPr="0086148A">
        <w:rPr>
          <w:rFonts w:ascii="Times New Roman" w:hAnsi="Times New Roman" w:cs="Times New Roman"/>
          <w:sz w:val="24"/>
          <w:szCs w:val="24"/>
        </w:rPr>
        <w:t>egories.</w:t>
      </w:r>
      <w:r w:rsidR="003C6D91" w:rsidRPr="0086148A">
        <w:rPr>
          <w:rFonts w:ascii="Times New Roman" w:hAnsi="Times New Roman" w:cs="Times New Roman"/>
          <w:sz w:val="24"/>
          <w:szCs w:val="24"/>
        </w:rPr>
        <w:t xml:space="preserve"> The</w:t>
      </w:r>
      <w:r w:rsidR="00D6543B" w:rsidRPr="0086148A">
        <w:rPr>
          <w:rFonts w:ascii="Times New Roman" w:hAnsi="Times New Roman" w:cs="Times New Roman"/>
          <w:sz w:val="24"/>
          <w:szCs w:val="24"/>
        </w:rPr>
        <w:t>se included (</w:t>
      </w:r>
      <w:proofErr w:type="spellStart"/>
      <w:r w:rsidR="00AA06C5" w:rsidRPr="0086148A">
        <w:rPr>
          <w:rFonts w:ascii="Times New Roman" w:hAnsi="Times New Roman" w:cs="Times New Roman"/>
          <w:sz w:val="24"/>
          <w:szCs w:val="24"/>
        </w:rPr>
        <w:t>i</w:t>
      </w:r>
      <w:proofErr w:type="spellEnd"/>
      <w:r w:rsidR="00AA06C5" w:rsidRPr="0086148A">
        <w:rPr>
          <w:rFonts w:ascii="Times New Roman" w:hAnsi="Times New Roman" w:cs="Times New Roman"/>
          <w:sz w:val="24"/>
          <w:szCs w:val="24"/>
        </w:rPr>
        <w:t>) Criminal Accountability, including Prosecutions and engagement with the ICC</w:t>
      </w:r>
      <w:r w:rsidR="000777FD" w:rsidRPr="0086148A">
        <w:rPr>
          <w:rFonts w:ascii="Times New Roman" w:hAnsi="Times New Roman" w:cs="Times New Roman"/>
          <w:sz w:val="24"/>
          <w:szCs w:val="24"/>
        </w:rPr>
        <w:t xml:space="preserve">; (ii) Truth Commissions or Commission of Inquiry; (iii) Return and </w:t>
      </w:r>
      <w:r w:rsidR="003617F7" w:rsidRPr="0086148A">
        <w:rPr>
          <w:rFonts w:ascii="Times New Roman" w:hAnsi="Times New Roman" w:cs="Times New Roman"/>
          <w:sz w:val="24"/>
          <w:szCs w:val="24"/>
        </w:rPr>
        <w:t>Reintegration</w:t>
      </w:r>
      <w:r w:rsidR="000777FD" w:rsidRPr="0086148A">
        <w:rPr>
          <w:rFonts w:ascii="Times New Roman" w:hAnsi="Times New Roman" w:cs="Times New Roman"/>
          <w:sz w:val="24"/>
          <w:szCs w:val="24"/>
        </w:rPr>
        <w:t xml:space="preserve">; </w:t>
      </w:r>
      <w:r w:rsidR="005E1B2C" w:rsidRPr="0086148A">
        <w:rPr>
          <w:rFonts w:ascii="Times New Roman" w:hAnsi="Times New Roman" w:cs="Times New Roman"/>
          <w:sz w:val="24"/>
          <w:szCs w:val="24"/>
        </w:rPr>
        <w:t xml:space="preserve">(iv) </w:t>
      </w:r>
      <w:r w:rsidR="000777FD" w:rsidRPr="0086148A">
        <w:rPr>
          <w:rFonts w:ascii="Times New Roman" w:hAnsi="Times New Roman" w:cs="Times New Roman"/>
          <w:sz w:val="24"/>
          <w:szCs w:val="24"/>
        </w:rPr>
        <w:t xml:space="preserve">Reparations; </w:t>
      </w:r>
      <w:r w:rsidR="005E1B2C" w:rsidRPr="0086148A">
        <w:rPr>
          <w:rFonts w:ascii="Times New Roman" w:hAnsi="Times New Roman" w:cs="Times New Roman"/>
          <w:sz w:val="24"/>
          <w:szCs w:val="24"/>
        </w:rPr>
        <w:t>(</w:t>
      </w:r>
      <w:r w:rsidR="003617F7" w:rsidRPr="0086148A">
        <w:rPr>
          <w:rFonts w:ascii="Times New Roman" w:hAnsi="Times New Roman" w:cs="Times New Roman"/>
          <w:sz w:val="24"/>
          <w:szCs w:val="24"/>
        </w:rPr>
        <w:t>v) Constitutional, Legal and Institutional Reform</w:t>
      </w:r>
      <w:r w:rsidR="005E1B2C" w:rsidRPr="0086148A">
        <w:rPr>
          <w:rFonts w:ascii="Times New Roman" w:hAnsi="Times New Roman" w:cs="Times New Roman"/>
          <w:sz w:val="24"/>
          <w:szCs w:val="24"/>
        </w:rPr>
        <w:t>; and (vi) Peace and Reconciliation</w:t>
      </w:r>
      <w:r w:rsidR="001526BF" w:rsidRPr="0086148A">
        <w:rPr>
          <w:rFonts w:ascii="Times New Roman" w:hAnsi="Times New Roman" w:cs="Times New Roman"/>
          <w:sz w:val="24"/>
          <w:szCs w:val="24"/>
        </w:rPr>
        <w:t xml:space="preserve">. </w:t>
      </w:r>
      <w:r w:rsidR="000777FD" w:rsidRPr="0086148A">
        <w:rPr>
          <w:rFonts w:ascii="Times New Roman" w:hAnsi="Times New Roman" w:cs="Times New Roman"/>
          <w:sz w:val="24"/>
          <w:szCs w:val="24"/>
        </w:rPr>
        <w:t xml:space="preserve"> </w:t>
      </w:r>
      <w:r w:rsidR="001526BF" w:rsidRPr="0086148A">
        <w:rPr>
          <w:rFonts w:ascii="Times New Roman" w:hAnsi="Times New Roman" w:cs="Times New Roman"/>
          <w:sz w:val="24"/>
          <w:szCs w:val="24"/>
        </w:rPr>
        <w:t xml:space="preserve">This categorisation </w:t>
      </w:r>
      <w:r w:rsidR="009517B7" w:rsidRPr="0086148A">
        <w:rPr>
          <w:rFonts w:ascii="Times New Roman" w:hAnsi="Times New Roman" w:cs="Times New Roman"/>
          <w:sz w:val="24"/>
          <w:szCs w:val="24"/>
        </w:rPr>
        <w:t>is broadly reflective of that adopted by the OHCHR</w:t>
      </w:r>
      <w:r w:rsidR="005E1B2C" w:rsidRPr="0086148A">
        <w:rPr>
          <w:rFonts w:ascii="Times New Roman" w:hAnsi="Times New Roman" w:cs="Times New Roman"/>
          <w:sz w:val="24"/>
          <w:szCs w:val="24"/>
        </w:rPr>
        <w:t>,</w:t>
      </w:r>
      <w:r w:rsidR="000D40EE" w:rsidRPr="0086148A">
        <w:rPr>
          <w:rStyle w:val="FootnoteReference"/>
          <w:rFonts w:ascii="Times New Roman" w:hAnsi="Times New Roman" w:cs="Times New Roman"/>
          <w:sz w:val="24"/>
          <w:szCs w:val="24"/>
        </w:rPr>
        <w:footnoteReference w:id="32"/>
      </w:r>
      <w:r w:rsidR="005E1B2C" w:rsidRPr="0086148A">
        <w:rPr>
          <w:rFonts w:ascii="Times New Roman" w:hAnsi="Times New Roman" w:cs="Times New Roman"/>
          <w:sz w:val="24"/>
          <w:szCs w:val="24"/>
        </w:rPr>
        <w:t xml:space="preserve"> The UN Security Council,</w:t>
      </w:r>
      <w:r w:rsidR="000D40EE" w:rsidRPr="0086148A">
        <w:rPr>
          <w:rStyle w:val="FootnoteReference"/>
          <w:rFonts w:ascii="Times New Roman" w:hAnsi="Times New Roman" w:cs="Times New Roman"/>
          <w:sz w:val="24"/>
          <w:szCs w:val="24"/>
        </w:rPr>
        <w:footnoteReference w:id="33"/>
      </w:r>
      <w:r w:rsidR="009517B7" w:rsidRPr="0086148A">
        <w:rPr>
          <w:rFonts w:ascii="Times New Roman" w:hAnsi="Times New Roman" w:cs="Times New Roman"/>
          <w:sz w:val="24"/>
          <w:szCs w:val="24"/>
        </w:rPr>
        <w:t xml:space="preserve"> and the </w:t>
      </w:r>
      <w:r w:rsidR="217AC29B" w:rsidRPr="0086148A">
        <w:rPr>
          <w:rFonts w:ascii="Times New Roman" w:hAnsi="Times New Roman" w:cs="Times New Roman"/>
          <w:sz w:val="24"/>
          <w:szCs w:val="24"/>
        </w:rPr>
        <w:t>I</w:t>
      </w:r>
      <w:r w:rsidR="34BEC317" w:rsidRPr="0086148A">
        <w:rPr>
          <w:rFonts w:ascii="Times New Roman" w:hAnsi="Times New Roman" w:cs="Times New Roman"/>
          <w:sz w:val="24"/>
          <w:szCs w:val="24"/>
        </w:rPr>
        <w:t xml:space="preserve">nternational </w:t>
      </w:r>
      <w:r w:rsidR="217AC29B" w:rsidRPr="0086148A">
        <w:rPr>
          <w:rFonts w:ascii="Times New Roman" w:hAnsi="Times New Roman" w:cs="Times New Roman"/>
          <w:sz w:val="24"/>
          <w:szCs w:val="24"/>
        </w:rPr>
        <w:t>C</w:t>
      </w:r>
      <w:r w:rsidR="6E1A9708" w:rsidRPr="0086148A">
        <w:rPr>
          <w:rFonts w:ascii="Times New Roman" w:hAnsi="Times New Roman" w:cs="Times New Roman"/>
          <w:sz w:val="24"/>
          <w:szCs w:val="24"/>
        </w:rPr>
        <w:t xml:space="preserve">entre for </w:t>
      </w:r>
      <w:r w:rsidR="217AC29B" w:rsidRPr="0086148A">
        <w:rPr>
          <w:rFonts w:ascii="Times New Roman" w:hAnsi="Times New Roman" w:cs="Times New Roman"/>
          <w:sz w:val="24"/>
          <w:szCs w:val="24"/>
        </w:rPr>
        <w:t>T</w:t>
      </w:r>
      <w:r w:rsidR="4AC88101" w:rsidRPr="0086148A">
        <w:rPr>
          <w:rFonts w:ascii="Times New Roman" w:hAnsi="Times New Roman" w:cs="Times New Roman"/>
          <w:sz w:val="24"/>
          <w:szCs w:val="24"/>
        </w:rPr>
        <w:t xml:space="preserve">ransitional </w:t>
      </w:r>
      <w:r w:rsidR="217AC29B" w:rsidRPr="0086148A">
        <w:rPr>
          <w:rFonts w:ascii="Times New Roman" w:hAnsi="Times New Roman" w:cs="Times New Roman"/>
          <w:sz w:val="24"/>
          <w:szCs w:val="24"/>
        </w:rPr>
        <w:t>J</w:t>
      </w:r>
      <w:r w:rsidR="79891841" w:rsidRPr="0086148A">
        <w:rPr>
          <w:rFonts w:ascii="Times New Roman" w:hAnsi="Times New Roman" w:cs="Times New Roman"/>
          <w:sz w:val="24"/>
          <w:szCs w:val="24"/>
        </w:rPr>
        <w:t>ustice (ICTJ)</w:t>
      </w:r>
      <w:r w:rsidR="000D40EE" w:rsidRPr="0086148A">
        <w:rPr>
          <w:rStyle w:val="FootnoteReference"/>
          <w:rFonts w:ascii="Times New Roman" w:hAnsi="Times New Roman" w:cs="Times New Roman"/>
          <w:sz w:val="24"/>
          <w:szCs w:val="24"/>
        </w:rPr>
        <w:footnoteReference w:id="34"/>
      </w:r>
      <w:r w:rsidR="217AC29B" w:rsidRPr="0086148A">
        <w:rPr>
          <w:rFonts w:ascii="Times New Roman" w:hAnsi="Times New Roman" w:cs="Times New Roman"/>
          <w:sz w:val="24"/>
          <w:szCs w:val="24"/>
        </w:rPr>
        <w:t xml:space="preserve"> in their work.</w:t>
      </w:r>
      <w:r w:rsidR="009517B7" w:rsidRPr="0086148A">
        <w:rPr>
          <w:rFonts w:ascii="Times New Roman" w:hAnsi="Times New Roman" w:cs="Times New Roman"/>
          <w:sz w:val="24"/>
          <w:szCs w:val="24"/>
        </w:rPr>
        <w:t xml:space="preserve"> </w:t>
      </w:r>
      <w:r w:rsidR="004C1078" w:rsidRPr="0086148A">
        <w:rPr>
          <w:rFonts w:ascii="Times New Roman" w:hAnsi="Times New Roman" w:cs="Times New Roman"/>
          <w:sz w:val="24"/>
          <w:szCs w:val="24"/>
        </w:rPr>
        <w:t xml:space="preserve">Almost </w:t>
      </w:r>
      <w:r w:rsidR="006B3AB0" w:rsidRPr="0086148A">
        <w:rPr>
          <w:rFonts w:ascii="Times New Roman" w:hAnsi="Times New Roman" w:cs="Times New Roman"/>
          <w:sz w:val="24"/>
          <w:szCs w:val="24"/>
        </w:rPr>
        <w:t>all</w:t>
      </w:r>
      <w:r w:rsidR="00756FD0" w:rsidRPr="0086148A">
        <w:rPr>
          <w:rFonts w:ascii="Times New Roman" w:hAnsi="Times New Roman" w:cs="Times New Roman"/>
          <w:sz w:val="24"/>
          <w:szCs w:val="24"/>
        </w:rPr>
        <w:t xml:space="preserve"> the relevant recommendations fall into one of these </w:t>
      </w:r>
      <w:r w:rsidR="008D6898" w:rsidRPr="0086148A">
        <w:rPr>
          <w:rFonts w:ascii="Times New Roman" w:hAnsi="Times New Roman" w:cs="Times New Roman"/>
          <w:sz w:val="24"/>
          <w:szCs w:val="24"/>
        </w:rPr>
        <w:t>categories,</w:t>
      </w:r>
      <w:r w:rsidR="00756FD0" w:rsidRPr="0086148A">
        <w:rPr>
          <w:rFonts w:ascii="Times New Roman" w:hAnsi="Times New Roman" w:cs="Times New Roman"/>
          <w:sz w:val="24"/>
          <w:szCs w:val="24"/>
        </w:rPr>
        <w:t xml:space="preserve"> but i</w:t>
      </w:r>
      <w:r w:rsidR="004C1078" w:rsidRPr="0086148A">
        <w:rPr>
          <w:rFonts w:ascii="Times New Roman" w:hAnsi="Times New Roman" w:cs="Times New Roman"/>
          <w:sz w:val="24"/>
          <w:szCs w:val="24"/>
        </w:rPr>
        <w:t xml:space="preserve">t is conceivable that this work may have excluded a </w:t>
      </w:r>
      <w:r w:rsidR="00DC0CDB" w:rsidRPr="0086148A">
        <w:rPr>
          <w:rFonts w:ascii="Times New Roman" w:hAnsi="Times New Roman" w:cs="Times New Roman"/>
          <w:sz w:val="24"/>
          <w:szCs w:val="24"/>
        </w:rPr>
        <w:t xml:space="preserve">small number of </w:t>
      </w:r>
      <w:r w:rsidR="002D4DF6" w:rsidRPr="0086148A">
        <w:rPr>
          <w:rFonts w:ascii="Times New Roman" w:hAnsi="Times New Roman" w:cs="Times New Roman"/>
          <w:sz w:val="24"/>
          <w:szCs w:val="24"/>
        </w:rPr>
        <w:t xml:space="preserve">UPR </w:t>
      </w:r>
      <w:r w:rsidR="00DC0CDB" w:rsidRPr="0086148A">
        <w:rPr>
          <w:rFonts w:ascii="Times New Roman" w:hAnsi="Times New Roman" w:cs="Times New Roman"/>
          <w:sz w:val="24"/>
          <w:szCs w:val="24"/>
        </w:rPr>
        <w:t>recommendations that may be relevant to transitional justice if they did not directly refer to</w:t>
      </w:r>
      <w:r w:rsidR="002D4DF6" w:rsidRPr="0086148A">
        <w:rPr>
          <w:rFonts w:ascii="Times New Roman" w:hAnsi="Times New Roman" w:cs="Times New Roman"/>
          <w:sz w:val="24"/>
          <w:szCs w:val="24"/>
        </w:rPr>
        <w:t xml:space="preserve"> transitional justice or fall into one of the </w:t>
      </w:r>
      <w:r w:rsidR="005E1B2C" w:rsidRPr="0086148A">
        <w:rPr>
          <w:rFonts w:ascii="Times New Roman" w:hAnsi="Times New Roman" w:cs="Times New Roman"/>
          <w:sz w:val="24"/>
          <w:szCs w:val="24"/>
        </w:rPr>
        <w:t>six</w:t>
      </w:r>
      <w:r w:rsidR="002D4DF6" w:rsidRPr="0086148A">
        <w:rPr>
          <w:rFonts w:ascii="Times New Roman" w:hAnsi="Times New Roman" w:cs="Times New Roman"/>
          <w:sz w:val="24"/>
          <w:szCs w:val="24"/>
        </w:rPr>
        <w:t xml:space="preserve"> categories.</w:t>
      </w:r>
      <w:r w:rsidR="000D40EE" w:rsidRPr="0086148A">
        <w:rPr>
          <w:rFonts w:ascii="Times New Roman" w:hAnsi="Times New Roman" w:cs="Times New Roman"/>
          <w:sz w:val="24"/>
          <w:szCs w:val="24"/>
        </w:rPr>
        <w:t xml:space="preserve"> </w:t>
      </w:r>
      <w:r w:rsidR="002D4DF6" w:rsidRPr="0086148A">
        <w:rPr>
          <w:rFonts w:ascii="Times New Roman" w:hAnsi="Times New Roman" w:cs="Times New Roman"/>
          <w:sz w:val="24"/>
          <w:szCs w:val="24"/>
        </w:rPr>
        <w:t xml:space="preserve"> </w:t>
      </w:r>
      <w:r w:rsidR="00DC0CDB" w:rsidRPr="0086148A">
        <w:rPr>
          <w:rFonts w:ascii="Times New Roman" w:hAnsi="Times New Roman" w:cs="Times New Roman"/>
          <w:sz w:val="24"/>
          <w:szCs w:val="24"/>
        </w:rPr>
        <w:t xml:space="preserve"> </w:t>
      </w:r>
    </w:p>
    <w:p w14:paraId="387DA421" w14:textId="135D0ED2" w:rsidR="009C41E6" w:rsidRPr="0086148A" w:rsidRDefault="0073669E" w:rsidP="00A352E7">
      <w:pPr>
        <w:pStyle w:val="ListParagraph"/>
        <w:numPr>
          <w:ilvl w:val="0"/>
          <w:numId w:val="1"/>
        </w:numPr>
        <w:jc w:val="both"/>
        <w:rPr>
          <w:rFonts w:ascii="Times New Roman" w:hAnsi="Times New Roman" w:cs="Times New Roman"/>
          <w:b/>
          <w:bCs/>
          <w:sz w:val="24"/>
          <w:szCs w:val="24"/>
        </w:rPr>
      </w:pPr>
      <w:r w:rsidRPr="0086148A">
        <w:rPr>
          <w:rFonts w:ascii="Times New Roman" w:hAnsi="Times New Roman" w:cs="Times New Roman"/>
          <w:b/>
          <w:bCs/>
          <w:sz w:val="24"/>
          <w:szCs w:val="24"/>
        </w:rPr>
        <w:t>Transitional Justice Contexts</w:t>
      </w:r>
    </w:p>
    <w:p w14:paraId="0DBB8414" w14:textId="6FDF24BC" w:rsidR="004068C8" w:rsidRPr="0086148A" w:rsidRDefault="002E1EA4" w:rsidP="00A352E7">
      <w:pPr>
        <w:pStyle w:val="ListParagraph"/>
        <w:numPr>
          <w:ilvl w:val="1"/>
          <w:numId w:val="1"/>
        </w:numPr>
        <w:ind w:left="1134" w:hanging="774"/>
        <w:jc w:val="both"/>
        <w:rPr>
          <w:rFonts w:ascii="Times New Roman" w:hAnsi="Times New Roman" w:cs="Times New Roman"/>
          <w:b/>
          <w:bCs/>
          <w:sz w:val="24"/>
          <w:szCs w:val="24"/>
        </w:rPr>
      </w:pPr>
      <w:r w:rsidRPr="0086148A">
        <w:rPr>
          <w:rFonts w:ascii="Times New Roman" w:hAnsi="Times New Roman" w:cs="Times New Roman"/>
          <w:b/>
          <w:bCs/>
          <w:sz w:val="24"/>
          <w:szCs w:val="24"/>
        </w:rPr>
        <w:t>Burundi</w:t>
      </w:r>
    </w:p>
    <w:p w14:paraId="6923F94E" w14:textId="0FD64317" w:rsidR="00744B8F" w:rsidRPr="0086148A" w:rsidRDefault="00827FE5"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Burundi suffered from several decades of </w:t>
      </w:r>
      <w:r w:rsidR="008A70BA" w:rsidRPr="0086148A">
        <w:rPr>
          <w:rFonts w:ascii="Times New Roman" w:hAnsi="Times New Roman" w:cs="Times New Roman"/>
          <w:sz w:val="24"/>
          <w:szCs w:val="24"/>
        </w:rPr>
        <w:t>e</w:t>
      </w:r>
      <w:r w:rsidR="0058588E" w:rsidRPr="0086148A">
        <w:rPr>
          <w:rFonts w:ascii="Times New Roman" w:hAnsi="Times New Roman" w:cs="Times New Roman"/>
          <w:sz w:val="24"/>
          <w:szCs w:val="24"/>
        </w:rPr>
        <w:t xml:space="preserve">thnic </w:t>
      </w:r>
      <w:r w:rsidRPr="0086148A">
        <w:rPr>
          <w:rFonts w:ascii="Times New Roman" w:hAnsi="Times New Roman" w:cs="Times New Roman"/>
          <w:sz w:val="24"/>
          <w:szCs w:val="24"/>
        </w:rPr>
        <w:t xml:space="preserve">conflict and civil war </w:t>
      </w:r>
      <w:r w:rsidR="00CD0567" w:rsidRPr="0086148A">
        <w:rPr>
          <w:rFonts w:ascii="Times New Roman" w:hAnsi="Times New Roman" w:cs="Times New Roman"/>
          <w:sz w:val="24"/>
          <w:szCs w:val="24"/>
        </w:rPr>
        <w:t xml:space="preserve">after independence in 1962. </w:t>
      </w:r>
      <w:r w:rsidR="009A4F53" w:rsidRPr="0086148A">
        <w:rPr>
          <w:rFonts w:ascii="Times New Roman" w:hAnsi="Times New Roman" w:cs="Times New Roman"/>
          <w:sz w:val="24"/>
          <w:szCs w:val="24"/>
        </w:rPr>
        <w:t>The con</w:t>
      </w:r>
      <w:r w:rsidR="004E543E" w:rsidRPr="0086148A">
        <w:rPr>
          <w:rFonts w:ascii="Times New Roman" w:hAnsi="Times New Roman" w:cs="Times New Roman"/>
          <w:sz w:val="24"/>
          <w:szCs w:val="24"/>
        </w:rPr>
        <w:t xml:space="preserve">flict was </w:t>
      </w:r>
      <w:r w:rsidR="002D3DA9" w:rsidRPr="0086148A">
        <w:rPr>
          <w:rFonts w:ascii="Times New Roman" w:hAnsi="Times New Roman" w:cs="Times New Roman"/>
          <w:sz w:val="24"/>
          <w:szCs w:val="24"/>
        </w:rPr>
        <w:t xml:space="preserve">propelled by political rivalry </w:t>
      </w:r>
      <w:r w:rsidR="004E543E" w:rsidRPr="0086148A">
        <w:rPr>
          <w:rFonts w:ascii="Times New Roman" w:hAnsi="Times New Roman" w:cs="Times New Roman"/>
          <w:sz w:val="24"/>
          <w:szCs w:val="24"/>
        </w:rPr>
        <w:t>between two ethnic groups</w:t>
      </w:r>
      <w:r w:rsidR="007A4D29" w:rsidRPr="0086148A">
        <w:rPr>
          <w:rFonts w:ascii="Times New Roman" w:hAnsi="Times New Roman" w:cs="Times New Roman"/>
          <w:sz w:val="24"/>
          <w:szCs w:val="24"/>
        </w:rPr>
        <w:t>, the Hutus (about 85 per cent of the population), and the Tutsis (about 14 per cent)</w:t>
      </w:r>
      <w:r w:rsidR="007E16AF" w:rsidRPr="0086148A">
        <w:rPr>
          <w:rFonts w:ascii="Times New Roman" w:hAnsi="Times New Roman" w:cs="Times New Roman"/>
          <w:sz w:val="24"/>
          <w:szCs w:val="24"/>
        </w:rPr>
        <w:t>.</w:t>
      </w:r>
      <w:r w:rsidR="007E16AF" w:rsidRPr="0086148A">
        <w:rPr>
          <w:rStyle w:val="FootnoteReference"/>
          <w:rFonts w:ascii="Times New Roman" w:hAnsi="Times New Roman" w:cs="Times New Roman"/>
          <w:sz w:val="24"/>
          <w:szCs w:val="24"/>
        </w:rPr>
        <w:footnoteReference w:id="35"/>
      </w:r>
      <w:r w:rsidR="00235D21" w:rsidRPr="0086148A">
        <w:rPr>
          <w:rFonts w:ascii="Times New Roman" w:hAnsi="Times New Roman" w:cs="Times New Roman"/>
          <w:sz w:val="24"/>
          <w:szCs w:val="24"/>
        </w:rPr>
        <w:t xml:space="preserve"> Th</w:t>
      </w:r>
      <w:r w:rsidR="0088378F" w:rsidRPr="0086148A">
        <w:rPr>
          <w:rFonts w:ascii="Times New Roman" w:hAnsi="Times New Roman" w:cs="Times New Roman"/>
          <w:sz w:val="24"/>
          <w:szCs w:val="24"/>
        </w:rPr>
        <w:t>e period between 1962 and 2000 was marked by political assassinations,</w:t>
      </w:r>
      <w:r w:rsidR="00AB383F" w:rsidRPr="0086148A">
        <w:rPr>
          <w:rStyle w:val="FootnoteReference"/>
          <w:rFonts w:ascii="Times New Roman" w:hAnsi="Times New Roman" w:cs="Times New Roman"/>
          <w:sz w:val="24"/>
          <w:szCs w:val="24"/>
        </w:rPr>
        <w:footnoteReference w:id="36"/>
      </w:r>
      <w:r w:rsidR="0088378F" w:rsidRPr="0086148A">
        <w:rPr>
          <w:rFonts w:ascii="Times New Roman" w:hAnsi="Times New Roman" w:cs="Times New Roman"/>
          <w:sz w:val="24"/>
          <w:szCs w:val="24"/>
        </w:rPr>
        <w:t xml:space="preserve"> military coups,</w:t>
      </w:r>
      <w:r w:rsidR="00C60036" w:rsidRPr="0086148A">
        <w:rPr>
          <w:rStyle w:val="FootnoteReference"/>
          <w:rFonts w:ascii="Times New Roman" w:hAnsi="Times New Roman" w:cs="Times New Roman"/>
          <w:sz w:val="24"/>
          <w:szCs w:val="24"/>
        </w:rPr>
        <w:footnoteReference w:id="37"/>
      </w:r>
      <w:r w:rsidR="0088378F" w:rsidRPr="0086148A">
        <w:rPr>
          <w:rFonts w:ascii="Times New Roman" w:hAnsi="Times New Roman" w:cs="Times New Roman"/>
          <w:sz w:val="24"/>
          <w:szCs w:val="24"/>
        </w:rPr>
        <w:t xml:space="preserve"> </w:t>
      </w:r>
      <w:r w:rsidR="00473B7D" w:rsidRPr="0086148A">
        <w:rPr>
          <w:rFonts w:ascii="Times New Roman" w:hAnsi="Times New Roman" w:cs="Times New Roman"/>
          <w:sz w:val="24"/>
          <w:szCs w:val="24"/>
        </w:rPr>
        <w:t xml:space="preserve">ethnic </w:t>
      </w:r>
      <w:r w:rsidR="007C38D7" w:rsidRPr="0086148A">
        <w:rPr>
          <w:rFonts w:ascii="Times New Roman" w:hAnsi="Times New Roman" w:cs="Times New Roman"/>
          <w:sz w:val="24"/>
          <w:szCs w:val="24"/>
        </w:rPr>
        <w:t>massacres,</w:t>
      </w:r>
      <w:r w:rsidR="007E21B1" w:rsidRPr="0086148A">
        <w:rPr>
          <w:rStyle w:val="FootnoteReference"/>
          <w:rFonts w:ascii="Times New Roman" w:hAnsi="Times New Roman" w:cs="Times New Roman"/>
          <w:sz w:val="24"/>
          <w:szCs w:val="24"/>
        </w:rPr>
        <w:footnoteReference w:id="38"/>
      </w:r>
      <w:r w:rsidR="00473B7D" w:rsidRPr="0086148A">
        <w:rPr>
          <w:rFonts w:ascii="Times New Roman" w:hAnsi="Times New Roman" w:cs="Times New Roman"/>
          <w:sz w:val="24"/>
          <w:szCs w:val="24"/>
        </w:rPr>
        <w:t xml:space="preserve"> and </w:t>
      </w:r>
      <w:r w:rsidR="002B38A8" w:rsidRPr="0086148A">
        <w:rPr>
          <w:rFonts w:ascii="Times New Roman" w:hAnsi="Times New Roman" w:cs="Times New Roman"/>
          <w:sz w:val="24"/>
          <w:szCs w:val="24"/>
        </w:rPr>
        <w:t>large-scale displacement of people.</w:t>
      </w:r>
      <w:r w:rsidR="002B38A8" w:rsidRPr="0086148A">
        <w:rPr>
          <w:rStyle w:val="FootnoteReference"/>
          <w:rFonts w:ascii="Times New Roman" w:hAnsi="Times New Roman" w:cs="Times New Roman"/>
          <w:sz w:val="24"/>
          <w:szCs w:val="24"/>
        </w:rPr>
        <w:footnoteReference w:id="39"/>
      </w:r>
      <w:r w:rsidR="002B38A8" w:rsidRPr="0086148A">
        <w:rPr>
          <w:rFonts w:ascii="Times New Roman" w:hAnsi="Times New Roman" w:cs="Times New Roman"/>
          <w:sz w:val="24"/>
          <w:szCs w:val="24"/>
        </w:rPr>
        <w:t xml:space="preserve"> </w:t>
      </w:r>
      <w:r w:rsidR="00543D63" w:rsidRPr="0086148A">
        <w:rPr>
          <w:rFonts w:ascii="Times New Roman" w:hAnsi="Times New Roman" w:cs="Times New Roman"/>
          <w:sz w:val="24"/>
          <w:szCs w:val="24"/>
        </w:rPr>
        <w:t xml:space="preserve"> Some of the most egregious </w:t>
      </w:r>
      <w:r w:rsidR="00B97A18" w:rsidRPr="0086148A">
        <w:rPr>
          <w:rFonts w:ascii="Times New Roman" w:hAnsi="Times New Roman" w:cs="Times New Roman"/>
          <w:sz w:val="24"/>
          <w:szCs w:val="24"/>
        </w:rPr>
        <w:t xml:space="preserve">human rights violations </w:t>
      </w:r>
      <w:r w:rsidR="003B117C" w:rsidRPr="0086148A">
        <w:rPr>
          <w:rFonts w:ascii="Times New Roman" w:hAnsi="Times New Roman" w:cs="Times New Roman"/>
          <w:sz w:val="24"/>
          <w:szCs w:val="24"/>
        </w:rPr>
        <w:t xml:space="preserve">reported included the 1972 massacre of </w:t>
      </w:r>
      <w:r w:rsidR="00695FAA" w:rsidRPr="0086148A">
        <w:rPr>
          <w:rFonts w:ascii="Times New Roman" w:hAnsi="Times New Roman" w:cs="Times New Roman"/>
          <w:sz w:val="24"/>
          <w:szCs w:val="24"/>
        </w:rPr>
        <w:t xml:space="preserve">about </w:t>
      </w:r>
      <w:r w:rsidR="003B117C" w:rsidRPr="0086148A">
        <w:rPr>
          <w:rFonts w:ascii="Times New Roman" w:hAnsi="Times New Roman" w:cs="Times New Roman"/>
          <w:sz w:val="24"/>
          <w:szCs w:val="24"/>
        </w:rPr>
        <w:t>300,000 Hutu civilians,</w:t>
      </w:r>
      <w:r w:rsidR="00695FAA" w:rsidRPr="0086148A">
        <w:rPr>
          <w:rFonts w:ascii="Times New Roman" w:hAnsi="Times New Roman" w:cs="Times New Roman"/>
          <w:sz w:val="24"/>
          <w:szCs w:val="24"/>
        </w:rPr>
        <w:t xml:space="preserve"> 1988 </w:t>
      </w:r>
      <w:proofErr w:type="spellStart"/>
      <w:r w:rsidR="00695FAA" w:rsidRPr="0086148A">
        <w:rPr>
          <w:rFonts w:ascii="Times New Roman" w:hAnsi="Times New Roman" w:cs="Times New Roman"/>
          <w:sz w:val="24"/>
          <w:szCs w:val="24"/>
        </w:rPr>
        <w:t>Ntenga</w:t>
      </w:r>
      <w:proofErr w:type="spellEnd"/>
      <w:r w:rsidR="00695FAA" w:rsidRPr="0086148A">
        <w:rPr>
          <w:rFonts w:ascii="Times New Roman" w:hAnsi="Times New Roman" w:cs="Times New Roman"/>
          <w:sz w:val="24"/>
          <w:szCs w:val="24"/>
        </w:rPr>
        <w:t xml:space="preserve"> and </w:t>
      </w:r>
      <w:proofErr w:type="spellStart"/>
      <w:r w:rsidR="00695FAA" w:rsidRPr="0086148A">
        <w:rPr>
          <w:rFonts w:ascii="Times New Roman" w:hAnsi="Times New Roman" w:cs="Times New Roman"/>
          <w:sz w:val="24"/>
          <w:szCs w:val="24"/>
        </w:rPr>
        <w:t>Marangara</w:t>
      </w:r>
      <w:proofErr w:type="spellEnd"/>
      <w:r w:rsidR="00695FAA" w:rsidRPr="0086148A">
        <w:rPr>
          <w:rFonts w:ascii="Times New Roman" w:hAnsi="Times New Roman" w:cs="Times New Roman"/>
          <w:sz w:val="24"/>
          <w:szCs w:val="24"/>
        </w:rPr>
        <w:t xml:space="preserve"> massacres of over 50,000 Hutu civilians, the massacre of about 20,000 Hutus in 1991 in </w:t>
      </w:r>
      <w:proofErr w:type="spellStart"/>
      <w:r w:rsidR="00695FAA" w:rsidRPr="0086148A">
        <w:rPr>
          <w:rFonts w:ascii="Times New Roman" w:hAnsi="Times New Roman" w:cs="Times New Roman"/>
          <w:sz w:val="24"/>
          <w:szCs w:val="24"/>
        </w:rPr>
        <w:t>Cibitoke</w:t>
      </w:r>
      <w:proofErr w:type="spellEnd"/>
      <w:r w:rsidR="003B117C" w:rsidRPr="0086148A">
        <w:rPr>
          <w:rStyle w:val="FootnoteReference"/>
          <w:rFonts w:ascii="Times New Roman" w:hAnsi="Times New Roman" w:cs="Times New Roman"/>
          <w:sz w:val="24"/>
          <w:szCs w:val="24"/>
        </w:rPr>
        <w:footnoteReference w:id="40"/>
      </w:r>
      <w:r w:rsidR="00B97A18" w:rsidRPr="0086148A">
        <w:rPr>
          <w:rFonts w:ascii="Times New Roman" w:hAnsi="Times New Roman" w:cs="Times New Roman"/>
          <w:sz w:val="24"/>
          <w:szCs w:val="24"/>
        </w:rPr>
        <w:t xml:space="preserve"> </w:t>
      </w:r>
      <w:r w:rsidR="00144AD9" w:rsidRPr="0086148A">
        <w:rPr>
          <w:rFonts w:ascii="Times New Roman" w:hAnsi="Times New Roman" w:cs="Times New Roman"/>
          <w:sz w:val="24"/>
          <w:szCs w:val="24"/>
        </w:rPr>
        <w:t>The 1993 report by the UN Commission of Inquiry on Burundi refers to the ‘genocide’ of Tutsi civilians</w:t>
      </w:r>
      <w:r w:rsidR="006C7EC9" w:rsidRPr="0086148A">
        <w:rPr>
          <w:rFonts w:ascii="Times New Roman" w:hAnsi="Times New Roman" w:cs="Times New Roman"/>
          <w:sz w:val="24"/>
          <w:szCs w:val="24"/>
        </w:rPr>
        <w:t>.</w:t>
      </w:r>
      <w:r w:rsidR="007D65A6" w:rsidRPr="0086148A">
        <w:rPr>
          <w:rStyle w:val="FootnoteReference"/>
          <w:rFonts w:ascii="Times New Roman" w:hAnsi="Times New Roman" w:cs="Times New Roman"/>
          <w:sz w:val="24"/>
          <w:szCs w:val="24"/>
        </w:rPr>
        <w:footnoteReference w:id="41"/>
      </w:r>
      <w:r w:rsidR="00881E8E" w:rsidRPr="0086148A">
        <w:rPr>
          <w:rFonts w:ascii="Times New Roman" w:hAnsi="Times New Roman" w:cs="Times New Roman"/>
          <w:sz w:val="24"/>
          <w:szCs w:val="24"/>
        </w:rPr>
        <w:t xml:space="preserve"> </w:t>
      </w:r>
      <w:r w:rsidR="00040066" w:rsidRPr="0086148A">
        <w:rPr>
          <w:rFonts w:ascii="Times New Roman" w:hAnsi="Times New Roman" w:cs="Times New Roman"/>
          <w:sz w:val="24"/>
          <w:szCs w:val="24"/>
        </w:rPr>
        <w:t>In 1999, over 8</w:t>
      </w:r>
      <w:r w:rsidR="008F311F" w:rsidRPr="0086148A">
        <w:rPr>
          <w:rFonts w:ascii="Times New Roman" w:hAnsi="Times New Roman" w:cs="Times New Roman"/>
          <w:sz w:val="24"/>
          <w:szCs w:val="24"/>
        </w:rPr>
        <w:t xml:space="preserve">00,000 civilians (12% of the population) </w:t>
      </w:r>
      <w:r w:rsidR="00695F1A" w:rsidRPr="0086148A">
        <w:rPr>
          <w:rFonts w:ascii="Times New Roman" w:hAnsi="Times New Roman" w:cs="Times New Roman"/>
          <w:sz w:val="24"/>
          <w:szCs w:val="24"/>
        </w:rPr>
        <w:t>were reportedly displaced.</w:t>
      </w:r>
      <w:r w:rsidR="00695F1A" w:rsidRPr="0086148A">
        <w:rPr>
          <w:rStyle w:val="FootnoteReference"/>
          <w:rFonts w:ascii="Times New Roman" w:hAnsi="Times New Roman" w:cs="Times New Roman"/>
          <w:sz w:val="24"/>
          <w:szCs w:val="24"/>
        </w:rPr>
        <w:footnoteReference w:id="42"/>
      </w:r>
      <w:r w:rsidR="00695F1A" w:rsidRPr="0086148A">
        <w:rPr>
          <w:rFonts w:ascii="Times New Roman" w:hAnsi="Times New Roman" w:cs="Times New Roman"/>
          <w:sz w:val="24"/>
          <w:szCs w:val="24"/>
        </w:rPr>
        <w:t xml:space="preserve"> </w:t>
      </w:r>
      <w:r w:rsidR="006C7EC9" w:rsidRPr="0086148A">
        <w:rPr>
          <w:rFonts w:ascii="Times New Roman" w:hAnsi="Times New Roman" w:cs="Times New Roman"/>
          <w:sz w:val="24"/>
          <w:szCs w:val="24"/>
        </w:rPr>
        <w:t xml:space="preserve">The scale and consistency with which these human rights violations were carried out </w:t>
      </w:r>
      <w:r w:rsidR="002F5ECA" w:rsidRPr="0086148A">
        <w:rPr>
          <w:rFonts w:ascii="Times New Roman" w:hAnsi="Times New Roman" w:cs="Times New Roman"/>
          <w:sz w:val="24"/>
          <w:szCs w:val="24"/>
        </w:rPr>
        <w:t xml:space="preserve">were </w:t>
      </w:r>
      <w:r w:rsidR="009563B4" w:rsidRPr="0086148A">
        <w:rPr>
          <w:rFonts w:ascii="Times New Roman" w:hAnsi="Times New Roman" w:cs="Times New Roman"/>
          <w:sz w:val="24"/>
          <w:szCs w:val="24"/>
        </w:rPr>
        <w:t>underscored</w:t>
      </w:r>
      <w:r w:rsidR="002F5ECA" w:rsidRPr="0086148A">
        <w:rPr>
          <w:rFonts w:ascii="Times New Roman" w:hAnsi="Times New Roman" w:cs="Times New Roman"/>
          <w:sz w:val="24"/>
          <w:szCs w:val="24"/>
        </w:rPr>
        <w:t xml:space="preserve"> by </w:t>
      </w:r>
      <w:r w:rsidR="009563B4" w:rsidRPr="0086148A">
        <w:rPr>
          <w:rFonts w:ascii="Times New Roman" w:hAnsi="Times New Roman" w:cs="Times New Roman"/>
          <w:sz w:val="24"/>
          <w:szCs w:val="24"/>
        </w:rPr>
        <w:t xml:space="preserve">Rene </w:t>
      </w:r>
      <w:proofErr w:type="spellStart"/>
      <w:r w:rsidR="009563B4" w:rsidRPr="0086148A">
        <w:rPr>
          <w:rFonts w:ascii="Times New Roman" w:hAnsi="Times New Roman" w:cs="Times New Roman"/>
          <w:sz w:val="24"/>
          <w:szCs w:val="24"/>
        </w:rPr>
        <w:t>Lemarchand</w:t>
      </w:r>
      <w:proofErr w:type="spellEnd"/>
      <w:r w:rsidR="009563B4" w:rsidRPr="0086148A">
        <w:rPr>
          <w:rFonts w:ascii="Times New Roman" w:hAnsi="Times New Roman" w:cs="Times New Roman"/>
          <w:sz w:val="24"/>
          <w:szCs w:val="24"/>
        </w:rPr>
        <w:t xml:space="preserve"> who asserted that ‘</w:t>
      </w:r>
      <w:r w:rsidR="002F5ECA" w:rsidRPr="0086148A">
        <w:rPr>
          <w:rFonts w:ascii="Times New Roman" w:hAnsi="Times New Roman" w:cs="Times New Roman"/>
          <w:sz w:val="24"/>
          <w:szCs w:val="24"/>
        </w:rPr>
        <w:t xml:space="preserve">nowhere in Africa </w:t>
      </w:r>
      <w:r w:rsidR="002F5ECA" w:rsidRPr="0086148A">
        <w:rPr>
          <w:rFonts w:ascii="Times New Roman" w:hAnsi="Times New Roman" w:cs="Times New Roman"/>
          <w:sz w:val="24"/>
          <w:szCs w:val="24"/>
        </w:rPr>
        <w:lastRenderedPageBreak/>
        <w:t>have human rights been violated on a massive</w:t>
      </w:r>
      <w:r w:rsidR="00607ECF" w:rsidRPr="0086148A">
        <w:rPr>
          <w:rFonts w:ascii="Times New Roman" w:hAnsi="Times New Roman" w:cs="Times New Roman"/>
          <w:sz w:val="24"/>
          <w:szCs w:val="24"/>
        </w:rPr>
        <w:t xml:space="preserve"> </w:t>
      </w:r>
      <w:r w:rsidR="002F5ECA" w:rsidRPr="0086148A">
        <w:rPr>
          <w:rFonts w:ascii="Times New Roman" w:hAnsi="Times New Roman" w:cs="Times New Roman"/>
          <w:sz w:val="24"/>
          <w:szCs w:val="24"/>
        </w:rPr>
        <w:t>scale and with such brutal consistency than in Burundi</w:t>
      </w:r>
      <w:r w:rsidR="00607ECF" w:rsidRPr="0086148A">
        <w:rPr>
          <w:rFonts w:ascii="Times New Roman" w:hAnsi="Times New Roman" w:cs="Times New Roman"/>
          <w:sz w:val="24"/>
          <w:szCs w:val="24"/>
        </w:rPr>
        <w:t>’</w:t>
      </w:r>
      <w:r w:rsidR="00C426F4" w:rsidRPr="0086148A">
        <w:rPr>
          <w:rFonts w:ascii="Times New Roman" w:hAnsi="Times New Roman" w:cs="Times New Roman"/>
          <w:sz w:val="24"/>
          <w:szCs w:val="24"/>
        </w:rPr>
        <w:t>.</w:t>
      </w:r>
      <w:r w:rsidR="00607ECF" w:rsidRPr="0086148A">
        <w:rPr>
          <w:rStyle w:val="FootnoteReference"/>
          <w:rFonts w:ascii="Times New Roman" w:hAnsi="Times New Roman" w:cs="Times New Roman"/>
          <w:sz w:val="24"/>
          <w:szCs w:val="24"/>
        </w:rPr>
        <w:footnoteReference w:id="43"/>
      </w:r>
    </w:p>
    <w:p w14:paraId="7B457861" w14:textId="03167364" w:rsidR="00025982" w:rsidRPr="0086148A" w:rsidRDefault="00025982"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The foundations for transitional </w:t>
      </w:r>
      <w:r w:rsidR="00B93A06" w:rsidRPr="0086148A">
        <w:rPr>
          <w:rFonts w:ascii="Times New Roman" w:hAnsi="Times New Roman" w:cs="Times New Roman"/>
          <w:sz w:val="24"/>
          <w:szCs w:val="24"/>
        </w:rPr>
        <w:t xml:space="preserve">justice in Burundi are rooted in the </w:t>
      </w:r>
      <w:r w:rsidR="00313FB6" w:rsidRPr="0086148A">
        <w:rPr>
          <w:rFonts w:ascii="Times New Roman" w:hAnsi="Times New Roman" w:cs="Times New Roman"/>
          <w:sz w:val="24"/>
          <w:szCs w:val="24"/>
        </w:rPr>
        <w:t xml:space="preserve">2000 </w:t>
      </w:r>
      <w:r w:rsidR="00B93A06" w:rsidRPr="0086148A">
        <w:rPr>
          <w:rFonts w:ascii="Times New Roman" w:hAnsi="Times New Roman" w:cs="Times New Roman"/>
          <w:sz w:val="24"/>
          <w:szCs w:val="24"/>
        </w:rPr>
        <w:t>Arusha Peace and Reconciliation Agreement for Burundi (</w:t>
      </w:r>
      <w:r w:rsidR="00575102" w:rsidRPr="0086148A">
        <w:rPr>
          <w:rFonts w:ascii="Times New Roman" w:hAnsi="Times New Roman" w:cs="Times New Roman"/>
          <w:sz w:val="24"/>
          <w:szCs w:val="24"/>
        </w:rPr>
        <w:t>hereafter referred to as the Arusha Agreement</w:t>
      </w:r>
      <w:r w:rsidR="005A275A" w:rsidRPr="0086148A">
        <w:rPr>
          <w:rFonts w:ascii="Times New Roman" w:hAnsi="Times New Roman" w:cs="Times New Roman"/>
          <w:sz w:val="24"/>
          <w:szCs w:val="24"/>
        </w:rPr>
        <w:t xml:space="preserve">) </w:t>
      </w:r>
      <w:r w:rsidR="006A5E51" w:rsidRPr="0086148A">
        <w:rPr>
          <w:rFonts w:ascii="Times New Roman" w:hAnsi="Times New Roman" w:cs="Times New Roman"/>
          <w:sz w:val="24"/>
          <w:szCs w:val="24"/>
        </w:rPr>
        <w:t>and</w:t>
      </w:r>
      <w:r w:rsidR="00543852" w:rsidRPr="0086148A">
        <w:rPr>
          <w:rFonts w:ascii="Times New Roman" w:hAnsi="Times New Roman" w:cs="Times New Roman"/>
          <w:sz w:val="24"/>
          <w:szCs w:val="24"/>
        </w:rPr>
        <w:t xml:space="preserve"> the</w:t>
      </w:r>
      <w:r w:rsidR="006A5E51" w:rsidRPr="0086148A">
        <w:rPr>
          <w:rFonts w:ascii="Times New Roman" w:hAnsi="Times New Roman" w:cs="Times New Roman"/>
          <w:sz w:val="24"/>
          <w:szCs w:val="24"/>
        </w:rPr>
        <w:t xml:space="preserve"> </w:t>
      </w:r>
      <w:r w:rsidR="009306F4" w:rsidRPr="0086148A">
        <w:rPr>
          <w:rFonts w:ascii="Times New Roman" w:hAnsi="Times New Roman" w:cs="Times New Roman"/>
          <w:sz w:val="24"/>
          <w:szCs w:val="24"/>
        </w:rPr>
        <w:t>200</w:t>
      </w:r>
      <w:r w:rsidR="006F2698" w:rsidRPr="0086148A">
        <w:rPr>
          <w:rFonts w:ascii="Times New Roman" w:hAnsi="Times New Roman" w:cs="Times New Roman"/>
          <w:sz w:val="24"/>
          <w:szCs w:val="24"/>
        </w:rPr>
        <w:t>5</w:t>
      </w:r>
      <w:r w:rsidR="009306F4" w:rsidRPr="0086148A">
        <w:rPr>
          <w:rFonts w:ascii="Times New Roman" w:hAnsi="Times New Roman" w:cs="Times New Roman"/>
          <w:sz w:val="24"/>
          <w:szCs w:val="24"/>
        </w:rPr>
        <w:t xml:space="preserve"> </w:t>
      </w:r>
      <w:r w:rsidR="00543852" w:rsidRPr="0086148A">
        <w:rPr>
          <w:rFonts w:ascii="Times New Roman" w:hAnsi="Times New Roman" w:cs="Times New Roman"/>
          <w:sz w:val="24"/>
          <w:szCs w:val="24"/>
        </w:rPr>
        <w:t xml:space="preserve">Report of the assessment mission on the establishment of an international judicial commission of inquiry for Burundi </w:t>
      </w:r>
      <w:r w:rsidR="006F69D1" w:rsidRPr="0086148A">
        <w:rPr>
          <w:rFonts w:ascii="Times New Roman" w:hAnsi="Times New Roman" w:cs="Times New Roman"/>
          <w:sz w:val="24"/>
          <w:szCs w:val="24"/>
        </w:rPr>
        <w:t xml:space="preserve">led by </w:t>
      </w:r>
      <w:proofErr w:type="spellStart"/>
      <w:r w:rsidR="006F69D1" w:rsidRPr="0086148A">
        <w:rPr>
          <w:rFonts w:ascii="Times New Roman" w:hAnsi="Times New Roman" w:cs="Times New Roman"/>
          <w:sz w:val="24"/>
          <w:szCs w:val="24"/>
        </w:rPr>
        <w:t>Tuliameni</w:t>
      </w:r>
      <w:proofErr w:type="spellEnd"/>
      <w:r w:rsidR="006F69D1" w:rsidRPr="0086148A">
        <w:rPr>
          <w:rFonts w:ascii="Times New Roman" w:hAnsi="Times New Roman" w:cs="Times New Roman"/>
          <w:sz w:val="24"/>
          <w:szCs w:val="24"/>
        </w:rPr>
        <w:t xml:space="preserve"> </w:t>
      </w:r>
      <w:proofErr w:type="spellStart"/>
      <w:r w:rsidR="006F69D1" w:rsidRPr="0086148A">
        <w:rPr>
          <w:rFonts w:ascii="Times New Roman" w:hAnsi="Times New Roman" w:cs="Times New Roman"/>
          <w:sz w:val="24"/>
          <w:szCs w:val="24"/>
        </w:rPr>
        <w:t>Kalomoh</w:t>
      </w:r>
      <w:proofErr w:type="spellEnd"/>
      <w:r w:rsidR="006F69D1" w:rsidRPr="0086148A">
        <w:rPr>
          <w:rFonts w:ascii="Times New Roman" w:hAnsi="Times New Roman" w:cs="Times New Roman"/>
          <w:sz w:val="24"/>
          <w:szCs w:val="24"/>
        </w:rPr>
        <w:t xml:space="preserve"> </w:t>
      </w:r>
      <w:r w:rsidR="00543852" w:rsidRPr="0086148A">
        <w:rPr>
          <w:rFonts w:ascii="Times New Roman" w:hAnsi="Times New Roman" w:cs="Times New Roman"/>
          <w:sz w:val="24"/>
          <w:szCs w:val="24"/>
        </w:rPr>
        <w:t>(</w:t>
      </w:r>
      <w:r w:rsidR="008871A7" w:rsidRPr="0086148A">
        <w:rPr>
          <w:rFonts w:ascii="Times New Roman" w:hAnsi="Times New Roman" w:cs="Times New Roman"/>
          <w:sz w:val="24"/>
          <w:szCs w:val="24"/>
        </w:rPr>
        <w:t xml:space="preserve">the </w:t>
      </w:r>
      <w:proofErr w:type="spellStart"/>
      <w:r w:rsidR="00543852" w:rsidRPr="0086148A">
        <w:rPr>
          <w:rFonts w:ascii="Times New Roman" w:hAnsi="Times New Roman" w:cs="Times New Roman"/>
          <w:sz w:val="24"/>
          <w:szCs w:val="24"/>
        </w:rPr>
        <w:t>Kalomoh</w:t>
      </w:r>
      <w:proofErr w:type="spellEnd"/>
      <w:r w:rsidR="00543852" w:rsidRPr="0086148A">
        <w:rPr>
          <w:rFonts w:ascii="Times New Roman" w:hAnsi="Times New Roman" w:cs="Times New Roman"/>
          <w:sz w:val="24"/>
          <w:szCs w:val="24"/>
        </w:rPr>
        <w:t xml:space="preserve"> </w:t>
      </w:r>
      <w:r w:rsidR="008871A7" w:rsidRPr="0086148A">
        <w:rPr>
          <w:rFonts w:ascii="Times New Roman" w:hAnsi="Times New Roman" w:cs="Times New Roman"/>
          <w:sz w:val="24"/>
          <w:szCs w:val="24"/>
        </w:rPr>
        <w:t>R</w:t>
      </w:r>
      <w:r w:rsidR="00543852" w:rsidRPr="0086148A">
        <w:rPr>
          <w:rFonts w:ascii="Times New Roman" w:hAnsi="Times New Roman" w:cs="Times New Roman"/>
          <w:sz w:val="24"/>
          <w:szCs w:val="24"/>
        </w:rPr>
        <w:t>eport)</w:t>
      </w:r>
      <w:r w:rsidR="006A5E51" w:rsidRPr="0086148A">
        <w:rPr>
          <w:rFonts w:ascii="Times New Roman" w:hAnsi="Times New Roman" w:cs="Times New Roman"/>
          <w:sz w:val="24"/>
          <w:szCs w:val="24"/>
        </w:rPr>
        <w:t>.</w:t>
      </w:r>
      <w:r w:rsidR="006A5E51" w:rsidRPr="0086148A">
        <w:rPr>
          <w:rStyle w:val="FootnoteReference"/>
          <w:rFonts w:ascii="Times New Roman" w:hAnsi="Times New Roman" w:cs="Times New Roman"/>
          <w:sz w:val="24"/>
          <w:szCs w:val="24"/>
        </w:rPr>
        <w:footnoteReference w:id="44"/>
      </w:r>
      <w:r w:rsidR="00855F51" w:rsidRPr="0086148A">
        <w:rPr>
          <w:rFonts w:ascii="Times New Roman" w:hAnsi="Times New Roman" w:cs="Times New Roman"/>
          <w:sz w:val="24"/>
          <w:szCs w:val="24"/>
        </w:rPr>
        <w:t xml:space="preserve"> The Arusha Agreement </w:t>
      </w:r>
      <w:r w:rsidR="00223F88" w:rsidRPr="0086148A">
        <w:rPr>
          <w:rFonts w:ascii="Times New Roman" w:hAnsi="Times New Roman" w:cs="Times New Roman"/>
          <w:sz w:val="24"/>
          <w:szCs w:val="24"/>
        </w:rPr>
        <w:t>which was signed</w:t>
      </w:r>
      <w:r w:rsidR="0050778B" w:rsidRPr="0086148A">
        <w:rPr>
          <w:rFonts w:ascii="Times New Roman" w:hAnsi="Times New Roman" w:cs="Times New Roman"/>
          <w:sz w:val="24"/>
          <w:szCs w:val="24"/>
        </w:rPr>
        <w:t xml:space="preserve"> </w:t>
      </w:r>
      <w:r w:rsidR="00EE60BC" w:rsidRPr="0086148A">
        <w:rPr>
          <w:rFonts w:ascii="Times New Roman" w:hAnsi="Times New Roman" w:cs="Times New Roman"/>
          <w:sz w:val="24"/>
          <w:szCs w:val="24"/>
        </w:rPr>
        <w:t>on 28 August 2000</w:t>
      </w:r>
      <w:r w:rsidR="00D174BB" w:rsidRPr="0086148A">
        <w:rPr>
          <w:rFonts w:ascii="Times New Roman" w:hAnsi="Times New Roman" w:cs="Times New Roman"/>
          <w:sz w:val="24"/>
          <w:szCs w:val="24"/>
        </w:rPr>
        <w:t xml:space="preserve"> in Arusha, Tan</w:t>
      </w:r>
      <w:r w:rsidR="00C32103" w:rsidRPr="0086148A">
        <w:rPr>
          <w:rFonts w:ascii="Times New Roman" w:hAnsi="Times New Roman" w:cs="Times New Roman"/>
          <w:sz w:val="24"/>
          <w:szCs w:val="24"/>
        </w:rPr>
        <w:t>zania</w:t>
      </w:r>
      <w:r w:rsidR="00EE60BC" w:rsidRPr="0086148A">
        <w:rPr>
          <w:rFonts w:ascii="Times New Roman" w:hAnsi="Times New Roman" w:cs="Times New Roman"/>
          <w:sz w:val="24"/>
          <w:szCs w:val="24"/>
        </w:rPr>
        <w:t xml:space="preserve"> (came into force in November</w:t>
      </w:r>
      <w:r w:rsidR="00EC5F61" w:rsidRPr="0086148A">
        <w:rPr>
          <w:rFonts w:ascii="Times New Roman" w:hAnsi="Times New Roman" w:cs="Times New Roman"/>
          <w:sz w:val="24"/>
          <w:szCs w:val="24"/>
        </w:rPr>
        <w:t xml:space="preserve"> 2001) </w:t>
      </w:r>
      <w:r w:rsidR="00687E44" w:rsidRPr="0086148A">
        <w:rPr>
          <w:rFonts w:ascii="Times New Roman" w:hAnsi="Times New Roman" w:cs="Times New Roman"/>
          <w:sz w:val="24"/>
          <w:szCs w:val="24"/>
        </w:rPr>
        <w:t xml:space="preserve">was a </w:t>
      </w:r>
      <w:r w:rsidR="00C72E53" w:rsidRPr="0086148A">
        <w:rPr>
          <w:rFonts w:ascii="Times New Roman" w:hAnsi="Times New Roman" w:cs="Times New Roman"/>
          <w:sz w:val="24"/>
          <w:szCs w:val="24"/>
        </w:rPr>
        <w:t xml:space="preserve">peace agreement and a political </w:t>
      </w:r>
      <w:r w:rsidR="004C3481" w:rsidRPr="0086148A">
        <w:rPr>
          <w:rFonts w:ascii="Times New Roman" w:hAnsi="Times New Roman" w:cs="Times New Roman"/>
          <w:sz w:val="24"/>
          <w:szCs w:val="24"/>
        </w:rPr>
        <w:t xml:space="preserve">power sharing </w:t>
      </w:r>
      <w:r w:rsidR="00C72E53" w:rsidRPr="0086148A">
        <w:rPr>
          <w:rFonts w:ascii="Times New Roman" w:hAnsi="Times New Roman" w:cs="Times New Roman"/>
          <w:sz w:val="24"/>
          <w:szCs w:val="24"/>
        </w:rPr>
        <w:t xml:space="preserve">settlement </w:t>
      </w:r>
      <w:r w:rsidR="004C3481" w:rsidRPr="0086148A">
        <w:rPr>
          <w:rFonts w:ascii="Times New Roman" w:hAnsi="Times New Roman" w:cs="Times New Roman"/>
          <w:sz w:val="24"/>
          <w:szCs w:val="24"/>
        </w:rPr>
        <w:t xml:space="preserve">between the </w:t>
      </w:r>
      <w:r w:rsidR="00223F88" w:rsidRPr="0086148A">
        <w:rPr>
          <w:rFonts w:ascii="Times New Roman" w:hAnsi="Times New Roman" w:cs="Times New Roman"/>
          <w:sz w:val="24"/>
          <w:szCs w:val="24"/>
        </w:rPr>
        <w:t xml:space="preserve">different ethnic groups. This peace agreement </w:t>
      </w:r>
      <w:r w:rsidR="00D44665" w:rsidRPr="0086148A">
        <w:rPr>
          <w:rFonts w:ascii="Times New Roman" w:hAnsi="Times New Roman" w:cs="Times New Roman"/>
          <w:sz w:val="24"/>
          <w:szCs w:val="24"/>
        </w:rPr>
        <w:t>ended</w:t>
      </w:r>
      <w:r w:rsidR="00855F51" w:rsidRPr="0086148A">
        <w:rPr>
          <w:rFonts w:ascii="Times New Roman" w:hAnsi="Times New Roman" w:cs="Times New Roman"/>
          <w:sz w:val="24"/>
          <w:szCs w:val="24"/>
        </w:rPr>
        <w:t xml:space="preserve"> </w:t>
      </w:r>
      <w:r w:rsidR="004D5B4D" w:rsidRPr="0086148A">
        <w:rPr>
          <w:rFonts w:ascii="Times New Roman" w:hAnsi="Times New Roman" w:cs="Times New Roman"/>
          <w:sz w:val="24"/>
          <w:szCs w:val="24"/>
        </w:rPr>
        <w:t xml:space="preserve">the </w:t>
      </w:r>
      <w:r w:rsidR="00D2018C" w:rsidRPr="0086148A">
        <w:rPr>
          <w:rFonts w:ascii="Times New Roman" w:hAnsi="Times New Roman" w:cs="Times New Roman"/>
          <w:sz w:val="24"/>
          <w:szCs w:val="24"/>
        </w:rPr>
        <w:t>politi</w:t>
      </w:r>
      <w:r w:rsidR="00F91438" w:rsidRPr="0086148A">
        <w:rPr>
          <w:rFonts w:ascii="Times New Roman" w:hAnsi="Times New Roman" w:cs="Times New Roman"/>
          <w:sz w:val="24"/>
          <w:szCs w:val="24"/>
        </w:rPr>
        <w:t xml:space="preserve">cal violence that had persistent since </w:t>
      </w:r>
      <w:r w:rsidR="00EC5F61" w:rsidRPr="0086148A">
        <w:rPr>
          <w:rFonts w:ascii="Times New Roman" w:hAnsi="Times New Roman" w:cs="Times New Roman"/>
          <w:sz w:val="24"/>
          <w:szCs w:val="24"/>
        </w:rPr>
        <w:t>independence in 1962</w:t>
      </w:r>
      <w:r w:rsidR="00FF7A2C" w:rsidRPr="0086148A">
        <w:rPr>
          <w:rFonts w:ascii="Times New Roman" w:hAnsi="Times New Roman" w:cs="Times New Roman"/>
          <w:sz w:val="24"/>
          <w:szCs w:val="24"/>
        </w:rPr>
        <w:t xml:space="preserve"> although failure to adhere to the terms of this settlement has led to renewed conflict in recent years.</w:t>
      </w:r>
      <w:r w:rsidR="001B4767" w:rsidRPr="0086148A">
        <w:rPr>
          <w:rStyle w:val="FootnoteReference"/>
          <w:rFonts w:ascii="Times New Roman" w:hAnsi="Times New Roman" w:cs="Times New Roman"/>
          <w:sz w:val="24"/>
          <w:szCs w:val="24"/>
        </w:rPr>
        <w:footnoteReference w:id="45"/>
      </w:r>
      <w:r w:rsidR="00FF7A2C" w:rsidRPr="0086148A">
        <w:rPr>
          <w:rFonts w:ascii="Times New Roman" w:hAnsi="Times New Roman" w:cs="Times New Roman"/>
          <w:sz w:val="24"/>
          <w:szCs w:val="24"/>
        </w:rPr>
        <w:t xml:space="preserve"> </w:t>
      </w:r>
      <w:r w:rsidR="00140E4D" w:rsidRPr="0086148A">
        <w:rPr>
          <w:rFonts w:ascii="Times New Roman" w:hAnsi="Times New Roman" w:cs="Times New Roman"/>
          <w:sz w:val="24"/>
          <w:szCs w:val="24"/>
        </w:rPr>
        <w:t xml:space="preserve">The Arusha Agreement </w:t>
      </w:r>
      <w:r w:rsidR="00D54B43" w:rsidRPr="0086148A">
        <w:rPr>
          <w:rFonts w:ascii="Times New Roman" w:hAnsi="Times New Roman" w:cs="Times New Roman"/>
          <w:sz w:val="24"/>
          <w:szCs w:val="24"/>
        </w:rPr>
        <w:t xml:space="preserve">acknowledge the commission of atrocity crimes in Burundi </w:t>
      </w:r>
      <w:r w:rsidR="00572161" w:rsidRPr="0086148A">
        <w:rPr>
          <w:rFonts w:ascii="Times New Roman" w:hAnsi="Times New Roman" w:cs="Times New Roman"/>
          <w:sz w:val="24"/>
          <w:szCs w:val="24"/>
        </w:rPr>
        <w:t>including acts of genocide, war crimes and other crimes</w:t>
      </w:r>
      <w:r w:rsidR="00080685" w:rsidRPr="0086148A">
        <w:rPr>
          <w:rFonts w:ascii="Times New Roman" w:hAnsi="Times New Roman" w:cs="Times New Roman"/>
          <w:sz w:val="24"/>
          <w:szCs w:val="24"/>
        </w:rPr>
        <w:t xml:space="preserve"> </w:t>
      </w:r>
      <w:r w:rsidR="00572161" w:rsidRPr="0086148A">
        <w:rPr>
          <w:rFonts w:ascii="Times New Roman" w:hAnsi="Times New Roman" w:cs="Times New Roman"/>
          <w:sz w:val="24"/>
          <w:szCs w:val="24"/>
        </w:rPr>
        <w:t>against humanity, as well as violations of human rights</w:t>
      </w:r>
      <w:r w:rsidR="00080685" w:rsidRPr="0086148A">
        <w:rPr>
          <w:rFonts w:ascii="Times New Roman" w:hAnsi="Times New Roman" w:cs="Times New Roman"/>
          <w:sz w:val="24"/>
          <w:szCs w:val="24"/>
        </w:rPr>
        <w:t>.</w:t>
      </w:r>
      <w:r w:rsidR="00080685" w:rsidRPr="0086148A">
        <w:rPr>
          <w:rStyle w:val="FootnoteReference"/>
          <w:rFonts w:ascii="Times New Roman" w:hAnsi="Times New Roman" w:cs="Times New Roman"/>
          <w:sz w:val="24"/>
          <w:szCs w:val="24"/>
        </w:rPr>
        <w:footnoteReference w:id="46"/>
      </w:r>
      <w:r w:rsidR="00080685" w:rsidRPr="0086148A">
        <w:rPr>
          <w:rFonts w:ascii="Times New Roman" w:hAnsi="Times New Roman" w:cs="Times New Roman"/>
          <w:sz w:val="24"/>
          <w:szCs w:val="24"/>
        </w:rPr>
        <w:t xml:space="preserve"> The parties to the agreement</w:t>
      </w:r>
      <w:r w:rsidR="00572161" w:rsidRPr="0086148A">
        <w:rPr>
          <w:rFonts w:ascii="Times New Roman" w:hAnsi="Times New Roman" w:cs="Times New Roman"/>
          <w:sz w:val="24"/>
          <w:szCs w:val="24"/>
        </w:rPr>
        <w:t xml:space="preserve"> </w:t>
      </w:r>
      <w:r w:rsidR="00D54B43" w:rsidRPr="0086148A">
        <w:rPr>
          <w:rFonts w:ascii="Times New Roman" w:hAnsi="Times New Roman" w:cs="Times New Roman"/>
          <w:sz w:val="24"/>
          <w:szCs w:val="24"/>
        </w:rPr>
        <w:t xml:space="preserve">committed to </w:t>
      </w:r>
      <w:r w:rsidR="00572161" w:rsidRPr="0086148A">
        <w:rPr>
          <w:rFonts w:ascii="Times New Roman" w:hAnsi="Times New Roman" w:cs="Times New Roman"/>
          <w:sz w:val="24"/>
          <w:szCs w:val="24"/>
        </w:rPr>
        <w:t>ending and preventing the commission of these crimes.</w:t>
      </w:r>
      <w:r w:rsidR="00572161" w:rsidRPr="0086148A">
        <w:rPr>
          <w:rStyle w:val="FootnoteReference"/>
          <w:rFonts w:ascii="Times New Roman" w:hAnsi="Times New Roman" w:cs="Times New Roman"/>
          <w:sz w:val="24"/>
          <w:szCs w:val="24"/>
        </w:rPr>
        <w:footnoteReference w:id="47"/>
      </w:r>
      <w:r w:rsidR="00202CB6" w:rsidRPr="0086148A">
        <w:rPr>
          <w:rFonts w:ascii="Times New Roman" w:hAnsi="Times New Roman" w:cs="Times New Roman"/>
          <w:sz w:val="24"/>
          <w:szCs w:val="24"/>
        </w:rPr>
        <w:t xml:space="preserve"> </w:t>
      </w:r>
      <w:r w:rsidR="00265397" w:rsidRPr="0086148A">
        <w:rPr>
          <w:rFonts w:ascii="Times New Roman" w:hAnsi="Times New Roman" w:cs="Times New Roman"/>
          <w:sz w:val="24"/>
          <w:szCs w:val="24"/>
        </w:rPr>
        <w:t>Some of the</w:t>
      </w:r>
      <w:r w:rsidR="00DF1A80" w:rsidRPr="0086148A">
        <w:rPr>
          <w:rFonts w:ascii="Times New Roman" w:hAnsi="Times New Roman" w:cs="Times New Roman"/>
          <w:sz w:val="24"/>
          <w:szCs w:val="24"/>
        </w:rPr>
        <w:t xml:space="preserve"> transitional justice </w:t>
      </w:r>
      <w:r w:rsidR="009B7FE4" w:rsidRPr="0086148A">
        <w:rPr>
          <w:rFonts w:ascii="Times New Roman" w:hAnsi="Times New Roman" w:cs="Times New Roman"/>
          <w:sz w:val="24"/>
          <w:szCs w:val="24"/>
        </w:rPr>
        <w:t>actions the government of</w:t>
      </w:r>
      <w:r w:rsidR="00DF1A80" w:rsidRPr="0086148A">
        <w:rPr>
          <w:rFonts w:ascii="Times New Roman" w:hAnsi="Times New Roman" w:cs="Times New Roman"/>
          <w:sz w:val="24"/>
          <w:szCs w:val="24"/>
        </w:rPr>
        <w:t xml:space="preserve"> Burundi</w:t>
      </w:r>
      <w:r w:rsidR="009B7FE4" w:rsidRPr="0086148A">
        <w:rPr>
          <w:rFonts w:ascii="Times New Roman" w:hAnsi="Times New Roman" w:cs="Times New Roman"/>
          <w:sz w:val="24"/>
          <w:szCs w:val="24"/>
        </w:rPr>
        <w:t xml:space="preserve"> </w:t>
      </w:r>
      <w:r w:rsidR="00C64790" w:rsidRPr="0086148A">
        <w:rPr>
          <w:rFonts w:ascii="Times New Roman" w:hAnsi="Times New Roman" w:cs="Times New Roman"/>
          <w:sz w:val="24"/>
          <w:szCs w:val="24"/>
        </w:rPr>
        <w:t>w</w:t>
      </w:r>
      <w:r w:rsidR="00265397" w:rsidRPr="0086148A">
        <w:rPr>
          <w:rFonts w:ascii="Times New Roman" w:hAnsi="Times New Roman" w:cs="Times New Roman"/>
          <w:sz w:val="24"/>
          <w:szCs w:val="24"/>
        </w:rPr>
        <w:t>as</w:t>
      </w:r>
      <w:r w:rsidR="00C64790" w:rsidRPr="0086148A">
        <w:rPr>
          <w:rFonts w:ascii="Times New Roman" w:hAnsi="Times New Roman" w:cs="Times New Roman"/>
          <w:sz w:val="24"/>
          <w:szCs w:val="24"/>
        </w:rPr>
        <w:t xml:space="preserve"> required to take</w:t>
      </w:r>
      <w:r w:rsidR="00265397" w:rsidRPr="0086148A">
        <w:rPr>
          <w:rFonts w:ascii="Times New Roman" w:hAnsi="Times New Roman" w:cs="Times New Roman"/>
          <w:sz w:val="24"/>
          <w:szCs w:val="24"/>
        </w:rPr>
        <w:t xml:space="preserve"> pursuant to the Arusha </w:t>
      </w:r>
      <w:r w:rsidR="00947900" w:rsidRPr="0086148A">
        <w:rPr>
          <w:rFonts w:ascii="Times New Roman" w:hAnsi="Times New Roman" w:cs="Times New Roman"/>
          <w:sz w:val="24"/>
          <w:szCs w:val="24"/>
        </w:rPr>
        <w:t>Agreement</w:t>
      </w:r>
      <w:r w:rsidR="00265397" w:rsidRPr="0086148A">
        <w:rPr>
          <w:rFonts w:ascii="Times New Roman" w:hAnsi="Times New Roman" w:cs="Times New Roman"/>
          <w:sz w:val="24"/>
          <w:szCs w:val="24"/>
        </w:rPr>
        <w:t xml:space="preserve"> included:</w:t>
      </w:r>
    </w:p>
    <w:p w14:paraId="4F636024" w14:textId="775C199B" w:rsidR="00AB0B74" w:rsidRPr="0086148A" w:rsidRDefault="00C6705A"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Institute</w:t>
      </w:r>
      <w:r w:rsidR="00EA46B3" w:rsidRPr="0086148A">
        <w:rPr>
          <w:rFonts w:ascii="Times New Roman" w:hAnsi="Times New Roman" w:cs="Times New Roman"/>
          <w:sz w:val="24"/>
          <w:szCs w:val="24"/>
        </w:rPr>
        <w:t xml:space="preserve"> a </w:t>
      </w:r>
      <w:r w:rsidR="00227891" w:rsidRPr="0086148A">
        <w:rPr>
          <w:rFonts w:ascii="Times New Roman" w:hAnsi="Times New Roman" w:cs="Times New Roman"/>
          <w:sz w:val="24"/>
          <w:szCs w:val="24"/>
        </w:rPr>
        <w:t>National Day of Remembrance</w:t>
      </w:r>
      <w:r w:rsidR="00EA46B3" w:rsidRPr="0086148A">
        <w:rPr>
          <w:rFonts w:ascii="Times New Roman" w:hAnsi="Times New Roman" w:cs="Times New Roman"/>
          <w:sz w:val="24"/>
          <w:szCs w:val="24"/>
        </w:rPr>
        <w:t xml:space="preserve"> for victims and identification of </w:t>
      </w:r>
      <w:r w:rsidR="008B5F2F" w:rsidRPr="0086148A">
        <w:rPr>
          <w:rFonts w:ascii="Times New Roman" w:hAnsi="Times New Roman" w:cs="Times New Roman"/>
          <w:sz w:val="24"/>
          <w:szCs w:val="24"/>
        </w:rPr>
        <w:t>mass graves</w:t>
      </w:r>
      <w:r w:rsidR="00C64790" w:rsidRPr="0086148A">
        <w:rPr>
          <w:rFonts w:ascii="Times New Roman" w:hAnsi="Times New Roman" w:cs="Times New Roman"/>
          <w:sz w:val="24"/>
          <w:szCs w:val="24"/>
        </w:rPr>
        <w:t>;</w:t>
      </w:r>
    </w:p>
    <w:p w14:paraId="1E26B87C" w14:textId="5478648F" w:rsidR="00C343B7" w:rsidRPr="0086148A" w:rsidRDefault="00C343B7"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 xml:space="preserve">Erect a national monument </w:t>
      </w:r>
      <w:r w:rsidR="00732825" w:rsidRPr="0086148A">
        <w:rPr>
          <w:rFonts w:ascii="Times New Roman" w:hAnsi="Times New Roman" w:cs="Times New Roman"/>
          <w:sz w:val="24"/>
          <w:szCs w:val="24"/>
        </w:rPr>
        <w:t xml:space="preserve">in memory of victims of </w:t>
      </w:r>
      <w:r w:rsidR="00771929" w:rsidRPr="0086148A">
        <w:rPr>
          <w:rFonts w:ascii="Times New Roman" w:hAnsi="Times New Roman" w:cs="Times New Roman"/>
          <w:sz w:val="24"/>
          <w:szCs w:val="24"/>
        </w:rPr>
        <w:t>genocide, war crimes and crimes against humanity;</w:t>
      </w:r>
    </w:p>
    <w:p w14:paraId="4DF262ED" w14:textId="5A051D71" w:rsidR="008B5F2F" w:rsidRPr="0086148A" w:rsidRDefault="00C64790"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E</w:t>
      </w:r>
      <w:r w:rsidR="00171B6C" w:rsidRPr="0086148A">
        <w:rPr>
          <w:rFonts w:ascii="Times New Roman" w:hAnsi="Times New Roman" w:cs="Times New Roman"/>
          <w:sz w:val="24"/>
          <w:szCs w:val="24"/>
        </w:rPr>
        <w:t>nac</w:t>
      </w:r>
      <w:r w:rsidRPr="0086148A">
        <w:rPr>
          <w:rFonts w:ascii="Times New Roman" w:hAnsi="Times New Roman" w:cs="Times New Roman"/>
          <w:sz w:val="24"/>
          <w:szCs w:val="24"/>
        </w:rPr>
        <w:t>t</w:t>
      </w:r>
      <w:r w:rsidR="005F00B2" w:rsidRPr="0086148A">
        <w:rPr>
          <w:rFonts w:ascii="Times New Roman" w:hAnsi="Times New Roman" w:cs="Times New Roman"/>
          <w:sz w:val="24"/>
          <w:szCs w:val="24"/>
        </w:rPr>
        <w:t xml:space="preserve"> domestic legislation against genocide, war crimes, crimes against humanity and other </w:t>
      </w:r>
      <w:r w:rsidR="00242F65" w:rsidRPr="0086148A">
        <w:rPr>
          <w:rFonts w:ascii="Times New Roman" w:hAnsi="Times New Roman" w:cs="Times New Roman"/>
          <w:sz w:val="24"/>
          <w:szCs w:val="24"/>
        </w:rPr>
        <w:t>violations of human rights</w:t>
      </w:r>
      <w:r w:rsidRPr="0086148A">
        <w:rPr>
          <w:rFonts w:ascii="Times New Roman" w:hAnsi="Times New Roman" w:cs="Times New Roman"/>
          <w:sz w:val="24"/>
          <w:szCs w:val="24"/>
        </w:rPr>
        <w:t>;</w:t>
      </w:r>
    </w:p>
    <w:p w14:paraId="05D80509" w14:textId="22418FCA" w:rsidR="00C6705A" w:rsidRPr="0086148A" w:rsidRDefault="00C6705A"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 xml:space="preserve">Request </w:t>
      </w:r>
      <w:r w:rsidR="00E30E0E" w:rsidRPr="0086148A">
        <w:rPr>
          <w:rFonts w:ascii="Times New Roman" w:hAnsi="Times New Roman" w:cs="Times New Roman"/>
          <w:sz w:val="24"/>
          <w:szCs w:val="24"/>
        </w:rPr>
        <w:t xml:space="preserve">the </w:t>
      </w:r>
      <w:r w:rsidR="00CF461A" w:rsidRPr="0086148A">
        <w:rPr>
          <w:rFonts w:ascii="Times New Roman" w:hAnsi="Times New Roman" w:cs="Times New Roman"/>
          <w:sz w:val="24"/>
          <w:szCs w:val="24"/>
        </w:rPr>
        <w:t xml:space="preserve">establishment by the UN Security Council of an </w:t>
      </w:r>
      <w:r w:rsidRPr="0086148A">
        <w:rPr>
          <w:rFonts w:ascii="Times New Roman" w:hAnsi="Times New Roman" w:cs="Times New Roman"/>
          <w:sz w:val="24"/>
          <w:szCs w:val="24"/>
        </w:rPr>
        <w:t>International Judicial Commission of Inquiry on genocide, war</w:t>
      </w:r>
      <w:r w:rsidR="00C64790" w:rsidRPr="0086148A">
        <w:rPr>
          <w:rFonts w:ascii="Times New Roman" w:hAnsi="Times New Roman" w:cs="Times New Roman"/>
          <w:sz w:val="24"/>
          <w:szCs w:val="24"/>
        </w:rPr>
        <w:t xml:space="preserve"> </w:t>
      </w:r>
      <w:r w:rsidRPr="0086148A">
        <w:rPr>
          <w:rFonts w:ascii="Times New Roman" w:hAnsi="Times New Roman" w:cs="Times New Roman"/>
          <w:sz w:val="24"/>
          <w:szCs w:val="24"/>
        </w:rPr>
        <w:t xml:space="preserve">crimes and other crimes against </w:t>
      </w:r>
      <w:r w:rsidR="00265397" w:rsidRPr="0086148A">
        <w:rPr>
          <w:rFonts w:ascii="Times New Roman" w:hAnsi="Times New Roman" w:cs="Times New Roman"/>
          <w:sz w:val="24"/>
          <w:szCs w:val="24"/>
        </w:rPr>
        <w:t>humanity;</w:t>
      </w:r>
    </w:p>
    <w:p w14:paraId="1D4C10F5" w14:textId="391B0D25" w:rsidR="00C64790" w:rsidRPr="0086148A" w:rsidRDefault="00CF461A"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Request the UN Security Council to establish an international criminal tribunal for Burundi</w:t>
      </w:r>
    </w:p>
    <w:p w14:paraId="5DD421BA" w14:textId="7BCC813A" w:rsidR="00CF461A" w:rsidRPr="0086148A" w:rsidRDefault="00FD64C8"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Esta</w:t>
      </w:r>
      <w:r w:rsidR="00017AED" w:rsidRPr="0086148A">
        <w:rPr>
          <w:rFonts w:ascii="Times New Roman" w:hAnsi="Times New Roman" w:cs="Times New Roman"/>
          <w:sz w:val="24"/>
          <w:szCs w:val="24"/>
        </w:rPr>
        <w:t>blish a National Truth and Reconciliation Commission</w:t>
      </w:r>
    </w:p>
    <w:p w14:paraId="6F86802F" w14:textId="5B70D915" w:rsidR="0017758A" w:rsidRPr="0086148A" w:rsidRDefault="0017758A" w:rsidP="00A352E7">
      <w:pPr>
        <w:pStyle w:val="ListParagraph"/>
        <w:numPr>
          <w:ilvl w:val="0"/>
          <w:numId w:val="5"/>
        </w:numPr>
        <w:jc w:val="both"/>
        <w:rPr>
          <w:rFonts w:ascii="Times New Roman" w:hAnsi="Times New Roman" w:cs="Times New Roman"/>
          <w:sz w:val="24"/>
          <w:szCs w:val="24"/>
        </w:rPr>
      </w:pPr>
      <w:r w:rsidRPr="0086148A">
        <w:rPr>
          <w:rFonts w:ascii="Times New Roman" w:hAnsi="Times New Roman" w:cs="Times New Roman"/>
          <w:sz w:val="24"/>
          <w:szCs w:val="24"/>
        </w:rPr>
        <w:t>Institutional Reform</w:t>
      </w:r>
      <w:r w:rsidR="00947900" w:rsidRPr="0086148A">
        <w:rPr>
          <w:rStyle w:val="FootnoteReference"/>
          <w:rFonts w:ascii="Times New Roman" w:hAnsi="Times New Roman" w:cs="Times New Roman"/>
          <w:sz w:val="24"/>
          <w:szCs w:val="24"/>
        </w:rPr>
        <w:footnoteReference w:id="48"/>
      </w:r>
    </w:p>
    <w:p w14:paraId="0C30B68F" w14:textId="5812CD47" w:rsidR="00E0655F" w:rsidRPr="0086148A" w:rsidRDefault="00F5212C"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The establishment of </w:t>
      </w:r>
      <w:r w:rsidR="00CF0FD3" w:rsidRPr="0086148A">
        <w:rPr>
          <w:rFonts w:ascii="Times New Roman" w:hAnsi="Times New Roman" w:cs="Times New Roman"/>
          <w:sz w:val="24"/>
          <w:szCs w:val="24"/>
        </w:rPr>
        <w:t>a national truth and reconciliation commission and an international</w:t>
      </w:r>
      <w:r w:rsidRPr="0086148A">
        <w:rPr>
          <w:rFonts w:ascii="Times New Roman" w:hAnsi="Times New Roman" w:cs="Times New Roman"/>
          <w:sz w:val="24"/>
          <w:szCs w:val="24"/>
        </w:rPr>
        <w:t xml:space="preserve"> </w:t>
      </w:r>
      <w:r w:rsidR="00CF0FD3" w:rsidRPr="0086148A">
        <w:rPr>
          <w:rFonts w:ascii="Times New Roman" w:hAnsi="Times New Roman" w:cs="Times New Roman"/>
          <w:sz w:val="24"/>
          <w:szCs w:val="24"/>
        </w:rPr>
        <w:t>judicial commission</w:t>
      </w:r>
      <w:r w:rsidRPr="0086148A">
        <w:rPr>
          <w:rFonts w:ascii="Times New Roman" w:hAnsi="Times New Roman" w:cs="Times New Roman"/>
          <w:sz w:val="24"/>
          <w:szCs w:val="24"/>
        </w:rPr>
        <w:t xml:space="preserve"> were some of the</w:t>
      </w:r>
      <w:r w:rsidR="00531234" w:rsidRPr="0086148A">
        <w:rPr>
          <w:rFonts w:ascii="Times New Roman" w:hAnsi="Times New Roman" w:cs="Times New Roman"/>
          <w:sz w:val="24"/>
          <w:szCs w:val="24"/>
        </w:rPr>
        <w:t xml:space="preserve"> key recommendations advanced </w:t>
      </w:r>
      <w:r w:rsidR="00DE1812" w:rsidRPr="0086148A">
        <w:rPr>
          <w:rFonts w:ascii="Times New Roman" w:hAnsi="Times New Roman" w:cs="Times New Roman"/>
          <w:sz w:val="24"/>
          <w:szCs w:val="24"/>
        </w:rPr>
        <w:t xml:space="preserve">in </w:t>
      </w:r>
      <w:r w:rsidR="00785D66" w:rsidRPr="0086148A">
        <w:rPr>
          <w:rFonts w:ascii="Times New Roman" w:hAnsi="Times New Roman" w:cs="Times New Roman"/>
          <w:sz w:val="24"/>
          <w:szCs w:val="24"/>
        </w:rPr>
        <w:t xml:space="preserve">March </w:t>
      </w:r>
      <w:r w:rsidR="00DE1812" w:rsidRPr="0086148A">
        <w:rPr>
          <w:rFonts w:ascii="Times New Roman" w:hAnsi="Times New Roman" w:cs="Times New Roman"/>
          <w:sz w:val="24"/>
          <w:szCs w:val="24"/>
        </w:rPr>
        <w:t xml:space="preserve">2005 </w:t>
      </w:r>
      <w:r w:rsidR="00531234" w:rsidRPr="0086148A">
        <w:rPr>
          <w:rFonts w:ascii="Times New Roman" w:hAnsi="Times New Roman" w:cs="Times New Roman"/>
          <w:sz w:val="24"/>
          <w:szCs w:val="24"/>
        </w:rPr>
        <w:t xml:space="preserve">by the </w:t>
      </w:r>
      <w:proofErr w:type="spellStart"/>
      <w:r w:rsidR="00531234" w:rsidRPr="0086148A">
        <w:rPr>
          <w:rFonts w:ascii="Times New Roman" w:hAnsi="Times New Roman" w:cs="Times New Roman"/>
          <w:sz w:val="24"/>
          <w:szCs w:val="24"/>
        </w:rPr>
        <w:t>Kalomoh</w:t>
      </w:r>
      <w:proofErr w:type="spellEnd"/>
      <w:r w:rsidR="00531234" w:rsidRPr="0086148A">
        <w:rPr>
          <w:rFonts w:ascii="Times New Roman" w:hAnsi="Times New Roman" w:cs="Times New Roman"/>
          <w:sz w:val="24"/>
          <w:szCs w:val="24"/>
        </w:rPr>
        <w:t xml:space="preserve"> Report.</w:t>
      </w:r>
      <w:r w:rsidR="00531234" w:rsidRPr="0086148A">
        <w:rPr>
          <w:rStyle w:val="FootnoteReference"/>
          <w:rFonts w:ascii="Times New Roman" w:hAnsi="Times New Roman" w:cs="Times New Roman"/>
          <w:sz w:val="24"/>
          <w:szCs w:val="24"/>
        </w:rPr>
        <w:footnoteReference w:id="49"/>
      </w:r>
      <w:r w:rsidR="00531234" w:rsidRPr="0086148A">
        <w:rPr>
          <w:rFonts w:ascii="Times New Roman" w:hAnsi="Times New Roman" w:cs="Times New Roman"/>
          <w:sz w:val="24"/>
          <w:szCs w:val="24"/>
        </w:rPr>
        <w:t xml:space="preserve"> These recommendations were subsequently endorsed </w:t>
      </w:r>
      <w:r w:rsidR="00785D66" w:rsidRPr="0086148A">
        <w:rPr>
          <w:rFonts w:ascii="Times New Roman" w:hAnsi="Times New Roman" w:cs="Times New Roman"/>
          <w:sz w:val="24"/>
          <w:szCs w:val="24"/>
        </w:rPr>
        <w:t xml:space="preserve">in June 2006 </w:t>
      </w:r>
      <w:r w:rsidR="00531234" w:rsidRPr="0086148A">
        <w:rPr>
          <w:rFonts w:ascii="Times New Roman" w:hAnsi="Times New Roman" w:cs="Times New Roman"/>
          <w:sz w:val="24"/>
          <w:szCs w:val="24"/>
        </w:rPr>
        <w:t>by the UN Security Council Resolution 1606</w:t>
      </w:r>
      <w:r w:rsidR="00745DB7" w:rsidRPr="0086148A">
        <w:rPr>
          <w:rFonts w:ascii="Times New Roman" w:hAnsi="Times New Roman" w:cs="Times New Roman"/>
          <w:sz w:val="24"/>
          <w:szCs w:val="24"/>
        </w:rPr>
        <w:t>,</w:t>
      </w:r>
      <w:r w:rsidR="00531234" w:rsidRPr="0086148A">
        <w:rPr>
          <w:rStyle w:val="FootnoteReference"/>
          <w:rFonts w:ascii="Times New Roman" w:hAnsi="Times New Roman" w:cs="Times New Roman"/>
          <w:sz w:val="24"/>
          <w:szCs w:val="24"/>
        </w:rPr>
        <w:footnoteReference w:id="50"/>
      </w:r>
      <w:r w:rsidR="00745DB7" w:rsidRPr="0086148A">
        <w:rPr>
          <w:rFonts w:ascii="Times New Roman" w:hAnsi="Times New Roman" w:cs="Times New Roman"/>
          <w:sz w:val="24"/>
          <w:szCs w:val="24"/>
        </w:rPr>
        <w:t xml:space="preserve"> and have been reinforced by other </w:t>
      </w:r>
      <w:r w:rsidR="00823A80" w:rsidRPr="0086148A">
        <w:rPr>
          <w:rFonts w:ascii="Times New Roman" w:hAnsi="Times New Roman" w:cs="Times New Roman"/>
          <w:sz w:val="24"/>
          <w:szCs w:val="24"/>
        </w:rPr>
        <w:t xml:space="preserve">human rights </w:t>
      </w:r>
      <w:r w:rsidR="00823A80" w:rsidRPr="0086148A">
        <w:rPr>
          <w:rFonts w:ascii="Times New Roman" w:hAnsi="Times New Roman" w:cs="Times New Roman"/>
          <w:sz w:val="24"/>
          <w:szCs w:val="24"/>
        </w:rPr>
        <w:lastRenderedPageBreak/>
        <w:t>bodies including the UN Special Rapporteurs,</w:t>
      </w:r>
      <w:r w:rsidR="002A5333" w:rsidRPr="0086148A">
        <w:rPr>
          <w:rStyle w:val="FootnoteReference"/>
          <w:rFonts w:ascii="Times New Roman" w:hAnsi="Times New Roman" w:cs="Times New Roman"/>
          <w:sz w:val="24"/>
          <w:szCs w:val="24"/>
        </w:rPr>
        <w:footnoteReference w:id="51"/>
      </w:r>
      <w:r w:rsidR="007D2962" w:rsidRPr="0086148A">
        <w:rPr>
          <w:rFonts w:ascii="Times New Roman" w:hAnsi="Times New Roman" w:cs="Times New Roman"/>
          <w:sz w:val="24"/>
          <w:szCs w:val="24"/>
        </w:rPr>
        <w:t xml:space="preserve"> the African Commission on Human and Peoples’ Rights</w:t>
      </w:r>
      <w:r w:rsidR="000756D5" w:rsidRPr="0086148A">
        <w:rPr>
          <w:rFonts w:ascii="Times New Roman" w:hAnsi="Times New Roman" w:cs="Times New Roman"/>
          <w:sz w:val="24"/>
          <w:szCs w:val="24"/>
        </w:rPr>
        <w:t xml:space="preserve"> (ACHPR)</w:t>
      </w:r>
      <w:r w:rsidR="00C426F4" w:rsidRPr="0086148A">
        <w:rPr>
          <w:rFonts w:ascii="Times New Roman" w:hAnsi="Times New Roman" w:cs="Times New Roman"/>
          <w:sz w:val="24"/>
          <w:szCs w:val="24"/>
        </w:rPr>
        <w:t>,</w:t>
      </w:r>
      <w:r w:rsidR="007D2962" w:rsidRPr="0086148A">
        <w:rPr>
          <w:rStyle w:val="FootnoteReference"/>
          <w:rFonts w:ascii="Times New Roman" w:hAnsi="Times New Roman" w:cs="Times New Roman"/>
          <w:sz w:val="24"/>
          <w:szCs w:val="24"/>
        </w:rPr>
        <w:footnoteReference w:id="52"/>
      </w:r>
      <w:r w:rsidR="00C426F4" w:rsidRPr="0086148A">
        <w:rPr>
          <w:rFonts w:ascii="Times New Roman" w:hAnsi="Times New Roman" w:cs="Times New Roman"/>
          <w:sz w:val="24"/>
          <w:szCs w:val="24"/>
        </w:rPr>
        <w:t xml:space="preserve"> and the Strategic Framework for Peacebuilding in Burundi</w:t>
      </w:r>
      <w:r w:rsidR="000756D5" w:rsidRPr="0086148A">
        <w:rPr>
          <w:rFonts w:ascii="Times New Roman" w:hAnsi="Times New Roman" w:cs="Times New Roman"/>
          <w:sz w:val="24"/>
          <w:szCs w:val="24"/>
        </w:rPr>
        <w:t xml:space="preserve"> (SFPB)</w:t>
      </w:r>
      <w:r w:rsidR="00C426F4" w:rsidRPr="0086148A">
        <w:rPr>
          <w:rFonts w:ascii="Times New Roman" w:hAnsi="Times New Roman" w:cs="Times New Roman"/>
          <w:sz w:val="24"/>
          <w:szCs w:val="24"/>
        </w:rPr>
        <w:t>.</w:t>
      </w:r>
      <w:r w:rsidR="00C426F4" w:rsidRPr="0086148A">
        <w:rPr>
          <w:rStyle w:val="FootnoteReference"/>
          <w:rFonts w:ascii="Times New Roman" w:hAnsi="Times New Roman" w:cs="Times New Roman"/>
          <w:sz w:val="24"/>
          <w:szCs w:val="24"/>
        </w:rPr>
        <w:footnoteReference w:id="53"/>
      </w:r>
      <w:r w:rsidR="007D2962" w:rsidRPr="0086148A">
        <w:rPr>
          <w:rFonts w:ascii="Times New Roman" w:hAnsi="Times New Roman" w:cs="Times New Roman"/>
          <w:sz w:val="24"/>
          <w:szCs w:val="24"/>
        </w:rPr>
        <w:t xml:space="preserve"> </w:t>
      </w:r>
      <w:r w:rsidR="00531234" w:rsidRPr="0086148A">
        <w:rPr>
          <w:rFonts w:ascii="Times New Roman" w:hAnsi="Times New Roman" w:cs="Times New Roman"/>
          <w:sz w:val="24"/>
          <w:szCs w:val="24"/>
        </w:rPr>
        <w:t xml:space="preserve"> </w:t>
      </w:r>
    </w:p>
    <w:p w14:paraId="4776736D" w14:textId="31661D26" w:rsidR="00D27EE0" w:rsidRPr="0086148A" w:rsidRDefault="007A23BA"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There have been significant delays in implementing </w:t>
      </w:r>
      <w:r w:rsidR="00A35533" w:rsidRPr="0086148A">
        <w:rPr>
          <w:rFonts w:ascii="Times New Roman" w:hAnsi="Times New Roman" w:cs="Times New Roman"/>
          <w:sz w:val="24"/>
          <w:szCs w:val="24"/>
        </w:rPr>
        <w:t xml:space="preserve">several of </w:t>
      </w:r>
      <w:r w:rsidRPr="0086148A">
        <w:rPr>
          <w:rFonts w:ascii="Times New Roman" w:hAnsi="Times New Roman" w:cs="Times New Roman"/>
          <w:sz w:val="24"/>
          <w:szCs w:val="24"/>
        </w:rPr>
        <w:t xml:space="preserve">the </w:t>
      </w:r>
      <w:r w:rsidR="00DB00EF" w:rsidRPr="0086148A">
        <w:rPr>
          <w:rFonts w:ascii="Times New Roman" w:hAnsi="Times New Roman" w:cs="Times New Roman"/>
          <w:sz w:val="24"/>
          <w:szCs w:val="24"/>
        </w:rPr>
        <w:t>above transitional justice measures</w:t>
      </w:r>
      <w:r w:rsidR="00211FC5" w:rsidRPr="0086148A">
        <w:rPr>
          <w:rFonts w:ascii="Times New Roman" w:hAnsi="Times New Roman" w:cs="Times New Roman"/>
          <w:sz w:val="24"/>
          <w:szCs w:val="24"/>
        </w:rPr>
        <w:t xml:space="preserve"> in Burundi</w:t>
      </w:r>
      <w:r w:rsidR="00DB00EF" w:rsidRPr="0086148A">
        <w:rPr>
          <w:rStyle w:val="FootnoteReference"/>
          <w:rFonts w:ascii="Times New Roman" w:hAnsi="Times New Roman" w:cs="Times New Roman"/>
          <w:sz w:val="24"/>
          <w:szCs w:val="24"/>
        </w:rPr>
        <w:footnoteReference w:id="54"/>
      </w:r>
      <w:r w:rsidR="00D44665" w:rsidRPr="0086148A">
        <w:rPr>
          <w:rFonts w:ascii="Times New Roman" w:hAnsi="Times New Roman" w:cs="Times New Roman"/>
          <w:sz w:val="24"/>
          <w:szCs w:val="24"/>
        </w:rPr>
        <w:t xml:space="preserve"> that have contributed</w:t>
      </w:r>
      <w:r w:rsidR="00974A96" w:rsidRPr="0086148A">
        <w:rPr>
          <w:rFonts w:ascii="Times New Roman" w:hAnsi="Times New Roman" w:cs="Times New Roman"/>
          <w:sz w:val="24"/>
          <w:szCs w:val="24"/>
        </w:rPr>
        <w:t xml:space="preserve"> to renewed conflict in the country. </w:t>
      </w:r>
      <w:r w:rsidR="00AE1818" w:rsidRPr="0086148A">
        <w:rPr>
          <w:rFonts w:ascii="Times New Roman" w:hAnsi="Times New Roman" w:cs="Times New Roman"/>
          <w:sz w:val="24"/>
          <w:szCs w:val="24"/>
        </w:rPr>
        <w:t>Since April 2015, renewed political violence in the country has</w:t>
      </w:r>
      <w:r w:rsidR="00B10B39" w:rsidRPr="0086148A">
        <w:rPr>
          <w:rFonts w:ascii="Times New Roman" w:hAnsi="Times New Roman" w:cs="Times New Roman"/>
          <w:sz w:val="24"/>
          <w:szCs w:val="24"/>
        </w:rPr>
        <w:t xml:space="preserve"> resulted in the death of</w:t>
      </w:r>
      <w:r w:rsidR="00AE1818" w:rsidRPr="0086148A">
        <w:rPr>
          <w:rFonts w:ascii="Times New Roman" w:hAnsi="Times New Roman" w:cs="Times New Roman"/>
          <w:sz w:val="24"/>
          <w:szCs w:val="24"/>
        </w:rPr>
        <w:t xml:space="preserve"> about 1,200 </w:t>
      </w:r>
      <w:r w:rsidR="00B10B39" w:rsidRPr="0086148A">
        <w:rPr>
          <w:rFonts w:ascii="Times New Roman" w:hAnsi="Times New Roman" w:cs="Times New Roman"/>
          <w:sz w:val="24"/>
          <w:szCs w:val="24"/>
        </w:rPr>
        <w:t>people</w:t>
      </w:r>
      <w:r w:rsidR="00AE1818" w:rsidRPr="0086148A">
        <w:rPr>
          <w:rFonts w:ascii="Times New Roman" w:hAnsi="Times New Roman" w:cs="Times New Roman"/>
          <w:sz w:val="24"/>
          <w:szCs w:val="24"/>
        </w:rPr>
        <w:t xml:space="preserve"> and </w:t>
      </w:r>
      <w:r w:rsidR="000D3F5B" w:rsidRPr="0086148A">
        <w:rPr>
          <w:rFonts w:ascii="Times New Roman" w:hAnsi="Times New Roman" w:cs="Times New Roman"/>
          <w:sz w:val="24"/>
          <w:szCs w:val="24"/>
        </w:rPr>
        <w:t>about</w:t>
      </w:r>
      <w:r w:rsidR="00AE1818" w:rsidRPr="0086148A">
        <w:rPr>
          <w:rFonts w:ascii="Times New Roman" w:hAnsi="Times New Roman" w:cs="Times New Roman"/>
          <w:sz w:val="24"/>
          <w:szCs w:val="24"/>
        </w:rPr>
        <w:t xml:space="preserve"> 400,000 refugees.</w:t>
      </w:r>
      <w:r w:rsidR="000D3F5B" w:rsidRPr="0086148A">
        <w:rPr>
          <w:rStyle w:val="FootnoteReference"/>
          <w:rFonts w:ascii="Times New Roman" w:hAnsi="Times New Roman" w:cs="Times New Roman"/>
          <w:sz w:val="24"/>
          <w:szCs w:val="24"/>
        </w:rPr>
        <w:footnoteReference w:id="55"/>
      </w:r>
      <w:r w:rsidR="0041577F" w:rsidRPr="0086148A">
        <w:rPr>
          <w:rFonts w:ascii="Times New Roman" w:hAnsi="Times New Roman" w:cs="Times New Roman"/>
          <w:sz w:val="24"/>
          <w:szCs w:val="24"/>
        </w:rPr>
        <w:t xml:space="preserve"> </w:t>
      </w:r>
      <w:r w:rsidR="001008EC" w:rsidRPr="0086148A">
        <w:rPr>
          <w:rFonts w:ascii="Times New Roman" w:hAnsi="Times New Roman" w:cs="Times New Roman"/>
          <w:sz w:val="24"/>
          <w:szCs w:val="24"/>
        </w:rPr>
        <w:t xml:space="preserve">Failure to </w:t>
      </w:r>
      <w:r w:rsidR="005806B0" w:rsidRPr="0086148A">
        <w:rPr>
          <w:rFonts w:ascii="Times New Roman" w:hAnsi="Times New Roman" w:cs="Times New Roman"/>
          <w:sz w:val="24"/>
          <w:szCs w:val="24"/>
        </w:rPr>
        <w:t>adhere to the Arusha Agreement contributed to this renewed conflict.</w:t>
      </w:r>
      <w:r w:rsidR="00940AE0" w:rsidRPr="0086148A">
        <w:rPr>
          <w:rFonts w:ascii="Times New Roman" w:hAnsi="Times New Roman" w:cs="Times New Roman"/>
          <w:sz w:val="24"/>
          <w:szCs w:val="24"/>
        </w:rPr>
        <w:t xml:space="preserve"> It is therefore important to examine the extent to which the UPR can contribute to support the implementation of the transitional justice measures set out </w:t>
      </w:r>
      <w:r w:rsidR="00B054E7" w:rsidRPr="0086148A">
        <w:rPr>
          <w:rFonts w:ascii="Times New Roman" w:hAnsi="Times New Roman" w:cs="Times New Roman"/>
          <w:sz w:val="24"/>
          <w:szCs w:val="24"/>
        </w:rPr>
        <w:t>in the transitional justice framework for Burundi.</w:t>
      </w:r>
      <w:r w:rsidR="002134F9" w:rsidRPr="0086148A">
        <w:rPr>
          <w:rFonts w:ascii="Times New Roman" w:hAnsi="Times New Roman" w:cs="Times New Roman"/>
          <w:sz w:val="24"/>
          <w:szCs w:val="24"/>
        </w:rPr>
        <w:t xml:space="preserve"> </w:t>
      </w:r>
      <w:r w:rsidR="00026785" w:rsidRPr="0086148A">
        <w:rPr>
          <w:rFonts w:ascii="Times New Roman" w:hAnsi="Times New Roman" w:cs="Times New Roman"/>
          <w:sz w:val="24"/>
          <w:szCs w:val="24"/>
        </w:rPr>
        <w:t xml:space="preserve">There have been several years </w:t>
      </w:r>
      <w:r w:rsidR="00561F5F" w:rsidRPr="0086148A">
        <w:rPr>
          <w:rFonts w:ascii="Times New Roman" w:hAnsi="Times New Roman" w:cs="Times New Roman"/>
          <w:sz w:val="24"/>
          <w:szCs w:val="24"/>
        </w:rPr>
        <w:t xml:space="preserve">since states have </w:t>
      </w:r>
      <w:r w:rsidR="008C08D0" w:rsidRPr="0086148A">
        <w:rPr>
          <w:rFonts w:ascii="Times New Roman" w:hAnsi="Times New Roman" w:cs="Times New Roman"/>
          <w:sz w:val="24"/>
          <w:szCs w:val="24"/>
        </w:rPr>
        <w:t xml:space="preserve">given </w:t>
      </w:r>
      <w:r w:rsidR="0018628F" w:rsidRPr="0086148A">
        <w:rPr>
          <w:rFonts w:ascii="Times New Roman" w:hAnsi="Times New Roman" w:cs="Times New Roman"/>
          <w:sz w:val="24"/>
          <w:szCs w:val="24"/>
        </w:rPr>
        <w:t xml:space="preserve">any significant attention to the transitional justice process in </w:t>
      </w:r>
      <w:r w:rsidR="00AE48A2" w:rsidRPr="0086148A">
        <w:rPr>
          <w:rFonts w:ascii="Times New Roman" w:hAnsi="Times New Roman" w:cs="Times New Roman"/>
          <w:sz w:val="24"/>
          <w:szCs w:val="24"/>
        </w:rPr>
        <w:t>Burundi</w:t>
      </w:r>
      <w:r w:rsidR="00E6579C" w:rsidRPr="0086148A">
        <w:rPr>
          <w:rFonts w:ascii="Times New Roman" w:hAnsi="Times New Roman" w:cs="Times New Roman"/>
          <w:sz w:val="24"/>
          <w:szCs w:val="24"/>
        </w:rPr>
        <w:t xml:space="preserve">. The UPR provides a forum </w:t>
      </w:r>
      <w:r w:rsidR="0077613F" w:rsidRPr="0086148A">
        <w:rPr>
          <w:rFonts w:ascii="Times New Roman" w:hAnsi="Times New Roman" w:cs="Times New Roman"/>
          <w:sz w:val="24"/>
          <w:szCs w:val="24"/>
        </w:rPr>
        <w:t xml:space="preserve">that can bring renewed visibility </w:t>
      </w:r>
      <w:r w:rsidR="00C42C40" w:rsidRPr="0086148A">
        <w:rPr>
          <w:rFonts w:ascii="Times New Roman" w:hAnsi="Times New Roman" w:cs="Times New Roman"/>
          <w:sz w:val="24"/>
          <w:szCs w:val="24"/>
        </w:rPr>
        <w:t xml:space="preserve">to the transitional justice needs </w:t>
      </w:r>
      <w:r w:rsidR="00D72EFC" w:rsidRPr="0086148A">
        <w:rPr>
          <w:rFonts w:ascii="Times New Roman" w:hAnsi="Times New Roman" w:cs="Times New Roman"/>
          <w:sz w:val="24"/>
          <w:szCs w:val="24"/>
        </w:rPr>
        <w:t>in Burundi.</w:t>
      </w:r>
      <w:r w:rsidR="00845BF8" w:rsidRPr="0086148A">
        <w:rPr>
          <w:rFonts w:ascii="Times New Roman" w:hAnsi="Times New Roman" w:cs="Times New Roman"/>
          <w:sz w:val="24"/>
          <w:szCs w:val="24"/>
        </w:rPr>
        <w:t xml:space="preserve"> </w:t>
      </w:r>
      <w:r w:rsidR="00466593" w:rsidRPr="0086148A">
        <w:rPr>
          <w:rFonts w:ascii="Times New Roman" w:hAnsi="Times New Roman" w:cs="Times New Roman"/>
          <w:sz w:val="24"/>
          <w:szCs w:val="24"/>
        </w:rPr>
        <w:t xml:space="preserve">The Special Rapporteur on the situation of human rights in Burundi, </w:t>
      </w:r>
      <w:proofErr w:type="spellStart"/>
      <w:r w:rsidR="00466593" w:rsidRPr="0086148A">
        <w:rPr>
          <w:rFonts w:ascii="Times New Roman" w:hAnsi="Times New Roman" w:cs="Times New Roman"/>
          <w:sz w:val="24"/>
          <w:szCs w:val="24"/>
        </w:rPr>
        <w:t>Fortuné</w:t>
      </w:r>
      <w:proofErr w:type="spellEnd"/>
      <w:r w:rsidR="00466593" w:rsidRPr="0086148A">
        <w:rPr>
          <w:rFonts w:ascii="Times New Roman" w:hAnsi="Times New Roman" w:cs="Times New Roman"/>
          <w:sz w:val="24"/>
          <w:szCs w:val="24"/>
        </w:rPr>
        <w:t xml:space="preserve"> </w:t>
      </w:r>
      <w:proofErr w:type="spellStart"/>
      <w:r w:rsidR="00466593" w:rsidRPr="0086148A">
        <w:rPr>
          <w:rFonts w:ascii="Times New Roman" w:hAnsi="Times New Roman" w:cs="Times New Roman"/>
          <w:sz w:val="24"/>
          <w:szCs w:val="24"/>
        </w:rPr>
        <w:t>Gaétan</w:t>
      </w:r>
      <w:proofErr w:type="spellEnd"/>
      <w:r w:rsidR="00466593" w:rsidRPr="0086148A">
        <w:rPr>
          <w:rFonts w:ascii="Times New Roman" w:hAnsi="Times New Roman" w:cs="Times New Roman"/>
          <w:sz w:val="24"/>
          <w:szCs w:val="24"/>
        </w:rPr>
        <w:t xml:space="preserve"> Zongo</w:t>
      </w:r>
      <w:r w:rsidR="001E5BB6" w:rsidRPr="0086148A">
        <w:rPr>
          <w:rFonts w:ascii="Times New Roman" w:hAnsi="Times New Roman" w:cs="Times New Roman"/>
          <w:sz w:val="24"/>
          <w:szCs w:val="24"/>
        </w:rPr>
        <w:t xml:space="preserve">, </w:t>
      </w:r>
      <w:r w:rsidR="00F7477E" w:rsidRPr="0086148A">
        <w:rPr>
          <w:rFonts w:ascii="Times New Roman" w:hAnsi="Times New Roman" w:cs="Times New Roman"/>
          <w:sz w:val="24"/>
          <w:szCs w:val="24"/>
        </w:rPr>
        <w:t>has underscored</w:t>
      </w:r>
      <w:r w:rsidR="001E5BB6" w:rsidRPr="0086148A">
        <w:rPr>
          <w:rFonts w:ascii="Times New Roman" w:hAnsi="Times New Roman" w:cs="Times New Roman"/>
          <w:sz w:val="24"/>
          <w:szCs w:val="24"/>
        </w:rPr>
        <w:t xml:space="preserve"> </w:t>
      </w:r>
      <w:r w:rsidR="00AF5FBA" w:rsidRPr="0086148A">
        <w:rPr>
          <w:rFonts w:ascii="Times New Roman" w:hAnsi="Times New Roman" w:cs="Times New Roman"/>
          <w:sz w:val="24"/>
          <w:szCs w:val="24"/>
        </w:rPr>
        <w:t xml:space="preserve">the importance of implementing the </w:t>
      </w:r>
      <w:r w:rsidR="00B92070" w:rsidRPr="0086148A">
        <w:rPr>
          <w:rFonts w:ascii="Times New Roman" w:hAnsi="Times New Roman" w:cs="Times New Roman"/>
          <w:sz w:val="24"/>
          <w:szCs w:val="24"/>
        </w:rPr>
        <w:t xml:space="preserve">various transitional justice mechanisms </w:t>
      </w:r>
      <w:r w:rsidR="001D40D9" w:rsidRPr="0086148A">
        <w:rPr>
          <w:rFonts w:ascii="Times New Roman" w:hAnsi="Times New Roman" w:cs="Times New Roman"/>
          <w:sz w:val="24"/>
          <w:szCs w:val="24"/>
        </w:rPr>
        <w:t xml:space="preserve">including on accountability, truth, </w:t>
      </w:r>
      <w:r w:rsidR="00820B7A" w:rsidRPr="0086148A">
        <w:rPr>
          <w:rFonts w:ascii="Times New Roman" w:hAnsi="Times New Roman" w:cs="Times New Roman"/>
          <w:sz w:val="24"/>
          <w:szCs w:val="24"/>
        </w:rPr>
        <w:t xml:space="preserve">reparations and </w:t>
      </w:r>
      <w:r w:rsidR="000F7DB2" w:rsidRPr="0086148A">
        <w:rPr>
          <w:rFonts w:ascii="Times New Roman" w:hAnsi="Times New Roman" w:cs="Times New Roman"/>
          <w:sz w:val="24"/>
          <w:szCs w:val="24"/>
        </w:rPr>
        <w:t>institutional reform as recommended by various human rights bodies.</w:t>
      </w:r>
      <w:bookmarkStart w:id="5" w:name="_Ref124623519"/>
      <w:r w:rsidR="00ED49AA" w:rsidRPr="0086148A">
        <w:rPr>
          <w:rStyle w:val="FootnoteReference"/>
          <w:rFonts w:ascii="Times New Roman" w:hAnsi="Times New Roman" w:cs="Times New Roman"/>
          <w:sz w:val="24"/>
          <w:szCs w:val="24"/>
        </w:rPr>
        <w:footnoteReference w:id="56"/>
      </w:r>
      <w:bookmarkEnd w:id="5"/>
    </w:p>
    <w:p w14:paraId="7943D8C3" w14:textId="2A33E3DF" w:rsidR="000539E2" w:rsidRPr="0086148A" w:rsidRDefault="001C774A" w:rsidP="00A352E7">
      <w:pPr>
        <w:pStyle w:val="ListParagraph"/>
        <w:numPr>
          <w:ilvl w:val="1"/>
          <w:numId w:val="1"/>
        </w:numPr>
        <w:ind w:left="1134" w:hanging="774"/>
        <w:jc w:val="both"/>
        <w:rPr>
          <w:rFonts w:ascii="Times New Roman" w:hAnsi="Times New Roman" w:cs="Times New Roman"/>
          <w:b/>
          <w:bCs/>
          <w:sz w:val="24"/>
          <w:szCs w:val="24"/>
        </w:rPr>
      </w:pPr>
      <w:r w:rsidRPr="0086148A">
        <w:rPr>
          <w:rFonts w:ascii="Times New Roman" w:hAnsi="Times New Roman" w:cs="Times New Roman"/>
          <w:b/>
          <w:bCs/>
          <w:sz w:val="24"/>
          <w:szCs w:val="24"/>
        </w:rPr>
        <w:t xml:space="preserve">South </w:t>
      </w:r>
      <w:r w:rsidR="00E30839" w:rsidRPr="0086148A">
        <w:rPr>
          <w:rFonts w:ascii="Times New Roman" w:hAnsi="Times New Roman" w:cs="Times New Roman"/>
          <w:b/>
          <w:bCs/>
          <w:sz w:val="24"/>
          <w:szCs w:val="24"/>
        </w:rPr>
        <w:t>Sudan</w:t>
      </w:r>
    </w:p>
    <w:p w14:paraId="5C1621BF" w14:textId="14A26EF7" w:rsidR="00147EC6" w:rsidRPr="0086148A" w:rsidRDefault="001C774A"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South Sudan was a part of Sudan until 2011 when it gained statehood. </w:t>
      </w:r>
      <w:r w:rsidR="00EC4AFD" w:rsidRPr="0086148A">
        <w:rPr>
          <w:rFonts w:ascii="Times New Roman" w:hAnsi="Times New Roman" w:cs="Times New Roman"/>
          <w:sz w:val="24"/>
          <w:szCs w:val="24"/>
        </w:rPr>
        <w:t xml:space="preserve">Between </w:t>
      </w:r>
      <w:r w:rsidR="004F773A" w:rsidRPr="0086148A">
        <w:rPr>
          <w:rFonts w:ascii="Times New Roman" w:hAnsi="Times New Roman" w:cs="Times New Roman"/>
          <w:sz w:val="24"/>
          <w:szCs w:val="24"/>
        </w:rPr>
        <w:t xml:space="preserve">1955-1972 and 1983-2005, civil wars between the north and south of Sudan </w:t>
      </w:r>
      <w:r w:rsidR="00EC22B1" w:rsidRPr="0086148A">
        <w:rPr>
          <w:rFonts w:ascii="Times New Roman" w:hAnsi="Times New Roman" w:cs="Times New Roman"/>
          <w:sz w:val="24"/>
          <w:szCs w:val="24"/>
        </w:rPr>
        <w:t>resulted in the commission of human rights atrocities including systematic vio</w:t>
      </w:r>
      <w:r w:rsidR="00DD22A2" w:rsidRPr="0086148A">
        <w:rPr>
          <w:rFonts w:ascii="Times New Roman" w:hAnsi="Times New Roman" w:cs="Times New Roman"/>
          <w:sz w:val="24"/>
          <w:szCs w:val="24"/>
        </w:rPr>
        <w:t>lence against women.</w:t>
      </w:r>
      <w:r w:rsidR="00B90D3E" w:rsidRPr="0086148A">
        <w:rPr>
          <w:rStyle w:val="FootnoteReference"/>
          <w:rFonts w:ascii="Times New Roman" w:hAnsi="Times New Roman" w:cs="Times New Roman"/>
          <w:sz w:val="24"/>
          <w:szCs w:val="24"/>
        </w:rPr>
        <w:footnoteReference w:id="57"/>
      </w:r>
      <w:r w:rsidR="00252526" w:rsidRPr="0086148A">
        <w:rPr>
          <w:rFonts w:ascii="Times New Roman" w:hAnsi="Times New Roman" w:cs="Times New Roman"/>
          <w:sz w:val="24"/>
          <w:szCs w:val="24"/>
        </w:rPr>
        <w:t xml:space="preserve"> The </w:t>
      </w:r>
      <w:r w:rsidR="00373A58" w:rsidRPr="0086148A">
        <w:rPr>
          <w:rFonts w:ascii="Times New Roman" w:hAnsi="Times New Roman" w:cs="Times New Roman"/>
          <w:sz w:val="24"/>
          <w:szCs w:val="24"/>
        </w:rPr>
        <w:t>conflict was primarily between the government of Sudan and two rebel groups - the Sudan Liberation Movement</w:t>
      </w:r>
      <w:r w:rsidRPr="0086148A">
        <w:rPr>
          <w:rFonts w:ascii="Times New Roman" w:hAnsi="Times New Roman" w:cs="Times New Roman"/>
          <w:sz w:val="24"/>
          <w:szCs w:val="24"/>
        </w:rPr>
        <w:t xml:space="preserve"> (now the ruling party in South Sudan)</w:t>
      </w:r>
      <w:r w:rsidR="00373A58" w:rsidRPr="0086148A">
        <w:rPr>
          <w:rFonts w:ascii="Times New Roman" w:hAnsi="Times New Roman" w:cs="Times New Roman"/>
          <w:sz w:val="24"/>
          <w:szCs w:val="24"/>
        </w:rPr>
        <w:t xml:space="preserve"> and the Justice and Equality Movement</w:t>
      </w:r>
      <w:r w:rsidR="00D75965" w:rsidRPr="0086148A">
        <w:rPr>
          <w:rFonts w:ascii="Times New Roman" w:hAnsi="Times New Roman" w:cs="Times New Roman"/>
          <w:sz w:val="24"/>
          <w:szCs w:val="24"/>
        </w:rPr>
        <w:t>.</w:t>
      </w:r>
      <w:r w:rsidR="00AC295E" w:rsidRPr="0086148A">
        <w:rPr>
          <w:rFonts w:ascii="Times New Roman" w:hAnsi="Times New Roman" w:cs="Times New Roman"/>
          <w:sz w:val="24"/>
          <w:szCs w:val="24"/>
        </w:rPr>
        <w:t xml:space="preserve"> </w:t>
      </w:r>
      <w:r w:rsidR="00E220F2" w:rsidRPr="0086148A">
        <w:rPr>
          <w:rFonts w:ascii="Times New Roman" w:hAnsi="Times New Roman" w:cs="Times New Roman"/>
          <w:sz w:val="24"/>
          <w:szCs w:val="24"/>
        </w:rPr>
        <w:t>A</w:t>
      </w:r>
      <w:r w:rsidR="001D0C2F" w:rsidRPr="0086148A">
        <w:rPr>
          <w:rFonts w:ascii="Times New Roman" w:hAnsi="Times New Roman" w:cs="Times New Roman"/>
          <w:sz w:val="24"/>
          <w:szCs w:val="24"/>
        </w:rPr>
        <w:t xml:space="preserve">n accurate </w:t>
      </w:r>
      <w:r w:rsidRPr="0086148A">
        <w:rPr>
          <w:rFonts w:ascii="Times New Roman" w:hAnsi="Times New Roman" w:cs="Times New Roman"/>
          <w:sz w:val="24"/>
          <w:szCs w:val="24"/>
        </w:rPr>
        <w:t xml:space="preserve">official </w:t>
      </w:r>
      <w:r w:rsidR="001D0C2F" w:rsidRPr="0086148A">
        <w:rPr>
          <w:rFonts w:ascii="Times New Roman" w:hAnsi="Times New Roman" w:cs="Times New Roman"/>
          <w:sz w:val="24"/>
          <w:szCs w:val="24"/>
        </w:rPr>
        <w:t xml:space="preserve">historical </w:t>
      </w:r>
      <w:r w:rsidR="004E1B00" w:rsidRPr="0086148A">
        <w:rPr>
          <w:rFonts w:ascii="Times New Roman" w:hAnsi="Times New Roman" w:cs="Times New Roman"/>
          <w:sz w:val="24"/>
          <w:szCs w:val="24"/>
        </w:rPr>
        <w:t xml:space="preserve">record of the </w:t>
      </w:r>
      <w:r w:rsidR="001D0C2F" w:rsidRPr="0086148A">
        <w:rPr>
          <w:rFonts w:ascii="Times New Roman" w:hAnsi="Times New Roman" w:cs="Times New Roman"/>
          <w:sz w:val="24"/>
          <w:szCs w:val="24"/>
        </w:rPr>
        <w:t>root causes of the conflict is yet to be established</w:t>
      </w:r>
      <w:r w:rsidR="00E220F2" w:rsidRPr="0086148A">
        <w:rPr>
          <w:rFonts w:ascii="Times New Roman" w:hAnsi="Times New Roman" w:cs="Times New Roman"/>
          <w:sz w:val="24"/>
          <w:szCs w:val="24"/>
        </w:rPr>
        <w:t>. However,</w:t>
      </w:r>
      <w:r w:rsidR="004F44D6" w:rsidRPr="0086148A">
        <w:rPr>
          <w:rFonts w:ascii="Times New Roman" w:hAnsi="Times New Roman" w:cs="Times New Roman"/>
          <w:sz w:val="24"/>
          <w:szCs w:val="24"/>
        </w:rPr>
        <w:t xml:space="preserve"> c</w:t>
      </w:r>
      <w:r w:rsidR="00B04FA9" w:rsidRPr="0086148A">
        <w:rPr>
          <w:rFonts w:ascii="Times New Roman" w:hAnsi="Times New Roman" w:cs="Times New Roman"/>
          <w:sz w:val="24"/>
          <w:szCs w:val="24"/>
        </w:rPr>
        <w:t>ommentators have generally</w:t>
      </w:r>
      <w:r w:rsidR="001D0C2F" w:rsidRPr="0086148A">
        <w:rPr>
          <w:rFonts w:ascii="Times New Roman" w:hAnsi="Times New Roman" w:cs="Times New Roman"/>
          <w:sz w:val="24"/>
          <w:szCs w:val="24"/>
        </w:rPr>
        <w:t xml:space="preserve"> attributed the</w:t>
      </w:r>
      <w:r w:rsidR="00B25B2E" w:rsidRPr="0086148A">
        <w:rPr>
          <w:rFonts w:ascii="Times New Roman" w:hAnsi="Times New Roman" w:cs="Times New Roman"/>
          <w:sz w:val="24"/>
          <w:szCs w:val="24"/>
        </w:rPr>
        <w:t xml:space="preserve"> root causes of </w:t>
      </w:r>
      <w:r w:rsidR="008D0B78" w:rsidRPr="0086148A">
        <w:rPr>
          <w:rFonts w:ascii="Times New Roman" w:hAnsi="Times New Roman" w:cs="Times New Roman"/>
          <w:sz w:val="24"/>
          <w:szCs w:val="24"/>
        </w:rPr>
        <w:t>the conflict to</w:t>
      </w:r>
      <w:r w:rsidR="00B97913" w:rsidRPr="0086148A">
        <w:rPr>
          <w:rFonts w:ascii="Times New Roman" w:hAnsi="Times New Roman" w:cs="Times New Roman"/>
          <w:sz w:val="24"/>
          <w:szCs w:val="24"/>
        </w:rPr>
        <w:t xml:space="preserve"> the </w:t>
      </w:r>
      <w:r w:rsidR="003D679F" w:rsidRPr="0086148A">
        <w:rPr>
          <w:rFonts w:ascii="Times New Roman" w:hAnsi="Times New Roman" w:cs="Times New Roman"/>
          <w:sz w:val="24"/>
          <w:szCs w:val="24"/>
        </w:rPr>
        <w:t>racial</w:t>
      </w:r>
      <w:r w:rsidR="004F773A" w:rsidRPr="0086148A">
        <w:rPr>
          <w:rFonts w:ascii="Times New Roman" w:hAnsi="Times New Roman" w:cs="Times New Roman"/>
        </w:rPr>
        <w:t xml:space="preserve"> (‘Arab’ against ‘African’) and religious (the </w:t>
      </w:r>
      <w:r w:rsidR="0066689F" w:rsidRPr="0086148A">
        <w:rPr>
          <w:rFonts w:ascii="Times New Roman" w:hAnsi="Times New Roman" w:cs="Times New Roman"/>
        </w:rPr>
        <w:t xml:space="preserve">majority </w:t>
      </w:r>
      <w:r w:rsidR="004F773A" w:rsidRPr="0086148A">
        <w:rPr>
          <w:rFonts w:ascii="Times New Roman" w:hAnsi="Times New Roman" w:cs="Times New Roman"/>
        </w:rPr>
        <w:t xml:space="preserve">Muslim </w:t>
      </w:r>
      <w:r w:rsidR="007B5656" w:rsidRPr="0086148A">
        <w:rPr>
          <w:rFonts w:ascii="Times New Roman" w:hAnsi="Times New Roman" w:cs="Times New Roman"/>
        </w:rPr>
        <w:t>N</w:t>
      </w:r>
      <w:r w:rsidR="004F773A" w:rsidRPr="0086148A">
        <w:rPr>
          <w:rFonts w:ascii="Times New Roman" w:hAnsi="Times New Roman" w:cs="Times New Roman"/>
        </w:rPr>
        <w:t>orth against the lar</w:t>
      </w:r>
      <w:r w:rsidR="007B5656" w:rsidRPr="0086148A">
        <w:rPr>
          <w:rFonts w:ascii="Times New Roman" w:hAnsi="Times New Roman" w:cs="Times New Roman"/>
        </w:rPr>
        <w:t>gely</w:t>
      </w:r>
      <w:r w:rsidR="004F773A" w:rsidRPr="0086148A">
        <w:rPr>
          <w:rFonts w:ascii="Times New Roman" w:hAnsi="Times New Roman" w:cs="Times New Roman"/>
        </w:rPr>
        <w:t xml:space="preserve"> Christian and </w:t>
      </w:r>
      <w:r w:rsidR="007B5656" w:rsidRPr="0086148A">
        <w:rPr>
          <w:rFonts w:ascii="Times New Roman" w:hAnsi="Times New Roman" w:cs="Times New Roman"/>
        </w:rPr>
        <w:t>A</w:t>
      </w:r>
      <w:r w:rsidR="004F773A" w:rsidRPr="0086148A">
        <w:rPr>
          <w:rFonts w:ascii="Times New Roman" w:hAnsi="Times New Roman" w:cs="Times New Roman"/>
        </w:rPr>
        <w:t xml:space="preserve">nimist </w:t>
      </w:r>
      <w:r w:rsidR="007B5656" w:rsidRPr="0086148A">
        <w:rPr>
          <w:rFonts w:ascii="Times New Roman" w:hAnsi="Times New Roman" w:cs="Times New Roman"/>
        </w:rPr>
        <w:t>S</w:t>
      </w:r>
      <w:r w:rsidR="004F773A" w:rsidRPr="0086148A">
        <w:rPr>
          <w:rFonts w:ascii="Times New Roman" w:hAnsi="Times New Roman" w:cs="Times New Roman"/>
        </w:rPr>
        <w:t>outh)</w:t>
      </w:r>
      <w:r w:rsidR="0004518A" w:rsidRPr="0086148A">
        <w:rPr>
          <w:rFonts w:ascii="Times New Roman" w:hAnsi="Times New Roman" w:cs="Times New Roman"/>
        </w:rPr>
        <w:t xml:space="preserve"> divide</w:t>
      </w:r>
      <w:r w:rsidR="00D7176D" w:rsidRPr="0086148A">
        <w:rPr>
          <w:rFonts w:ascii="Times New Roman" w:hAnsi="Times New Roman" w:cs="Times New Roman"/>
        </w:rPr>
        <w:t xml:space="preserve">, and to the </w:t>
      </w:r>
      <w:r w:rsidR="002E4EA5" w:rsidRPr="0086148A">
        <w:rPr>
          <w:rFonts w:ascii="Times New Roman" w:hAnsi="Times New Roman" w:cs="Times New Roman"/>
        </w:rPr>
        <w:t xml:space="preserve">differences in regional access to power </w:t>
      </w:r>
      <w:r w:rsidR="001E47C9" w:rsidRPr="0086148A">
        <w:rPr>
          <w:rFonts w:ascii="Times New Roman" w:hAnsi="Times New Roman" w:cs="Times New Roman"/>
        </w:rPr>
        <w:t>that resulted in differential economic development</w:t>
      </w:r>
      <w:r w:rsidR="004F773A" w:rsidRPr="0086148A">
        <w:rPr>
          <w:rFonts w:ascii="Times New Roman" w:hAnsi="Times New Roman" w:cs="Times New Roman"/>
        </w:rPr>
        <w:t>.</w:t>
      </w:r>
      <w:r w:rsidR="00A66C32" w:rsidRPr="0086148A">
        <w:rPr>
          <w:rStyle w:val="FootnoteReference"/>
          <w:rFonts w:ascii="Times New Roman" w:hAnsi="Times New Roman" w:cs="Times New Roman"/>
        </w:rPr>
        <w:footnoteReference w:id="58"/>
      </w:r>
      <w:r w:rsidR="00C966B9" w:rsidRPr="0086148A">
        <w:rPr>
          <w:rFonts w:ascii="Times New Roman" w:hAnsi="Times New Roman" w:cs="Times New Roman"/>
          <w:sz w:val="24"/>
          <w:szCs w:val="24"/>
        </w:rPr>
        <w:t xml:space="preserve"> </w:t>
      </w:r>
      <w:r w:rsidR="6C7FEF76" w:rsidRPr="0086148A">
        <w:rPr>
          <w:rFonts w:ascii="Times New Roman" w:hAnsi="Times New Roman" w:cs="Times New Roman"/>
          <w:sz w:val="24"/>
          <w:szCs w:val="24"/>
        </w:rPr>
        <w:t xml:space="preserve">It is estimated that </w:t>
      </w:r>
      <w:r w:rsidR="2414C1F0" w:rsidRPr="0086148A">
        <w:rPr>
          <w:rFonts w:ascii="Times New Roman" w:hAnsi="Times New Roman" w:cs="Times New Roman"/>
          <w:sz w:val="24"/>
          <w:szCs w:val="24"/>
        </w:rPr>
        <w:t>about</w:t>
      </w:r>
      <w:r w:rsidR="00440F69" w:rsidRPr="0086148A">
        <w:rPr>
          <w:rFonts w:ascii="Times New Roman" w:hAnsi="Times New Roman" w:cs="Times New Roman"/>
          <w:sz w:val="24"/>
          <w:szCs w:val="24"/>
        </w:rPr>
        <w:t xml:space="preserve"> </w:t>
      </w:r>
      <w:r w:rsidR="00047DF6" w:rsidRPr="0086148A">
        <w:rPr>
          <w:rFonts w:ascii="Times New Roman" w:hAnsi="Times New Roman" w:cs="Times New Roman"/>
          <w:sz w:val="24"/>
          <w:szCs w:val="24"/>
        </w:rPr>
        <w:t xml:space="preserve">2 million people reportedly died and 4 million </w:t>
      </w:r>
      <w:r w:rsidR="00047DF6" w:rsidRPr="0086148A">
        <w:rPr>
          <w:rFonts w:ascii="Times New Roman" w:hAnsi="Times New Roman" w:cs="Times New Roman"/>
          <w:sz w:val="24"/>
          <w:szCs w:val="24"/>
        </w:rPr>
        <w:lastRenderedPageBreak/>
        <w:t>were displaced as a result of the civil wars.</w:t>
      </w:r>
      <w:r w:rsidR="00047DF6" w:rsidRPr="0086148A">
        <w:rPr>
          <w:rStyle w:val="FootnoteReference"/>
          <w:rFonts w:ascii="Times New Roman" w:hAnsi="Times New Roman" w:cs="Times New Roman"/>
          <w:sz w:val="24"/>
          <w:szCs w:val="24"/>
        </w:rPr>
        <w:footnoteReference w:id="59"/>
      </w:r>
      <w:r w:rsidR="00047DF6" w:rsidRPr="0086148A">
        <w:rPr>
          <w:rFonts w:ascii="Times New Roman" w:hAnsi="Times New Roman" w:cs="Times New Roman"/>
          <w:sz w:val="24"/>
          <w:szCs w:val="24"/>
        </w:rPr>
        <w:t xml:space="preserve"> </w:t>
      </w:r>
      <w:r w:rsidR="00915B9D" w:rsidRPr="0086148A">
        <w:rPr>
          <w:rFonts w:ascii="Times New Roman" w:hAnsi="Times New Roman" w:cs="Times New Roman"/>
          <w:sz w:val="24"/>
          <w:szCs w:val="24"/>
        </w:rPr>
        <w:t>The Comprehensive Peace Agreement</w:t>
      </w:r>
      <w:r w:rsidR="009B510C" w:rsidRPr="0086148A">
        <w:rPr>
          <w:rFonts w:ascii="Times New Roman" w:hAnsi="Times New Roman" w:cs="Times New Roman"/>
          <w:sz w:val="24"/>
          <w:szCs w:val="24"/>
        </w:rPr>
        <w:t xml:space="preserve"> (CPA)</w:t>
      </w:r>
      <w:r w:rsidRPr="0086148A">
        <w:rPr>
          <w:rFonts w:ascii="Times New Roman" w:hAnsi="Times New Roman" w:cs="Times New Roman"/>
          <w:sz w:val="24"/>
          <w:szCs w:val="24"/>
        </w:rPr>
        <w:t xml:space="preserve"> signed between</w:t>
      </w:r>
      <w:r w:rsidR="009A2AEB" w:rsidRPr="0086148A">
        <w:rPr>
          <w:rFonts w:ascii="Times New Roman" w:hAnsi="Times New Roman" w:cs="Times New Roman"/>
          <w:sz w:val="24"/>
          <w:szCs w:val="24"/>
        </w:rPr>
        <w:t xml:space="preserve"> the Government of </w:t>
      </w:r>
      <w:r w:rsidR="00427F5B" w:rsidRPr="0086148A">
        <w:rPr>
          <w:rFonts w:ascii="Times New Roman" w:hAnsi="Times New Roman" w:cs="Times New Roman"/>
          <w:sz w:val="24"/>
          <w:szCs w:val="24"/>
        </w:rPr>
        <w:t xml:space="preserve">Sudan </w:t>
      </w:r>
      <w:r w:rsidRPr="0086148A">
        <w:rPr>
          <w:rFonts w:ascii="Times New Roman" w:hAnsi="Times New Roman" w:cs="Times New Roman"/>
          <w:sz w:val="24"/>
          <w:szCs w:val="24"/>
        </w:rPr>
        <w:t xml:space="preserve">and the Sudan </w:t>
      </w:r>
      <w:r w:rsidR="00427F5B" w:rsidRPr="0086148A">
        <w:rPr>
          <w:rFonts w:ascii="Times New Roman" w:hAnsi="Times New Roman" w:cs="Times New Roman"/>
          <w:sz w:val="24"/>
          <w:szCs w:val="24"/>
        </w:rPr>
        <w:t xml:space="preserve">People’s Liberation Movement (SPLM) brought an end to the civil war. </w:t>
      </w:r>
      <w:r w:rsidR="003609D1" w:rsidRPr="0086148A">
        <w:rPr>
          <w:rFonts w:ascii="Times New Roman" w:hAnsi="Times New Roman" w:cs="Times New Roman"/>
          <w:sz w:val="24"/>
          <w:szCs w:val="24"/>
        </w:rPr>
        <w:t xml:space="preserve">The CPA </w:t>
      </w:r>
      <w:r w:rsidR="003F0C96" w:rsidRPr="0086148A">
        <w:rPr>
          <w:rFonts w:ascii="Times New Roman" w:hAnsi="Times New Roman" w:cs="Times New Roman"/>
          <w:sz w:val="24"/>
          <w:szCs w:val="24"/>
        </w:rPr>
        <w:t>provided the legal basis for South Sudan to hold a referendum on independence</w:t>
      </w:r>
      <w:r w:rsidR="004F2CDD" w:rsidRPr="0086148A">
        <w:rPr>
          <w:rFonts w:ascii="Times New Roman" w:hAnsi="Times New Roman" w:cs="Times New Roman"/>
          <w:sz w:val="24"/>
          <w:szCs w:val="24"/>
        </w:rPr>
        <w:t xml:space="preserve"> </w:t>
      </w:r>
      <w:r w:rsidR="00097C56" w:rsidRPr="0086148A">
        <w:rPr>
          <w:rFonts w:ascii="Times New Roman" w:hAnsi="Times New Roman" w:cs="Times New Roman"/>
          <w:sz w:val="24"/>
          <w:szCs w:val="24"/>
        </w:rPr>
        <w:t>in which over 98% of South Sudan</w:t>
      </w:r>
      <w:r w:rsidR="001D7A37" w:rsidRPr="0086148A">
        <w:rPr>
          <w:rFonts w:ascii="Times New Roman" w:hAnsi="Times New Roman" w:cs="Times New Roman"/>
          <w:sz w:val="24"/>
          <w:szCs w:val="24"/>
        </w:rPr>
        <w:t>ese</w:t>
      </w:r>
      <w:r w:rsidR="00097C56" w:rsidRPr="0086148A">
        <w:rPr>
          <w:rFonts w:ascii="Times New Roman" w:hAnsi="Times New Roman" w:cs="Times New Roman"/>
          <w:sz w:val="24"/>
          <w:szCs w:val="24"/>
        </w:rPr>
        <w:t xml:space="preserve"> citizens voted for independence from Sudan </w:t>
      </w:r>
      <w:r w:rsidR="004D19CA" w:rsidRPr="0086148A">
        <w:rPr>
          <w:rFonts w:ascii="Times New Roman" w:hAnsi="Times New Roman" w:cs="Times New Roman"/>
          <w:sz w:val="24"/>
          <w:szCs w:val="24"/>
        </w:rPr>
        <w:t xml:space="preserve">on 9 July 2011. </w:t>
      </w:r>
      <w:r w:rsidR="00097C56" w:rsidRPr="0086148A">
        <w:rPr>
          <w:rFonts w:ascii="Times New Roman" w:hAnsi="Times New Roman" w:cs="Times New Roman"/>
          <w:sz w:val="24"/>
          <w:szCs w:val="24"/>
        </w:rPr>
        <w:t xml:space="preserve">Whereas the CPA prescribed the power sharing arrangement between the government of Sudan and the SPLM, it was vague in terms of specific transitional justice measures to address the human rights atrocities from the conflict. The focus was more on peace and less on justice for human rights violations. There were references in the CPA to a reconciliation process to be undertaken by the parties but no specific mention of accountability for human rights atrocities or reparations to victims. </w:t>
      </w:r>
      <w:r w:rsidR="00147EC6" w:rsidRPr="0086148A">
        <w:rPr>
          <w:rFonts w:ascii="Times New Roman" w:hAnsi="Times New Roman" w:cs="Times New Roman"/>
          <w:sz w:val="24"/>
          <w:szCs w:val="24"/>
        </w:rPr>
        <w:t>While scholars in peace studies may see this as beneficial to the peace negotiations,</w:t>
      </w:r>
      <w:r w:rsidR="00147EC6" w:rsidRPr="0086148A">
        <w:rPr>
          <w:rStyle w:val="FootnoteReference"/>
          <w:rFonts w:ascii="Times New Roman" w:hAnsi="Times New Roman" w:cs="Times New Roman"/>
          <w:sz w:val="24"/>
          <w:szCs w:val="24"/>
        </w:rPr>
        <w:footnoteReference w:id="60"/>
      </w:r>
      <w:r w:rsidR="00147EC6" w:rsidRPr="0086148A">
        <w:rPr>
          <w:rFonts w:ascii="Times New Roman" w:hAnsi="Times New Roman" w:cs="Times New Roman"/>
          <w:sz w:val="24"/>
          <w:szCs w:val="24"/>
        </w:rPr>
        <w:t xml:space="preserve"> ignoring transitional justice measures in the CPA left unaddressed questions on accountability and reparations for victims which are essential for sustainable peace. </w:t>
      </w:r>
    </w:p>
    <w:p w14:paraId="684BB9E3" w14:textId="0C7C5446" w:rsidR="00097C56" w:rsidRPr="0086148A" w:rsidRDefault="00656A1D"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However, </w:t>
      </w:r>
      <w:r w:rsidR="00147EC6" w:rsidRPr="0086148A">
        <w:rPr>
          <w:rFonts w:ascii="Times New Roman" w:hAnsi="Times New Roman" w:cs="Times New Roman"/>
          <w:sz w:val="24"/>
          <w:szCs w:val="24"/>
        </w:rPr>
        <w:t>in December 2013, So</w:t>
      </w:r>
      <w:r w:rsidR="007B3949" w:rsidRPr="0086148A">
        <w:rPr>
          <w:rFonts w:ascii="Times New Roman" w:hAnsi="Times New Roman" w:cs="Times New Roman"/>
          <w:sz w:val="24"/>
          <w:szCs w:val="24"/>
        </w:rPr>
        <w:t>uth Sudan relapsed into civil war</w:t>
      </w:r>
      <w:r w:rsidR="00147EC6" w:rsidRPr="0086148A">
        <w:rPr>
          <w:rFonts w:ascii="Times New Roman" w:hAnsi="Times New Roman" w:cs="Times New Roman"/>
          <w:sz w:val="24"/>
          <w:szCs w:val="24"/>
        </w:rPr>
        <w:t xml:space="preserve"> </w:t>
      </w:r>
      <w:r w:rsidR="007B3949" w:rsidRPr="0086148A">
        <w:rPr>
          <w:rFonts w:ascii="Times New Roman" w:hAnsi="Times New Roman" w:cs="Times New Roman"/>
          <w:sz w:val="24"/>
          <w:szCs w:val="24"/>
        </w:rPr>
        <w:t>following power sharing disagreements and a political feud between</w:t>
      </w:r>
      <w:r w:rsidR="009572EF" w:rsidRPr="0086148A">
        <w:rPr>
          <w:rFonts w:ascii="Times New Roman" w:hAnsi="Times New Roman" w:cs="Times New Roman"/>
          <w:sz w:val="24"/>
          <w:szCs w:val="24"/>
        </w:rPr>
        <w:t xml:space="preserve"> President</w:t>
      </w:r>
      <w:r w:rsidR="002F49AC" w:rsidRPr="0086148A">
        <w:rPr>
          <w:rFonts w:ascii="Times New Roman" w:hAnsi="Times New Roman" w:cs="Times New Roman"/>
          <w:sz w:val="24"/>
          <w:szCs w:val="24"/>
        </w:rPr>
        <w:t xml:space="preserve"> Salva Kiir Mayardit </w:t>
      </w:r>
      <w:r w:rsidR="009572EF" w:rsidRPr="0086148A">
        <w:rPr>
          <w:rFonts w:ascii="Times New Roman" w:hAnsi="Times New Roman" w:cs="Times New Roman"/>
          <w:sz w:val="24"/>
          <w:szCs w:val="24"/>
        </w:rPr>
        <w:t xml:space="preserve">and </w:t>
      </w:r>
      <w:r w:rsidR="007B3949" w:rsidRPr="0086148A">
        <w:rPr>
          <w:rFonts w:ascii="Times New Roman" w:hAnsi="Times New Roman" w:cs="Times New Roman"/>
          <w:sz w:val="24"/>
          <w:szCs w:val="24"/>
        </w:rPr>
        <w:t xml:space="preserve">Vice President </w:t>
      </w:r>
      <w:proofErr w:type="spellStart"/>
      <w:r w:rsidR="007B3949" w:rsidRPr="0086148A">
        <w:rPr>
          <w:rFonts w:ascii="Times New Roman" w:hAnsi="Times New Roman" w:cs="Times New Roman"/>
          <w:sz w:val="24"/>
          <w:szCs w:val="24"/>
        </w:rPr>
        <w:t>Riek</w:t>
      </w:r>
      <w:proofErr w:type="spellEnd"/>
      <w:r w:rsidR="007B3949" w:rsidRPr="0086148A">
        <w:rPr>
          <w:rFonts w:ascii="Times New Roman" w:hAnsi="Times New Roman" w:cs="Times New Roman"/>
          <w:sz w:val="24"/>
          <w:szCs w:val="24"/>
        </w:rPr>
        <w:t xml:space="preserve"> Machar.</w:t>
      </w:r>
      <w:r w:rsidR="007B3949" w:rsidRPr="0086148A">
        <w:rPr>
          <w:rStyle w:val="FootnoteReference"/>
          <w:rFonts w:ascii="Times New Roman" w:hAnsi="Times New Roman" w:cs="Times New Roman"/>
          <w:sz w:val="24"/>
          <w:szCs w:val="24"/>
        </w:rPr>
        <w:footnoteReference w:id="61"/>
      </w:r>
      <w:r w:rsidR="007B3949" w:rsidRPr="0086148A">
        <w:rPr>
          <w:rFonts w:ascii="Times New Roman" w:hAnsi="Times New Roman" w:cs="Times New Roman"/>
          <w:sz w:val="24"/>
          <w:szCs w:val="24"/>
        </w:rPr>
        <w:t xml:space="preserve"> </w:t>
      </w:r>
      <w:r w:rsidR="0056421F" w:rsidRPr="0086148A">
        <w:rPr>
          <w:rFonts w:ascii="Times New Roman" w:hAnsi="Times New Roman" w:cs="Times New Roman"/>
          <w:sz w:val="24"/>
          <w:szCs w:val="24"/>
        </w:rPr>
        <w:t>This conflict quickly took on an ethnic dimension (between the Dinka ethnic group that supported Kiir, and those from the Nuer ethnic group supporting Machar)</w:t>
      </w:r>
      <w:r w:rsidR="009572EF" w:rsidRPr="0086148A">
        <w:rPr>
          <w:rFonts w:ascii="Times New Roman" w:hAnsi="Times New Roman" w:cs="Times New Roman"/>
          <w:sz w:val="24"/>
          <w:szCs w:val="24"/>
        </w:rPr>
        <w:t>, and</w:t>
      </w:r>
      <w:r w:rsidR="0056421F" w:rsidRPr="0086148A">
        <w:rPr>
          <w:rFonts w:ascii="Times New Roman" w:hAnsi="Times New Roman" w:cs="Times New Roman"/>
          <w:sz w:val="24"/>
          <w:szCs w:val="24"/>
        </w:rPr>
        <w:t xml:space="preserve"> </w:t>
      </w:r>
      <w:r w:rsidR="00D00844" w:rsidRPr="0086148A">
        <w:rPr>
          <w:rFonts w:ascii="Times New Roman" w:hAnsi="Times New Roman" w:cs="Times New Roman"/>
          <w:sz w:val="24"/>
          <w:szCs w:val="24"/>
        </w:rPr>
        <w:t xml:space="preserve">reportedly </w:t>
      </w:r>
      <w:r w:rsidR="0056421F" w:rsidRPr="0086148A">
        <w:rPr>
          <w:rFonts w:ascii="Times New Roman" w:hAnsi="Times New Roman" w:cs="Times New Roman"/>
          <w:sz w:val="24"/>
          <w:szCs w:val="24"/>
        </w:rPr>
        <w:t>resulted in the death of about 400,000 people</w:t>
      </w:r>
      <w:r w:rsidR="009572EF" w:rsidRPr="0086148A">
        <w:rPr>
          <w:rFonts w:ascii="Times New Roman" w:hAnsi="Times New Roman" w:cs="Times New Roman"/>
          <w:sz w:val="24"/>
          <w:szCs w:val="24"/>
        </w:rPr>
        <w:t xml:space="preserve"> and displacement of</w:t>
      </w:r>
      <w:r w:rsidR="0056421F" w:rsidRPr="0086148A">
        <w:rPr>
          <w:rFonts w:ascii="Times New Roman" w:hAnsi="Times New Roman" w:cs="Times New Roman"/>
          <w:sz w:val="24"/>
          <w:szCs w:val="24"/>
        </w:rPr>
        <w:t xml:space="preserve"> millions of others.</w:t>
      </w:r>
      <w:r w:rsidR="0056421F" w:rsidRPr="0086148A">
        <w:rPr>
          <w:rStyle w:val="FootnoteReference"/>
          <w:rFonts w:ascii="Times New Roman" w:hAnsi="Times New Roman" w:cs="Times New Roman"/>
          <w:sz w:val="24"/>
          <w:szCs w:val="24"/>
        </w:rPr>
        <w:footnoteReference w:id="62"/>
      </w:r>
      <w:r w:rsidR="0056421F" w:rsidRPr="0086148A">
        <w:rPr>
          <w:rFonts w:ascii="Times New Roman" w:hAnsi="Times New Roman" w:cs="Times New Roman"/>
          <w:sz w:val="24"/>
          <w:szCs w:val="24"/>
        </w:rPr>
        <w:t xml:space="preserve"> </w:t>
      </w:r>
      <w:r w:rsidR="002F49AC" w:rsidRPr="0086148A">
        <w:rPr>
          <w:rFonts w:ascii="Times New Roman" w:hAnsi="Times New Roman" w:cs="Times New Roman"/>
          <w:sz w:val="24"/>
          <w:szCs w:val="24"/>
        </w:rPr>
        <w:t>Following mediation by regional and international organisations, and threat of sanction by the UN Security Council,</w:t>
      </w:r>
      <w:r w:rsidR="00B771C9" w:rsidRPr="0086148A">
        <w:rPr>
          <w:rStyle w:val="FootnoteReference"/>
          <w:rFonts w:ascii="Times New Roman" w:hAnsi="Times New Roman" w:cs="Times New Roman"/>
          <w:sz w:val="24"/>
          <w:szCs w:val="24"/>
        </w:rPr>
        <w:footnoteReference w:id="63"/>
      </w:r>
      <w:r w:rsidR="002F49AC" w:rsidRPr="0086148A">
        <w:rPr>
          <w:rFonts w:ascii="Times New Roman" w:hAnsi="Times New Roman" w:cs="Times New Roman"/>
          <w:sz w:val="24"/>
          <w:szCs w:val="24"/>
        </w:rPr>
        <w:t xml:space="preserve"> the </w:t>
      </w:r>
      <w:r w:rsidR="002F49AC" w:rsidRPr="0086148A">
        <w:rPr>
          <w:rFonts w:ascii="Times New Roman" w:hAnsi="Times New Roman" w:cs="Times New Roman"/>
          <w:i/>
          <w:sz w:val="24"/>
          <w:szCs w:val="24"/>
        </w:rPr>
        <w:t>Agreement on the Resolution of the Conflict in the Republic of South Sudan (ARCSS)</w:t>
      </w:r>
      <w:r w:rsidR="002F49AC" w:rsidRPr="0086148A">
        <w:rPr>
          <w:rFonts w:ascii="Times New Roman" w:hAnsi="Times New Roman" w:cs="Times New Roman"/>
          <w:sz w:val="24"/>
          <w:szCs w:val="24"/>
        </w:rPr>
        <w:t xml:space="preserve"> </w:t>
      </w:r>
      <w:r w:rsidR="00B771C9" w:rsidRPr="0086148A">
        <w:rPr>
          <w:rFonts w:ascii="Times New Roman" w:hAnsi="Times New Roman" w:cs="Times New Roman"/>
          <w:sz w:val="24"/>
          <w:szCs w:val="24"/>
        </w:rPr>
        <w:t>of 1</w:t>
      </w:r>
      <w:r w:rsidR="7D6B953B" w:rsidRPr="0086148A">
        <w:rPr>
          <w:rFonts w:ascii="Times New Roman" w:hAnsi="Times New Roman" w:cs="Times New Roman"/>
          <w:sz w:val="24"/>
          <w:szCs w:val="24"/>
        </w:rPr>
        <w:t>7</w:t>
      </w:r>
      <w:r w:rsidR="00B771C9" w:rsidRPr="0086148A">
        <w:rPr>
          <w:rFonts w:ascii="Times New Roman" w:hAnsi="Times New Roman" w:cs="Times New Roman"/>
          <w:sz w:val="24"/>
          <w:szCs w:val="24"/>
          <w:vertAlign w:val="superscript"/>
        </w:rPr>
        <w:t xml:space="preserve"> </w:t>
      </w:r>
      <w:r w:rsidR="00B771C9" w:rsidRPr="0086148A">
        <w:rPr>
          <w:rFonts w:ascii="Times New Roman" w:hAnsi="Times New Roman" w:cs="Times New Roman"/>
          <w:sz w:val="24"/>
          <w:szCs w:val="24"/>
        </w:rPr>
        <w:t xml:space="preserve">August 2015 </w:t>
      </w:r>
      <w:r w:rsidR="002F49AC" w:rsidRPr="0086148A">
        <w:rPr>
          <w:rFonts w:ascii="Times New Roman" w:hAnsi="Times New Roman" w:cs="Times New Roman"/>
          <w:sz w:val="24"/>
          <w:szCs w:val="24"/>
        </w:rPr>
        <w:t xml:space="preserve">was signed between the Sudan People’s Liberation Movement and Army in Government (SPLM/A-IG) (represented by President Salva Kiir Mayardit) and the Sudan People’s Liberation Movement and Army in Opposition (SPLM/A-IO) (represented by </w:t>
      </w:r>
      <w:proofErr w:type="spellStart"/>
      <w:r w:rsidR="002F49AC" w:rsidRPr="0086148A">
        <w:rPr>
          <w:rFonts w:ascii="Times New Roman" w:hAnsi="Times New Roman" w:cs="Times New Roman"/>
          <w:sz w:val="24"/>
          <w:szCs w:val="24"/>
        </w:rPr>
        <w:t>Riek</w:t>
      </w:r>
      <w:proofErr w:type="spellEnd"/>
      <w:r w:rsidR="002F49AC" w:rsidRPr="0086148A">
        <w:rPr>
          <w:rFonts w:ascii="Times New Roman" w:hAnsi="Times New Roman" w:cs="Times New Roman"/>
          <w:sz w:val="24"/>
          <w:szCs w:val="24"/>
        </w:rPr>
        <w:t xml:space="preserve"> Machar </w:t>
      </w:r>
      <w:proofErr w:type="spellStart"/>
      <w:r w:rsidR="002F49AC" w:rsidRPr="0086148A">
        <w:rPr>
          <w:rFonts w:ascii="Times New Roman" w:hAnsi="Times New Roman" w:cs="Times New Roman"/>
          <w:sz w:val="24"/>
          <w:szCs w:val="24"/>
        </w:rPr>
        <w:t>Teny</w:t>
      </w:r>
      <w:proofErr w:type="spellEnd"/>
      <w:r w:rsidR="002F49AC" w:rsidRPr="0086148A">
        <w:rPr>
          <w:rFonts w:ascii="Times New Roman" w:hAnsi="Times New Roman" w:cs="Times New Roman"/>
          <w:sz w:val="24"/>
          <w:szCs w:val="24"/>
        </w:rPr>
        <w:t xml:space="preserve"> </w:t>
      </w:r>
      <w:proofErr w:type="spellStart"/>
      <w:r w:rsidR="002F49AC" w:rsidRPr="0086148A">
        <w:rPr>
          <w:rFonts w:ascii="Times New Roman" w:hAnsi="Times New Roman" w:cs="Times New Roman"/>
          <w:sz w:val="24"/>
          <w:szCs w:val="24"/>
        </w:rPr>
        <w:t>Dhurgon</w:t>
      </w:r>
      <w:proofErr w:type="spellEnd"/>
      <w:r w:rsidR="002F49AC" w:rsidRPr="0086148A">
        <w:rPr>
          <w:rFonts w:ascii="Times New Roman" w:hAnsi="Times New Roman" w:cs="Times New Roman"/>
          <w:sz w:val="24"/>
          <w:szCs w:val="24"/>
        </w:rPr>
        <w:t>).</w:t>
      </w:r>
      <w:r w:rsidR="00C53AFB" w:rsidRPr="0086148A">
        <w:rPr>
          <w:rStyle w:val="FootnoteReference"/>
          <w:rFonts w:ascii="Times New Roman" w:hAnsi="Times New Roman" w:cs="Times New Roman"/>
          <w:sz w:val="24"/>
          <w:szCs w:val="24"/>
        </w:rPr>
        <w:footnoteReference w:id="64"/>
      </w:r>
      <w:r w:rsidR="00B771C9" w:rsidRPr="0086148A">
        <w:rPr>
          <w:rFonts w:ascii="Times New Roman" w:hAnsi="Times New Roman" w:cs="Times New Roman"/>
          <w:sz w:val="24"/>
          <w:szCs w:val="24"/>
        </w:rPr>
        <w:t xml:space="preserve"> Chapter V of the ARCSS enshrined the foundation principles for transiti</w:t>
      </w:r>
      <w:r w:rsidR="00F9691D" w:rsidRPr="0086148A">
        <w:rPr>
          <w:rFonts w:ascii="Times New Roman" w:hAnsi="Times New Roman" w:cs="Times New Roman"/>
          <w:sz w:val="24"/>
          <w:szCs w:val="24"/>
        </w:rPr>
        <w:t>onal justice in South Sudan anchored on three key measures: (</w:t>
      </w:r>
      <w:proofErr w:type="spellStart"/>
      <w:r w:rsidR="00F9691D" w:rsidRPr="0086148A">
        <w:rPr>
          <w:rFonts w:ascii="Times New Roman" w:hAnsi="Times New Roman" w:cs="Times New Roman"/>
          <w:sz w:val="24"/>
          <w:szCs w:val="24"/>
        </w:rPr>
        <w:t>i</w:t>
      </w:r>
      <w:proofErr w:type="spellEnd"/>
      <w:r w:rsidR="00F9691D" w:rsidRPr="0086148A">
        <w:rPr>
          <w:rFonts w:ascii="Times New Roman" w:hAnsi="Times New Roman" w:cs="Times New Roman"/>
          <w:sz w:val="24"/>
          <w:szCs w:val="24"/>
        </w:rPr>
        <w:t>) the Commission for Truth, Reconciliation and Healing (CTRH); (ii) the Hybrid Court for South Sudan (HCSS); and (iii) Compensation and Reparation Authority (CRA).</w:t>
      </w:r>
      <w:r w:rsidR="00F9691D" w:rsidRPr="0086148A">
        <w:rPr>
          <w:rStyle w:val="FootnoteReference"/>
          <w:rFonts w:ascii="Times New Roman" w:hAnsi="Times New Roman" w:cs="Times New Roman"/>
          <w:sz w:val="24"/>
          <w:szCs w:val="24"/>
        </w:rPr>
        <w:footnoteReference w:id="65"/>
      </w:r>
      <w:r w:rsidR="00E220F2" w:rsidRPr="0086148A">
        <w:rPr>
          <w:rFonts w:ascii="Times New Roman" w:hAnsi="Times New Roman" w:cs="Times New Roman"/>
          <w:sz w:val="24"/>
          <w:szCs w:val="24"/>
        </w:rPr>
        <w:t xml:space="preserve"> These measures were</w:t>
      </w:r>
      <w:r w:rsidR="00F9691D" w:rsidRPr="0086148A">
        <w:rPr>
          <w:rFonts w:ascii="Times New Roman" w:hAnsi="Times New Roman" w:cs="Times New Roman"/>
          <w:sz w:val="24"/>
          <w:szCs w:val="24"/>
        </w:rPr>
        <w:t xml:space="preserve"> intended to provide accountability for human rights atrocities, promote </w:t>
      </w:r>
      <w:r w:rsidR="008B7446" w:rsidRPr="0086148A">
        <w:rPr>
          <w:rFonts w:ascii="Times New Roman" w:hAnsi="Times New Roman" w:cs="Times New Roman"/>
          <w:sz w:val="24"/>
          <w:szCs w:val="24"/>
        </w:rPr>
        <w:t xml:space="preserve">healing, </w:t>
      </w:r>
      <w:r w:rsidR="00F9691D" w:rsidRPr="0086148A">
        <w:rPr>
          <w:rFonts w:ascii="Times New Roman" w:hAnsi="Times New Roman" w:cs="Times New Roman"/>
          <w:sz w:val="24"/>
          <w:szCs w:val="24"/>
        </w:rPr>
        <w:t>reconciliation, and provide material</w:t>
      </w:r>
      <w:r w:rsidR="008B7446" w:rsidRPr="0086148A">
        <w:rPr>
          <w:rFonts w:ascii="Times New Roman" w:hAnsi="Times New Roman" w:cs="Times New Roman"/>
          <w:sz w:val="24"/>
          <w:szCs w:val="24"/>
        </w:rPr>
        <w:t xml:space="preserve"> and financial support to victims impacted by the conflict. The ARCSS also set out some parameters for a permanent constitution for </w:t>
      </w:r>
      <w:r w:rsidR="00C55236" w:rsidRPr="0086148A">
        <w:rPr>
          <w:rFonts w:ascii="Times New Roman" w:hAnsi="Times New Roman" w:cs="Times New Roman"/>
          <w:sz w:val="24"/>
          <w:szCs w:val="24"/>
        </w:rPr>
        <w:lastRenderedPageBreak/>
        <w:t xml:space="preserve">South </w:t>
      </w:r>
      <w:r w:rsidR="008B7446" w:rsidRPr="0086148A">
        <w:rPr>
          <w:rFonts w:ascii="Times New Roman" w:hAnsi="Times New Roman" w:cs="Times New Roman"/>
          <w:sz w:val="24"/>
          <w:szCs w:val="24"/>
        </w:rPr>
        <w:t>Sudan</w:t>
      </w:r>
      <w:r w:rsidR="00C53AFB" w:rsidRPr="0086148A">
        <w:rPr>
          <w:rFonts w:ascii="Times New Roman" w:hAnsi="Times New Roman" w:cs="Times New Roman"/>
          <w:sz w:val="24"/>
          <w:szCs w:val="24"/>
        </w:rPr>
        <w:t>, institutional reforms</w:t>
      </w:r>
      <w:r w:rsidR="008B7446" w:rsidRPr="0086148A">
        <w:rPr>
          <w:rFonts w:ascii="Times New Roman" w:hAnsi="Times New Roman" w:cs="Times New Roman"/>
          <w:sz w:val="24"/>
          <w:szCs w:val="24"/>
        </w:rPr>
        <w:t xml:space="preserve"> and the establishment of a Joint Monitoring and Evaluation Commission (JMEC).</w:t>
      </w:r>
      <w:r w:rsidR="008B7446" w:rsidRPr="0086148A">
        <w:rPr>
          <w:rStyle w:val="FootnoteReference"/>
          <w:rFonts w:ascii="Times New Roman" w:hAnsi="Times New Roman" w:cs="Times New Roman"/>
          <w:sz w:val="24"/>
          <w:szCs w:val="24"/>
        </w:rPr>
        <w:footnoteReference w:id="66"/>
      </w:r>
    </w:p>
    <w:p w14:paraId="4C6054BF" w14:textId="53DA561C" w:rsidR="008B7446" w:rsidRPr="0086148A" w:rsidRDefault="00683F49" w:rsidP="00A352E7">
      <w:pPr>
        <w:jc w:val="both"/>
        <w:rPr>
          <w:rFonts w:ascii="Times New Roman" w:hAnsi="Times New Roman" w:cs="Times New Roman"/>
          <w:sz w:val="24"/>
          <w:szCs w:val="24"/>
        </w:rPr>
      </w:pPr>
      <w:r w:rsidRPr="0086148A">
        <w:rPr>
          <w:rFonts w:ascii="Times New Roman" w:hAnsi="Times New Roman" w:cs="Times New Roman"/>
          <w:sz w:val="24"/>
          <w:szCs w:val="24"/>
        </w:rPr>
        <w:t>After about a year, none of the transitional justice measures in the ARCSS had been implemented, some of which had to be implemented within six months. There were several reasons for this including the fact that the parties had signed the agreement out of pressure from the international community rather than conviction in the provisions of the agreement.</w:t>
      </w:r>
      <w:r w:rsidRPr="0086148A">
        <w:rPr>
          <w:rStyle w:val="FootnoteReference"/>
          <w:rFonts w:ascii="Times New Roman" w:hAnsi="Times New Roman" w:cs="Times New Roman"/>
          <w:sz w:val="24"/>
          <w:szCs w:val="24"/>
        </w:rPr>
        <w:footnoteReference w:id="67"/>
      </w:r>
      <w:r w:rsidRPr="0086148A">
        <w:rPr>
          <w:rFonts w:ascii="Times New Roman" w:hAnsi="Times New Roman" w:cs="Times New Roman"/>
          <w:sz w:val="24"/>
          <w:szCs w:val="24"/>
        </w:rPr>
        <w:t xml:space="preserve"> Renewed conflict in 2016 and subsequent peace negotiations culminated to the Revitalized Agreement on the Resolution of Conflict in South Sudan (R-ARCSS) in 2018 that established the Revitalized Transitional Government of National Unity (</w:t>
      </w:r>
      <w:proofErr w:type="spellStart"/>
      <w:r w:rsidRPr="0086148A">
        <w:rPr>
          <w:rFonts w:ascii="Times New Roman" w:hAnsi="Times New Roman" w:cs="Times New Roman"/>
          <w:sz w:val="24"/>
          <w:szCs w:val="24"/>
        </w:rPr>
        <w:t>RTGoNU</w:t>
      </w:r>
      <w:proofErr w:type="spellEnd"/>
      <w:r w:rsidRPr="0086148A">
        <w:rPr>
          <w:rFonts w:ascii="Times New Roman" w:hAnsi="Times New Roman" w:cs="Times New Roman"/>
          <w:sz w:val="24"/>
          <w:szCs w:val="24"/>
        </w:rPr>
        <w:t>)</w:t>
      </w:r>
      <w:r w:rsidR="00E87A70" w:rsidRPr="0086148A">
        <w:rPr>
          <w:rFonts w:ascii="Times New Roman" w:hAnsi="Times New Roman" w:cs="Times New Roman"/>
          <w:sz w:val="24"/>
          <w:szCs w:val="24"/>
        </w:rPr>
        <w:t xml:space="preserve"> and maintained the transitional justice measures set out in the ARCSS 2015</w:t>
      </w:r>
      <w:r w:rsidRPr="0086148A">
        <w:rPr>
          <w:rFonts w:ascii="Times New Roman" w:hAnsi="Times New Roman" w:cs="Times New Roman"/>
          <w:sz w:val="24"/>
          <w:szCs w:val="24"/>
        </w:rPr>
        <w:t>.</w:t>
      </w:r>
      <w:r w:rsidRPr="0086148A">
        <w:rPr>
          <w:rStyle w:val="FootnoteReference"/>
          <w:rFonts w:ascii="Times New Roman" w:hAnsi="Times New Roman" w:cs="Times New Roman"/>
          <w:sz w:val="24"/>
          <w:szCs w:val="24"/>
        </w:rPr>
        <w:footnoteReference w:id="68"/>
      </w:r>
    </w:p>
    <w:p w14:paraId="4B9A43DB" w14:textId="4794D58B" w:rsidR="00E87A70" w:rsidRPr="0086148A" w:rsidRDefault="00E87A70"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The transitional justice process is South Sudan is occurring at a time when the UPR and other international mechanisms can make a meaningful contribution to the realisation of key transitional justice goals for the state. Several of the transitional justice measures outlined here have been reinforced by various international mechanisms. The African Union Commission of Inquiry on South Sudan has proposed similar measures to </w:t>
      </w:r>
      <w:r w:rsidR="00055DC6" w:rsidRPr="0086148A">
        <w:rPr>
          <w:rFonts w:ascii="Times New Roman" w:hAnsi="Times New Roman" w:cs="Times New Roman"/>
          <w:sz w:val="24"/>
          <w:szCs w:val="24"/>
        </w:rPr>
        <w:t xml:space="preserve">achieve </w:t>
      </w:r>
      <w:r w:rsidRPr="0086148A">
        <w:rPr>
          <w:rFonts w:ascii="Times New Roman" w:hAnsi="Times New Roman" w:cs="Times New Roman"/>
          <w:sz w:val="24"/>
          <w:szCs w:val="24"/>
        </w:rPr>
        <w:t>‘</w:t>
      </w:r>
      <w:r w:rsidR="00055DC6" w:rsidRPr="0086148A">
        <w:rPr>
          <w:rFonts w:ascii="Times New Roman" w:hAnsi="Times New Roman" w:cs="Times New Roman"/>
          <w:sz w:val="24"/>
          <w:szCs w:val="24"/>
        </w:rPr>
        <w:t>healing, reconciliation, accountability and institutional reforms.</w:t>
      </w:r>
      <w:r w:rsidRPr="0086148A">
        <w:rPr>
          <w:rFonts w:ascii="Times New Roman" w:hAnsi="Times New Roman" w:cs="Times New Roman"/>
          <w:sz w:val="24"/>
          <w:szCs w:val="24"/>
        </w:rPr>
        <w:t>’</w:t>
      </w:r>
      <w:r w:rsidRPr="0086148A">
        <w:rPr>
          <w:rStyle w:val="FootnoteReference"/>
          <w:rFonts w:ascii="Times New Roman" w:hAnsi="Times New Roman" w:cs="Times New Roman"/>
          <w:sz w:val="24"/>
          <w:szCs w:val="24"/>
        </w:rPr>
        <w:footnoteReference w:id="69"/>
      </w:r>
      <w:r w:rsidRPr="0086148A">
        <w:rPr>
          <w:rFonts w:ascii="Times New Roman" w:hAnsi="Times New Roman" w:cs="Times New Roman"/>
          <w:sz w:val="24"/>
          <w:szCs w:val="24"/>
        </w:rPr>
        <w:t xml:space="preserve"> </w:t>
      </w:r>
      <w:r w:rsidR="00006933" w:rsidRPr="0086148A">
        <w:rPr>
          <w:rFonts w:ascii="Times New Roman" w:hAnsi="Times New Roman" w:cs="Times New Roman"/>
          <w:sz w:val="24"/>
          <w:szCs w:val="24"/>
        </w:rPr>
        <w:t>The Human Rights Council and the UN Security Council have both</w:t>
      </w:r>
      <w:r w:rsidR="00055DC6" w:rsidRPr="0086148A">
        <w:rPr>
          <w:rFonts w:ascii="Times New Roman" w:hAnsi="Times New Roman" w:cs="Times New Roman"/>
          <w:sz w:val="24"/>
          <w:szCs w:val="24"/>
        </w:rPr>
        <w:t xml:space="preserve"> recommended the establishment of a truth commission, hybrid court, and reparations programme as a road map for transitional justice in South Sudan.</w:t>
      </w:r>
      <w:r w:rsidR="00055DC6" w:rsidRPr="0086148A">
        <w:rPr>
          <w:rStyle w:val="FootnoteReference"/>
          <w:rFonts w:ascii="Times New Roman" w:hAnsi="Times New Roman" w:cs="Times New Roman"/>
          <w:sz w:val="24"/>
          <w:szCs w:val="24"/>
        </w:rPr>
        <w:footnoteReference w:id="70"/>
      </w:r>
      <w:r w:rsidR="00006933" w:rsidRPr="0086148A">
        <w:rPr>
          <w:rFonts w:ascii="Times New Roman" w:hAnsi="Times New Roman" w:cs="Times New Roman"/>
          <w:sz w:val="24"/>
          <w:szCs w:val="24"/>
        </w:rPr>
        <w:t xml:space="preserve"> Resolution 2625 of 15 March 2022 by the UN Security Council required South Sudan to establish a Hybrid Court for South Sudan to prosecute perpetrators of human rights violations during the conflict, including perpetrators of sexual and gender-based violence.</w:t>
      </w:r>
      <w:r w:rsidR="00006933" w:rsidRPr="0086148A">
        <w:rPr>
          <w:rStyle w:val="FootnoteReference"/>
          <w:rFonts w:ascii="Times New Roman" w:hAnsi="Times New Roman" w:cs="Times New Roman"/>
          <w:sz w:val="24"/>
          <w:szCs w:val="24"/>
        </w:rPr>
        <w:footnoteReference w:id="71"/>
      </w:r>
      <w:r w:rsidR="00C53AFB" w:rsidRPr="0086148A">
        <w:rPr>
          <w:rFonts w:ascii="Times New Roman" w:hAnsi="Times New Roman" w:cs="Times New Roman"/>
          <w:sz w:val="24"/>
          <w:szCs w:val="24"/>
        </w:rPr>
        <w:t xml:space="preserve"> </w:t>
      </w:r>
    </w:p>
    <w:p w14:paraId="38526449" w14:textId="1DBFFAB6" w:rsidR="00117756" w:rsidRPr="0086148A" w:rsidRDefault="00A210AB" w:rsidP="00A352E7">
      <w:pPr>
        <w:jc w:val="both"/>
        <w:rPr>
          <w:rFonts w:ascii="Times New Roman" w:hAnsi="Times New Roman" w:cs="Times New Roman"/>
          <w:sz w:val="24"/>
          <w:szCs w:val="24"/>
        </w:rPr>
      </w:pPr>
      <w:r w:rsidRPr="0086148A">
        <w:rPr>
          <w:rFonts w:ascii="Times New Roman" w:hAnsi="Times New Roman" w:cs="Times New Roman"/>
          <w:sz w:val="24"/>
          <w:szCs w:val="24"/>
        </w:rPr>
        <w:t>It is within the contexts above that</w:t>
      </w:r>
      <w:r w:rsidR="007917BA" w:rsidRPr="0086148A">
        <w:rPr>
          <w:rFonts w:ascii="Times New Roman" w:hAnsi="Times New Roman" w:cs="Times New Roman"/>
          <w:sz w:val="24"/>
          <w:szCs w:val="24"/>
        </w:rPr>
        <w:t xml:space="preserve"> </w:t>
      </w:r>
      <w:r w:rsidR="00C17F74" w:rsidRPr="0086148A">
        <w:rPr>
          <w:rFonts w:ascii="Times New Roman" w:hAnsi="Times New Roman" w:cs="Times New Roman"/>
          <w:sz w:val="24"/>
          <w:szCs w:val="24"/>
        </w:rPr>
        <w:t xml:space="preserve">Burundi and </w:t>
      </w:r>
      <w:r w:rsidR="00C53AFB" w:rsidRPr="0086148A">
        <w:rPr>
          <w:rFonts w:ascii="Times New Roman" w:hAnsi="Times New Roman" w:cs="Times New Roman"/>
          <w:sz w:val="24"/>
          <w:szCs w:val="24"/>
        </w:rPr>
        <w:t xml:space="preserve">South </w:t>
      </w:r>
      <w:r w:rsidR="00C17F74" w:rsidRPr="0086148A">
        <w:rPr>
          <w:rFonts w:ascii="Times New Roman" w:hAnsi="Times New Roman" w:cs="Times New Roman"/>
          <w:sz w:val="24"/>
          <w:szCs w:val="24"/>
        </w:rPr>
        <w:t>Sudan undertook the first three cycles of the UPR</w:t>
      </w:r>
      <w:r w:rsidR="008473E8" w:rsidRPr="0086148A">
        <w:rPr>
          <w:rFonts w:ascii="Times New Roman" w:hAnsi="Times New Roman" w:cs="Times New Roman"/>
          <w:sz w:val="24"/>
          <w:szCs w:val="24"/>
        </w:rPr>
        <w:t>.</w:t>
      </w:r>
      <w:r w:rsidR="00FB32C1" w:rsidRPr="0086148A">
        <w:rPr>
          <w:rFonts w:ascii="Times New Roman" w:hAnsi="Times New Roman" w:cs="Times New Roman"/>
          <w:sz w:val="24"/>
          <w:szCs w:val="24"/>
        </w:rPr>
        <w:t xml:space="preserve"> </w:t>
      </w:r>
      <w:r w:rsidR="00B15C4E" w:rsidRPr="0086148A">
        <w:rPr>
          <w:rFonts w:ascii="Times New Roman" w:hAnsi="Times New Roman" w:cs="Times New Roman"/>
          <w:sz w:val="24"/>
          <w:szCs w:val="24"/>
        </w:rPr>
        <w:t>Th</w:t>
      </w:r>
      <w:r w:rsidR="00170646" w:rsidRPr="0086148A">
        <w:rPr>
          <w:rFonts w:ascii="Times New Roman" w:hAnsi="Times New Roman" w:cs="Times New Roman"/>
          <w:sz w:val="24"/>
          <w:szCs w:val="24"/>
        </w:rPr>
        <w:t xml:space="preserve">is paper will now turn to examine the </w:t>
      </w:r>
      <w:r w:rsidR="00630570" w:rsidRPr="0086148A">
        <w:rPr>
          <w:rFonts w:ascii="Times New Roman" w:hAnsi="Times New Roman" w:cs="Times New Roman"/>
          <w:sz w:val="24"/>
          <w:szCs w:val="24"/>
        </w:rPr>
        <w:t>relationship between the UPR a</w:t>
      </w:r>
      <w:r w:rsidR="006E5ECA" w:rsidRPr="0086148A">
        <w:rPr>
          <w:rFonts w:ascii="Times New Roman" w:hAnsi="Times New Roman" w:cs="Times New Roman"/>
          <w:sz w:val="24"/>
          <w:szCs w:val="24"/>
        </w:rPr>
        <w:t xml:space="preserve">nd transitional justice, </w:t>
      </w:r>
      <w:r w:rsidR="005D3E6A" w:rsidRPr="0086148A">
        <w:rPr>
          <w:rFonts w:ascii="Times New Roman" w:hAnsi="Times New Roman" w:cs="Times New Roman"/>
          <w:sz w:val="24"/>
          <w:szCs w:val="24"/>
        </w:rPr>
        <w:t xml:space="preserve">highlighting the </w:t>
      </w:r>
      <w:r w:rsidR="00EE6090" w:rsidRPr="0086148A">
        <w:rPr>
          <w:rFonts w:ascii="Times New Roman" w:hAnsi="Times New Roman" w:cs="Times New Roman"/>
          <w:sz w:val="24"/>
          <w:szCs w:val="24"/>
        </w:rPr>
        <w:t>contribut</w:t>
      </w:r>
      <w:r w:rsidR="005D3E6A" w:rsidRPr="0086148A">
        <w:rPr>
          <w:rFonts w:ascii="Times New Roman" w:hAnsi="Times New Roman" w:cs="Times New Roman"/>
          <w:sz w:val="24"/>
          <w:szCs w:val="24"/>
        </w:rPr>
        <w:t>ions of the UPR</w:t>
      </w:r>
      <w:r w:rsidR="00EE6090" w:rsidRPr="0086148A">
        <w:rPr>
          <w:rFonts w:ascii="Times New Roman" w:hAnsi="Times New Roman" w:cs="Times New Roman"/>
          <w:sz w:val="24"/>
          <w:szCs w:val="24"/>
        </w:rPr>
        <w:t xml:space="preserve"> to reinforc</w:t>
      </w:r>
      <w:r w:rsidR="005D3E6A" w:rsidRPr="0086148A">
        <w:rPr>
          <w:rFonts w:ascii="Times New Roman" w:hAnsi="Times New Roman" w:cs="Times New Roman"/>
          <w:sz w:val="24"/>
          <w:szCs w:val="24"/>
        </w:rPr>
        <w:t>ing</w:t>
      </w:r>
      <w:r w:rsidR="00EE6090" w:rsidRPr="0086148A">
        <w:rPr>
          <w:rFonts w:ascii="Times New Roman" w:hAnsi="Times New Roman" w:cs="Times New Roman"/>
          <w:sz w:val="24"/>
          <w:szCs w:val="24"/>
        </w:rPr>
        <w:t xml:space="preserve"> the </w:t>
      </w:r>
      <w:r w:rsidR="005E1B2C" w:rsidRPr="0086148A">
        <w:rPr>
          <w:rFonts w:ascii="Times New Roman" w:hAnsi="Times New Roman" w:cs="Times New Roman"/>
          <w:sz w:val="24"/>
          <w:szCs w:val="24"/>
        </w:rPr>
        <w:t>six</w:t>
      </w:r>
      <w:r w:rsidR="003B5721" w:rsidRPr="0086148A">
        <w:rPr>
          <w:rFonts w:ascii="Times New Roman" w:hAnsi="Times New Roman" w:cs="Times New Roman"/>
          <w:sz w:val="24"/>
          <w:szCs w:val="24"/>
        </w:rPr>
        <w:t xml:space="preserve"> core categories for transitional justice </w:t>
      </w:r>
      <w:r w:rsidR="009A2B5B" w:rsidRPr="0086148A">
        <w:rPr>
          <w:rFonts w:ascii="Times New Roman" w:hAnsi="Times New Roman" w:cs="Times New Roman"/>
          <w:sz w:val="24"/>
          <w:szCs w:val="24"/>
        </w:rPr>
        <w:t>defined</w:t>
      </w:r>
      <w:r w:rsidR="003B5721" w:rsidRPr="0086148A">
        <w:rPr>
          <w:rFonts w:ascii="Times New Roman" w:hAnsi="Times New Roman" w:cs="Times New Roman"/>
          <w:sz w:val="24"/>
          <w:szCs w:val="24"/>
        </w:rPr>
        <w:t xml:space="preserve"> earlier in this paper a</w:t>
      </w:r>
      <w:r w:rsidR="009A2B5B" w:rsidRPr="0086148A">
        <w:rPr>
          <w:rFonts w:ascii="Times New Roman" w:hAnsi="Times New Roman" w:cs="Times New Roman"/>
          <w:sz w:val="24"/>
          <w:szCs w:val="24"/>
        </w:rPr>
        <w:t xml:space="preserve">nd contextualised in this section. </w:t>
      </w:r>
    </w:p>
    <w:p w14:paraId="5E1FA38E" w14:textId="5C21FB54" w:rsidR="008D4DC9" w:rsidRPr="0086148A" w:rsidRDefault="00667C1E" w:rsidP="00A352E7">
      <w:pPr>
        <w:pStyle w:val="ListParagraph"/>
        <w:numPr>
          <w:ilvl w:val="0"/>
          <w:numId w:val="1"/>
        </w:numPr>
        <w:jc w:val="both"/>
        <w:rPr>
          <w:rFonts w:ascii="Times New Roman" w:hAnsi="Times New Roman" w:cs="Times New Roman"/>
          <w:b/>
          <w:bCs/>
          <w:sz w:val="24"/>
          <w:szCs w:val="24"/>
        </w:rPr>
      </w:pPr>
      <w:r w:rsidRPr="0086148A">
        <w:rPr>
          <w:rFonts w:ascii="Times New Roman" w:hAnsi="Times New Roman" w:cs="Times New Roman"/>
          <w:b/>
          <w:bCs/>
          <w:sz w:val="24"/>
          <w:szCs w:val="24"/>
        </w:rPr>
        <w:t>Analysis and Findings</w:t>
      </w:r>
      <w:r w:rsidR="00630570" w:rsidRPr="0086148A">
        <w:rPr>
          <w:rFonts w:ascii="Times New Roman" w:hAnsi="Times New Roman" w:cs="Times New Roman"/>
          <w:b/>
          <w:bCs/>
          <w:sz w:val="24"/>
          <w:szCs w:val="24"/>
        </w:rPr>
        <w:t xml:space="preserve">: </w:t>
      </w:r>
      <w:r w:rsidR="008D4DC9" w:rsidRPr="0086148A">
        <w:rPr>
          <w:rFonts w:ascii="Times New Roman" w:hAnsi="Times New Roman" w:cs="Times New Roman"/>
          <w:b/>
          <w:bCs/>
          <w:sz w:val="24"/>
          <w:szCs w:val="24"/>
        </w:rPr>
        <w:t xml:space="preserve">Relationship </w:t>
      </w:r>
      <w:r w:rsidR="00C53AFB" w:rsidRPr="0086148A">
        <w:rPr>
          <w:rFonts w:ascii="Times New Roman" w:hAnsi="Times New Roman" w:cs="Times New Roman"/>
          <w:b/>
          <w:bCs/>
          <w:sz w:val="24"/>
          <w:szCs w:val="24"/>
        </w:rPr>
        <w:t>between</w:t>
      </w:r>
      <w:r w:rsidR="008D4DC9" w:rsidRPr="0086148A">
        <w:rPr>
          <w:rFonts w:ascii="Times New Roman" w:hAnsi="Times New Roman" w:cs="Times New Roman"/>
          <w:b/>
          <w:bCs/>
          <w:sz w:val="24"/>
          <w:szCs w:val="24"/>
        </w:rPr>
        <w:t xml:space="preserve"> the UPR and Transitional Jus</w:t>
      </w:r>
      <w:r w:rsidR="00280085" w:rsidRPr="0086148A">
        <w:rPr>
          <w:rFonts w:ascii="Times New Roman" w:hAnsi="Times New Roman" w:cs="Times New Roman"/>
          <w:b/>
          <w:bCs/>
          <w:sz w:val="24"/>
          <w:szCs w:val="24"/>
        </w:rPr>
        <w:t>tice Measures</w:t>
      </w:r>
    </w:p>
    <w:p w14:paraId="17BA4895" w14:textId="410314C9" w:rsidR="00DE223C" w:rsidRPr="0086148A" w:rsidRDefault="000C62A6"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This section </w:t>
      </w:r>
      <w:r w:rsidR="002B3FB2" w:rsidRPr="0086148A">
        <w:rPr>
          <w:rFonts w:ascii="Times New Roman" w:hAnsi="Times New Roman" w:cs="Times New Roman"/>
          <w:sz w:val="24"/>
          <w:szCs w:val="24"/>
        </w:rPr>
        <w:t xml:space="preserve">engages with the three key questions raised by this </w:t>
      </w:r>
      <w:r w:rsidR="009C1CAC" w:rsidRPr="0086148A">
        <w:rPr>
          <w:rFonts w:ascii="Times New Roman" w:hAnsi="Times New Roman" w:cs="Times New Roman"/>
          <w:sz w:val="24"/>
          <w:szCs w:val="24"/>
        </w:rPr>
        <w:t xml:space="preserve">chapter - (1) How prominent was transitional justice goals in the UPR’s recommendations? (2) What was the distribution of recommendations between different transitional justice issues? </w:t>
      </w:r>
      <w:r w:rsidR="00A4604E" w:rsidRPr="0086148A">
        <w:rPr>
          <w:rFonts w:ascii="Times New Roman" w:hAnsi="Times New Roman" w:cs="Times New Roman"/>
          <w:sz w:val="24"/>
          <w:szCs w:val="24"/>
        </w:rPr>
        <w:t>a</w:t>
      </w:r>
      <w:r w:rsidR="007F03A0" w:rsidRPr="0086148A">
        <w:rPr>
          <w:rFonts w:ascii="Times New Roman" w:hAnsi="Times New Roman" w:cs="Times New Roman"/>
          <w:sz w:val="24"/>
          <w:szCs w:val="24"/>
        </w:rPr>
        <w:t xml:space="preserve">nd </w:t>
      </w:r>
      <w:r w:rsidR="00A4604E" w:rsidRPr="0086148A">
        <w:rPr>
          <w:rFonts w:ascii="Times New Roman" w:hAnsi="Times New Roman" w:cs="Times New Roman"/>
          <w:sz w:val="24"/>
          <w:szCs w:val="24"/>
        </w:rPr>
        <w:t>(3) How specific, useful, and measurable were the recommendations?</w:t>
      </w:r>
    </w:p>
    <w:p w14:paraId="05CB00E0" w14:textId="5E27797A" w:rsidR="00F12542" w:rsidRPr="0086148A" w:rsidRDefault="00A929F2" w:rsidP="00A352E7">
      <w:pPr>
        <w:pStyle w:val="ListParagraph"/>
        <w:numPr>
          <w:ilvl w:val="1"/>
          <w:numId w:val="1"/>
        </w:numPr>
        <w:ind w:left="1134" w:hanging="774"/>
        <w:jc w:val="both"/>
        <w:rPr>
          <w:rFonts w:ascii="Times New Roman" w:hAnsi="Times New Roman" w:cs="Times New Roman"/>
          <w:b/>
          <w:bCs/>
          <w:sz w:val="24"/>
          <w:szCs w:val="24"/>
        </w:rPr>
      </w:pPr>
      <w:r w:rsidRPr="0086148A">
        <w:rPr>
          <w:rFonts w:ascii="Times New Roman" w:hAnsi="Times New Roman" w:cs="Times New Roman"/>
          <w:b/>
          <w:bCs/>
          <w:sz w:val="24"/>
          <w:szCs w:val="24"/>
        </w:rPr>
        <w:t xml:space="preserve">The frequency </w:t>
      </w:r>
      <w:r w:rsidR="00FE3A73" w:rsidRPr="0086148A">
        <w:rPr>
          <w:rFonts w:ascii="Times New Roman" w:hAnsi="Times New Roman" w:cs="Times New Roman"/>
          <w:b/>
          <w:bCs/>
          <w:sz w:val="24"/>
          <w:szCs w:val="24"/>
        </w:rPr>
        <w:t>of reference to transitional justice measures</w:t>
      </w:r>
    </w:p>
    <w:p w14:paraId="6D73D416" w14:textId="569F732C" w:rsidR="002E1202" w:rsidRPr="0086148A" w:rsidRDefault="006D6A1C" w:rsidP="00A352E7">
      <w:pPr>
        <w:jc w:val="both"/>
        <w:rPr>
          <w:rFonts w:ascii="Times New Roman" w:hAnsi="Times New Roman" w:cs="Times New Roman"/>
          <w:sz w:val="24"/>
          <w:szCs w:val="24"/>
        </w:rPr>
      </w:pPr>
      <w:r w:rsidRPr="0086148A">
        <w:rPr>
          <w:rFonts w:ascii="Times New Roman" w:hAnsi="Times New Roman" w:cs="Times New Roman"/>
          <w:bCs/>
          <w:sz w:val="24"/>
          <w:szCs w:val="24"/>
        </w:rPr>
        <w:lastRenderedPageBreak/>
        <w:t>An important indicator when determining the value of the UPR for a particular rights issue is the frequency in which the human ri</w:t>
      </w:r>
      <w:r w:rsidR="00BB5987" w:rsidRPr="0086148A">
        <w:rPr>
          <w:rFonts w:ascii="Times New Roman" w:hAnsi="Times New Roman" w:cs="Times New Roman"/>
          <w:bCs/>
          <w:sz w:val="24"/>
          <w:szCs w:val="24"/>
        </w:rPr>
        <w:t xml:space="preserve">ghts issue is referenced by </w:t>
      </w:r>
      <w:r w:rsidRPr="0086148A">
        <w:rPr>
          <w:rFonts w:ascii="Times New Roman" w:hAnsi="Times New Roman" w:cs="Times New Roman"/>
          <w:bCs/>
          <w:sz w:val="24"/>
          <w:szCs w:val="24"/>
        </w:rPr>
        <w:t xml:space="preserve">UPR </w:t>
      </w:r>
      <w:r w:rsidR="00BB5987" w:rsidRPr="0086148A">
        <w:rPr>
          <w:rFonts w:ascii="Times New Roman" w:hAnsi="Times New Roman" w:cs="Times New Roman"/>
          <w:bCs/>
          <w:sz w:val="24"/>
          <w:szCs w:val="24"/>
        </w:rPr>
        <w:t xml:space="preserve">state </w:t>
      </w:r>
      <w:r w:rsidRPr="0086148A">
        <w:rPr>
          <w:rFonts w:ascii="Times New Roman" w:hAnsi="Times New Roman" w:cs="Times New Roman"/>
          <w:bCs/>
          <w:sz w:val="24"/>
          <w:szCs w:val="24"/>
        </w:rPr>
        <w:t>recommendations.</w:t>
      </w:r>
      <w:r w:rsidR="00F96086" w:rsidRPr="0086148A">
        <w:rPr>
          <w:rFonts w:ascii="Times New Roman" w:hAnsi="Times New Roman" w:cs="Times New Roman"/>
          <w:bCs/>
          <w:sz w:val="24"/>
          <w:szCs w:val="24"/>
        </w:rPr>
        <w:t xml:space="preserve"> In 2016, the Special Rapporteur on extreme poverty and human rights</w:t>
      </w:r>
      <w:r w:rsidRPr="0086148A">
        <w:rPr>
          <w:rFonts w:ascii="Times New Roman" w:hAnsi="Times New Roman" w:cs="Times New Roman"/>
          <w:bCs/>
          <w:sz w:val="24"/>
          <w:szCs w:val="24"/>
        </w:rPr>
        <w:t xml:space="preserve"> </w:t>
      </w:r>
      <w:r w:rsidR="00F96086" w:rsidRPr="0086148A">
        <w:rPr>
          <w:rFonts w:ascii="Times New Roman" w:hAnsi="Times New Roman" w:cs="Times New Roman"/>
          <w:bCs/>
          <w:sz w:val="24"/>
          <w:szCs w:val="24"/>
        </w:rPr>
        <w:t xml:space="preserve">raised concerns on the quantity of recommendations </w:t>
      </w:r>
      <w:r w:rsidR="00D72DC7" w:rsidRPr="0086148A">
        <w:rPr>
          <w:rFonts w:ascii="Times New Roman" w:hAnsi="Times New Roman" w:cs="Times New Roman"/>
          <w:bCs/>
          <w:sz w:val="24"/>
          <w:szCs w:val="24"/>
        </w:rPr>
        <w:t>made in the UPR process on socio-economic rights, viewing the limited attention given to socio economic rights as an indication states attached limited value to the right.</w:t>
      </w:r>
      <w:r w:rsidR="00D72DC7" w:rsidRPr="0086148A">
        <w:rPr>
          <w:rStyle w:val="FootnoteReference"/>
          <w:rFonts w:ascii="Times New Roman" w:hAnsi="Times New Roman" w:cs="Times New Roman"/>
          <w:bCs/>
          <w:sz w:val="24"/>
          <w:szCs w:val="24"/>
        </w:rPr>
        <w:footnoteReference w:id="72"/>
      </w:r>
      <w:r w:rsidR="00D72DC7" w:rsidRPr="0086148A">
        <w:rPr>
          <w:rFonts w:ascii="Times New Roman" w:hAnsi="Times New Roman" w:cs="Times New Roman"/>
          <w:bCs/>
          <w:sz w:val="24"/>
          <w:szCs w:val="24"/>
        </w:rPr>
        <w:t xml:space="preserve"> However, Judith Bueno De Mesquita found that </w:t>
      </w:r>
      <w:r w:rsidR="00541E2F" w:rsidRPr="0086148A">
        <w:rPr>
          <w:rFonts w:ascii="Times New Roman" w:hAnsi="Times New Roman" w:cs="Times New Roman"/>
          <w:bCs/>
          <w:sz w:val="24"/>
          <w:szCs w:val="24"/>
        </w:rPr>
        <w:t xml:space="preserve">recommendations on </w:t>
      </w:r>
      <w:r w:rsidR="00D72DC7" w:rsidRPr="0086148A">
        <w:rPr>
          <w:rFonts w:ascii="Times New Roman" w:hAnsi="Times New Roman" w:cs="Times New Roman"/>
          <w:bCs/>
          <w:sz w:val="24"/>
          <w:szCs w:val="24"/>
        </w:rPr>
        <w:t>the right to health has been more prominent</w:t>
      </w:r>
      <w:r w:rsidR="00541E2F" w:rsidRPr="0086148A">
        <w:rPr>
          <w:rFonts w:ascii="Times New Roman" w:hAnsi="Times New Roman" w:cs="Times New Roman"/>
          <w:bCs/>
          <w:sz w:val="24"/>
          <w:szCs w:val="24"/>
        </w:rPr>
        <w:t xml:space="preserve"> </w:t>
      </w:r>
      <w:r w:rsidR="00D72DC7" w:rsidRPr="0086148A">
        <w:rPr>
          <w:rFonts w:ascii="Times New Roman" w:hAnsi="Times New Roman" w:cs="Times New Roman"/>
          <w:bCs/>
          <w:sz w:val="24"/>
          <w:szCs w:val="24"/>
        </w:rPr>
        <w:t>in the UPR process that previous findings indicated</w:t>
      </w:r>
      <w:r w:rsidR="00541E2F" w:rsidRPr="0086148A">
        <w:rPr>
          <w:rFonts w:ascii="Times New Roman" w:hAnsi="Times New Roman" w:cs="Times New Roman"/>
          <w:bCs/>
          <w:sz w:val="24"/>
          <w:szCs w:val="24"/>
        </w:rPr>
        <w:t>, and represented 22% and 25% of the total recommendations made during the first two cycles of the UPR.</w:t>
      </w:r>
      <w:r w:rsidR="00D72DC7" w:rsidRPr="0086148A">
        <w:rPr>
          <w:rStyle w:val="FootnoteReference"/>
          <w:rFonts w:ascii="Times New Roman" w:hAnsi="Times New Roman" w:cs="Times New Roman"/>
          <w:bCs/>
          <w:sz w:val="24"/>
          <w:szCs w:val="24"/>
        </w:rPr>
        <w:footnoteReference w:id="73"/>
      </w:r>
      <w:r w:rsidR="00541E2F" w:rsidRPr="0086148A">
        <w:rPr>
          <w:rFonts w:ascii="Times New Roman" w:hAnsi="Times New Roman" w:cs="Times New Roman"/>
          <w:bCs/>
          <w:sz w:val="24"/>
          <w:szCs w:val="24"/>
        </w:rPr>
        <w:t xml:space="preserve"> </w:t>
      </w:r>
      <w:r w:rsidR="00D2364F" w:rsidRPr="0086148A">
        <w:rPr>
          <w:rFonts w:ascii="Times New Roman" w:hAnsi="Times New Roman" w:cs="Times New Roman"/>
          <w:bCs/>
          <w:sz w:val="24"/>
          <w:szCs w:val="24"/>
        </w:rPr>
        <w:t>Other studies have engaged in examining the quantity of recommendations made by states in the UPR process to gauge the prominence and level of engagement by states with particular human rights issues.</w:t>
      </w:r>
      <w:r w:rsidR="00D2364F" w:rsidRPr="0086148A">
        <w:rPr>
          <w:rStyle w:val="FootnoteReference"/>
          <w:rFonts w:ascii="Times New Roman" w:hAnsi="Times New Roman" w:cs="Times New Roman"/>
          <w:bCs/>
          <w:sz w:val="24"/>
          <w:szCs w:val="24"/>
        </w:rPr>
        <w:footnoteReference w:id="74"/>
      </w:r>
      <w:r w:rsidR="00D2364F" w:rsidRPr="0086148A">
        <w:rPr>
          <w:rFonts w:ascii="Times New Roman" w:hAnsi="Times New Roman" w:cs="Times New Roman"/>
          <w:bCs/>
          <w:sz w:val="24"/>
          <w:szCs w:val="24"/>
        </w:rPr>
        <w:t xml:space="preserve"> This paper makes the first attempt to undertake a similar analysis in relation to transitional justice. </w:t>
      </w:r>
    </w:p>
    <w:p w14:paraId="7D6ACBCD" w14:textId="53028FEB" w:rsidR="00C94C2A" w:rsidRPr="0086148A" w:rsidRDefault="00CF16D0" w:rsidP="00A352E7">
      <w:pPr>
        <w:jc w:val="both"/>
        <w:rPr>
          <w:rFonts w:ascii="Times New Roman" w:hAnsi="Times New Roman" w:cs="Times New Roman"/>
          <w:bCs/>
          <w:sz w:val="24"/>
          <w:szCs w:val="24"/>
        </w:rPr>
      </w:pPr>
      <w:r w:rsidRPr="0086148A">
        <w:rPr>
          <w:rFonts w:ascii="Times New Roman" w:hAnsi="Times New Roman" w:cs="Times New Roman"/>
          <w:bCs/>
          <w:sz w:val="24"/>
          <w:szCs w:val="24"/>
        </w:rPr>
        <w:t>UPR recommendations were classified as ‘transitional justice related’ if they addressed Criminal Accountability</w:t>
      </w:r>
      <w:r w:rsidR="00E60C88" w:rsidRPr="0086148A">
        <w:rPr>
          <w:rFonts w:ascii="Times New Roman" w:hAnsi="Times New Roman" w:cs="Times New Roman"/>
          <w:bCs/>
          <w:sz w:val="24"/>
          <w:szCs w:val="24"/>
        </w:rPr>
        <w:t xml:space="preserve"> (</w:t>
      </w:r>
      <w:r w:rsidRPr="0086148A">
        <w:rPr>
          <w:rFonts w:ascii="Times New Roman" w:hAnsi="Times New Roman" w:cs="Times New Roman"/>
          <w:bCs/>
          <w:sz w:val="24"/>
          <w:szCs w:val="24"/>
        </w:rPr>
        <w:t xml:space="preserve">including </w:t>
      </w:r>
      <w:r w:rsidR="00E60C88" w:rsidRPr="0086148A">
        <w:rPr>
          <w:rFonts w:ascii="Times New Roman" w:hAnsi="Times New Roman" w:cs="Times New Roman"/>
          <w:bCs/>
          <w:sz w:val="24"/>
          <w:szCs w:val="24"/>
        </w:rPr>
        <w:t>p</w:t>
      </w:r>
      <w:r w:rsidRPr="0086148A">
        <w:rPr>
          <w:rFonts w:ascii="Times New Roman" w:hAnsi="Times New Roman" w:cs="Times New Roman"/>
          <w:bCs/>
          <w:sz w:val="24"/>
          <w:szCs w:val="24"/>
        </w:rPr>
        <w:t>rosecutions and engagement with the ICC</w:t>
      </w:r>
      <w:r w:rsidR="00E60C88" w:rsidRPr="0086148A">
        <w:rPr>
          <w:rFonts w:ascii="Times New Roman" w:hAnsi="Times New Roman" w:cs="Times New Roman"/>
          <w:bCs/>
          <w:sz w:val="24"/>
          <w:szCs w:val="24"/>
        </w:rPr>
        <w:t>)</w:t>
      </w:r>
      <w:r w:rsidRPr="0086148A">
        <w:rPr>
          <w:rFonts w:ascii="Times New Roman" w:hAnsi="Times New Roman" w:cs="Times New Roman"/>
          <w:bCs/>
          <w:sz w:val="24"/>
          <w:szCs w:val="24"/>
        </w:rPr>
        <w:t>; Truth Commissions or Commission of Inquiry; Return and Reintegration; Reparations; Constitutional, Legal and Institutional Reform; and Peace and Reconciliation.  An additional category</w:t>
      </w:r>
      <w:r w:rsidR="006B6CC2" w:rsidRPr="0086148A">
        <w:rPr>
          <w:rFonts w:ascii="Times New Roman" w:hAnsi="Times New Roman" w:cs="Times New Roman"/>
          <w:bCs/>
          <w:sz w:val="24"/>
          <w:szCs w:val="24"/>
        </w:rPr>
        <w:t xml:space="preserve"> was created</w:t>
      </w:r>
      <w:r w:rsidRPr="0086148A">
        <w:rPr>
          <w:rFonts w:ascii="Times New Roman" w:hAnsi="Times New Roman" w:cs="Times New Roman"/>
          <w:bCs/>
          <w:sz w:val="24"/>
          <w:szCs w:val="24"/>
        </w:rPr>
        <w:t xml:space="preserve"> titled ‘General Reference to transitional justice and others’ to capture recommendations that called for the implementation of transitional justice more generally, without referring to any specific transitional justice measure. </w:t>
      </w:r>
      <w:r w:rsidR="00D00F14" w:rsidRPr="0086148A">
        <w:rPr>
          <w:rFonts w:ascii="Times New Roman" w:hAnsi="Times New Roman" w:cs="Times New Roman"/>
          <w:bCs/>
          <w:sz w:val="24"/>
          <w:szCs w:val="24"/>
        </w:rPr>
        <w:t>Fourteen recommendations were coded twice as they reference two of the transitional justice measures. For example South Africa recommended for South Sudan to ‘[e]</w:t>
      </w:r>
      <w:proofErr w:type="spellStart"/>
      <w:r w:rsidR="00D00F14" w:rsidRPr="0086148A">
        <w:rPr>
          <w:rFonts w:ascii="Times New Roman" w:hAnsi="Times New Roman" w:cs="Times New Roman"/>
          <w:bCs/>
          <w:sz w:val="24"/>
          <w:szCs w:val="24"/>
        </w:rPr>
        <w:t>xpedite</w:t>
      </w:r>
      <w:proofErr w:type="spellEnd"/>
      <w:r w:rsidR="00D00F14" w:rsidRPr="0086148A">
        <w:rPr>
          <w:rFonts w:ascii="Times New Roman" w:hAnsi="Times New Roman" w:cs="Times New Roman"/>
          <w:bCs/>
          <w:sz w:val="24"/>
          <w:szCs w:val="24"/>
        </w:rPr>
        <w:t xml:space="preserve"> the establishment and the operationalization of the Hybrid Court for South Sudan and the Commission for Truth, Reconciliation and Healing to ensure justice, accountability and healing.’</w:t>
      </w:r>
      <w:r w:rsidR="00D00F14" w:rsidRPr="0086148A">
        <w:rPr>
          <w:rStyle w:val="FootnoteReference"/>
          <w:rFonts w:ascii="Times New Roman" w:hAnsi="Times New Roman" w:cs="Times New Roman"/>
          <w:bCs/>
          <w:sz w:val="24"/>
          <w:szCs w:val="24"/>
        </w:rPr>
        <w:footnoteReference w:id="75"/>
      </w:r>
      <w:r w:rsidR="009A61D2" w:rsidRPr="0086148A">
        <w:rPr>
          <w:rFonts w:ascii="Times New Roman" w:hAnsi="Times New Roman" w:cs="Times New Roman"/>
          <w:bCs/>
          <w:sz w:val="24"/>
          <w:szCs w:val="24"/>
        </w:rPr>
        <w:t>- This recommendation was tagged</w:t>
      </w:r>
      <w:r w:rsidR="00437909" w:rsidRPr="0086148A">
        <w:rPr>
          <w:rFonts w:ascii="Times New Roman" w:hAnsi="Times New Roman" w:cs="Times New Roman"/>
          <w:bCs/>
          <w:sz w:val="24"/>
          <w:szCs w:val="24"/>
        </w:rPr>
        <w:t xml:space="preserve"> as</w:t>
      </w:r>
      <w:r w:rsidR="009A61D2" w:rsidRPr="0086148A">
        <w:rPr>
          <w:rFonts w:ascii="Times New Roman" w:hAnsi="Times New Roman" w:cs="Times New Roman"/>
          <w:bCs/>
          <w:sz w:val="24"/>
          <w:szCs w:val="24"/>
        </w:rPr>
        <w:t xml:space="preserve"> both </w:t>
      </w:r>
      <w:r w:rsidR="007B08CC" w:rsidRPr="0086148A">
        <w:rPr>
          <w:rFonts w:ascii="Times New Roman" w:hAnsi="Times New Roman" w:cs="Times New Roman"/>
          <w:bCs/>
          <w:sz w:val="24"/>
          <w:szCs w:val="24"/>
        </w:rPr>
        <w:t>‘</w:t>
      </w:r>
      <w:r w:rsidR="00437909" w:rsidRPr="0086148A">
        <w:rPr>
          <w:rFonts w:ascii="Times New Roman" w:hAnsi="Times New Roman" w:cs="Times New Roman"/>
          <w:bCs/>
          <w:sz w:val="24"/>
          <w:szCs w:val="24"/>
        </w:rPr>
        <w:t>Criminal Accountability’ and ‘Truth Commission’</w:t>
      </w:r>
      <w:r w:rsidR="00047EFD" w:rsidRPr="0086148A">
        <w:rPr>
          <w:rFonts w:ascii="Times New Roman" w:hAnsi="Times New Roman" w:cs="Times New Roman"/>
          <w:bCs/>
          <w:sz w:val="24"/>
          <w:szCs w:val="24"/>
        </w:rPr>
        <w:t>.</w:t>
      </w:r>
      <w:r w:rsidR="00D00F14" w:rsidRPr="0086148A">
        <w:rPr>
          <w:rFonts w:ascii="Times New Roman" w:hAnsi="Times New Roman" w:cs="Times New Roman"/>
          <w:bCs/>
          <w:sz w:val="24"/>
          <w:szCs w:val="24"/>
        </w:rPr>
        <w:t xml:space="preserve"> Only recommendations that clearly call</w:t>
      </w:r>
      <w:r w:rsidR="00536F2C" w:rsidRPr="0086148A">
        <w:rPr>
          <w:rFonts w:ascii="Times New Roman" w:hAnsi="Times New Roman" w:cs="Times New Roman"/>
          <w:bCs/>
          <w:sz w:val="24"/>
          <w:szCs w:val="24"/>
        </w:rPr>
        <w:t>ed</w:t>
      </w:r>
      <w:r w:rsidR="00D00F14" w:rsidRPr="0086148A">
        <w:rPr>
          <w:rFonts w:ascii="Times New Roman" w:hAnsi="Times New Roman" w:cs="Times New Roman"/>
          <w:bCs/>
          <w:sz w:val="24"/>
          <w:szCs w:val="24"/>
        </w:rPr>
        <w:t xml:space="preserve"> for prosecution, punishment, cooperation with the ICC, ratification of ICC statute were tagged under ‘Criminal Accountability’. Recommendations only calling for investigations were not included. </w:t>
      </w:r>
      <w:r w:rsidR="00C94C2A" w:rsidRPr="0086148A">
        <w:rPr>
          <w:rFonts w:ascii="Times New Roman" w:hAnsi="Times New Roman" w:cs="Times New Roman"/>
          <w:bCs/>
          <w:sz w:val="24"/>
          <w:szCs w:val="24"/>
        </w:rPr>
        <w:t xml:space="preserve">Recommendations were extracted directly from the relevant </w:t>
      </w:r>
      <w:r w:rsidR="002365CA" w:rsidRPr="0086148A">
        <w:rPr>
          <w:rFonts w:ascii="Times New Roman" w:hAnsi="Times New Roman" w:cs="Times New Roman"/>
          <w:bCs/>
          <w:sz w:val="24"/>
          <w:szCs w:val="24"/>
        </w:rPr>
        <w:t>r</w:t>
      </w:r>
      <w:r w:rsidR="00C94C2A" w:rsidRPr="0086148A">
        <w:rPr>
          <w:rFonts w:ascii="Times New Roman" w:hAnsi="Times New Roman" w:cs="Times New Roman"/>
          <w:bCs/>
          <w:sz w:val="24"/>
          <w:szCs w:val="24"/>
        </w:rPr>
        <w:t>eport of the Working Group on the Universal Periodic Review.</w:t>
      </w:r>
    </w:p>
    <w:p w14:paraId="243DD331" w14:textId="472C8DCC" w:rsidR="00F935CF" w:rsidRPr="0086148A" w:rsidRDefault="0095355B" w:rsidP="00A352E7">
      <w:pPr>
        <w:ind w:left="-851" w:right="-755"/>
        <w:jc w:val="both"/>
        <w:rPr>
          <w:rFonts w:ascii="Times New Roman" w:hAnsi="Times New Roman" w:cs="Times New Roman"/>
          <w:bCs/>
          <w:sz w:val="24"/>
          <w:szCs w:val="24"/>
        </w:rPr>
      </w:pPr>
      <w:r w:rsidRPr="0086148A">
        <w:rPr>
          <w:noProof/>
          <w:lang w:eastAsia="en-GB"/>
        </w:rPr>
        <w:lastRenderedPageBreak/>
        <w:drawing>
          <wp:inline distT="0" distB="0" distL="0" distR="0" wp14:anchorId="7B02C49E" wp14:editId="74B83308">
            <wp:extent cx="3371850" cy="4258945"/>
            <wp:effectExtent l="0" t="0" r="0" b="8255"/>
            <wp:docPr id="1" name="Chart 1">
              <a:extLst xmlns:a="http://schemas.openxmlformats.org/drawingml/2006/main">
                <a:ext uri="{FF2B5EF4-FFF2-40B4-BE49-F238E27FC236}">
                  <a16:creationId xmlns:a16="http://schemas.microsoft.com/office/drawing/2014/main" id="{8936524E-06DE-519D-EDAF-7C4E40536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44256" w:rsidRPr="0086148A">
        <w:rPr>
          <w:noProof/>
          <w:lang w:eastAsia="en-GB"/>
        </w:rPr>
        <w:drawing>
          <wp:inline distT="0" distB="0" distL="0" distR="0" wp14:anchorId="1348B416" wp14:editId="649A9799">
            <wp:extent cx="3346450" cy="4260850"/>
            <wp:effectExtent l="0" t="0" r="6350" b="6350"/>
            <wp:docPr id="3" name="Chart 3">
              <a:extLst xmlns:a="http://schemas.openxmlformats.org/drawingml/2006/main">
                <a:ext uri="{FF2B5EF4-FFF2-40B4-BE49-F238E27FC236}">
                  <a16:creationId xmlns:a16="http://schemas.microsoft.com/office/drawing/2014/main" id="{DF199E35-84E0-0FFF-3F23-31EF71264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7462A9" w14:textId="4A946CAD" w:rsidR="00C94C2A" w:rsidRPr="0086148A" w:rsidRDefault="00C94C2A" w:rsidP="00A352E7">
      <w:pPr>
        <w:jc w:val="both"/>
        <w:rPr>
          <w:rFonts w:ascii="Times New Roman" w:hAnsi="Times New Roman" w:cs="Times New Roman"/>
          <w:bCs/>
          <w:sz w:val="24"/>
          <w:szCs w:val="24"/>
        </w:rPr>
      </w:pPr>
    </w:p>
    <w:p w14:paraId="6FD5046B" w14:textId="0DFE1EBE" w:rsidR="0013489D" w:rsidRPr="0086148A" w:rsidRDefault="00535D45" w:rsidP="00A352E7">
      <w:pPr>
        <w:jc w:val="both"/>
        <w:rPr>
          <w:rFonts w:ascii="Times New Roman" w:hAnsi="Times New Roman" w:cs="Times New Roman"/>
          <w:bCs/>
          <w:sz w:val="24"/>
          <w:szCs w:val="24"/>
        </w:rPr>
      </w:pPr>
      <w:r w:rsidRPr="0086148A">
        <w:rPr>
          <w:rFonts w:ascii="Times New Roman" w:hAnsi="Times New Roman" w:cs="Times New Roman"/>
          <w:bCs/>
          <w:sz w:val="24"/>
          <w:szCs w:val="24"/>
        </w:rPr>
        <w:t>During the first cycle of the UPR, at least 26% (13/51) of the recommendations made to Bu</w:t>
      </w:r>
      <w:r w:rsidR="00CA44C2" w:rsidRPr="0086148A">
        <w:rPr>
          <w:rFonts w:ascii="Times New Roman" w:hAnsi="Times New Roman" w:cs="Times New Roman"/>
          <w:bCs/>
          <w:sz w:val="24"/>
          <w:szCs w:val="24"/>
        </w:rPr>
        <w:t>rundi</w:t>
      </w:r>
      <w:r w:rsidR="000651E8" w:rsidRPr="0086148A">
        <w:rPr>
          <w:rFonts w:ascii="Times New Roman" w:hAnsi="Times New Roman" w:cs="Times New Roman"/>
          <w:bCs/>
          <w:sz w:val="24"/>
          <w:szCs w:val="24"/>
        </w:rPr>
        <w:t xml:space="preserve"> (see Figure 1)</w:t>
      </w:r>
      <w:r w:rsidR="008C0C73" w:rsidRPr="0086148A">
        <w:rPr>
          <w:rFonts w:ascii="Times New Roman" w:hAnsi="Times New Roman" w:cs="Times New Roman"/>
          <w:bCs/>
          <w:sz w:val="24"/>
          <w:szCs w:val="24"/>
        </w:rPr>
        <w:t xml:space="preserve"> were on transitional justice</w:t>
      </w:r>
      <w:r w:rsidR="00CA44C2" w:rsidRPr="0086148A">
        <w:rPr>
          <w:rFonts w:ascii="Times New Roman" w:hAnsi="Times New Roman" w:cs="Times New Roman"/>
          <w:bCs/>
          <w:sz w:val="24"/>
          <w:szCs w:val="24"/>
        </w:rPr>
        <w:t>. This number dropped significantly to 18</w:t>
      </w:r>
      <w:r w:rsidRPr="0086148A">
        <w:rPr>
          <w:rFonts w:ascii="Times New Roman" w:hAnsi="Times New Roman" w:cs="Times New Roman"/>
          <w:bCs/>
          <w:sz w:val="24"/>
          <w:szCs w:val="24"/>
        </w:rPr>
        <w:t>%</w:t>
      </w:r>
      <w:r w:rsidR="00CA44C2" w:rsidRPr="0086148A">
        <w:rPr>
          <w:rFonts w:ascii="Times New Roman" w:hAnsi="Times New Roman" w:cs="Times New Roman"/>
          <w:bCs/>
          <w:sz w:val="24"/>
          <w:szCs w:val="24"/>
        </w:rPr>
        <w:t xml:space="preserve"> (31/171)</w:t>
      </w:r>
      <w:r w:rsidRPr="0086148A">
        <w:rPr>
          <w:rFonts w:ascii="Times New Roman" w:hAnsi="Times New Roman" w:cs="Times New Roman"/>
          <w:bCs/>
          <w:sz w:val="24"/>
          <w:szCs w:val="24"/>
        </w:rPr>
        <w:t xml:space="preserve"> during the second cycle </w:t>
      </w:r>
      <w:r w:rsidR="00CA44C2" w:rsidRPr="0086148A">
        <w:rPr>
          <w:rFonts w:ascii="Times New Roman" w:hAnsi="Times New Roman" w:cs="Times New Roman"/>
          <w:bCs/>
          <w:sz w:val="24"/>
          <w:szCs w:val="24"/>
        </w:rPr>
        <w:t xml:space="preserve">and then increased to 22% during the third cycle (54/242). </w:t>
      </w:r>
      <w:r w:rsidR="000052F4" w:rsidRPr="0086148A">
        <w:rPr>
          <w:rFonts w:ascii="Times New Roman" w:hAnsi="Times New Roman" w:cs="Times New Roman"/>
          <w:bCs/>
          <w:sz w:val="24"/>
          <w:szCs w:val="24"/>
        </w:rPr>
        <w:t xml:space="preserve">Recommendations on transitional justice are prominent in the UPR for Burundi. </w:t>
      </w:r>
      <w:r w:rsidR="00CA44C2" w:rsidRPr="0086148A">
        <w:rPr>
          <w:rFonts w:ascii="Times New Roman" w:hAnsi="Times New Roman" w:cs="Times New Roman"/>
          <w:bCs/>
          <w:sz w:val="24"/>
          <w:szCs w:val="24"/>
        </w:rPr>
        <w:t xml:space="preserve">While there has been a </w:t>
      </w:r>
      <w:r w:rsidR="000052F4" w:rsidRPr="0086148A">
        <w:rPr>
          <w:rFonts w:ascii="Times New Roman" w:hAnsi="Times New Roman" w:cs="Times New Roman"/>
          <w:bCs/>
          <w:sz w:val="24"/>
          <w:szCs w:val="24"/>
        </w:rPr>
        <w:t>significant</w:t>
      </w:r>
      <w:r w:rsidR="00CA44C2" w:rsidRPr="0086148A">
        <w:rPr>
          <w:rFonts w:ascii="Times New Roman" w:hAnsi="Times New Roman" w:cs="Times New Roman"/>
          <w:bCs/>
          <w:sz w:val="24"/>
          <w:szCs w:val="24"/>
        </w:rPr>
        <w:t xml:space="preserve"> increase in </w:t>
      </w:r>
      <w:r w:rsidR="000052F4" w:rsidRPr="0086148A">
        <w:rPr>
          <w:rFonts w:ascii="Times New Roman" w:hAnsi="Times New Roman" w:cs="Times New Roman"/>
          <w:bCs/>
          <w:sz w:val="24"/>
          <w:szCs w:val="24"/>
        </w:rPr>
        <w:t xml:space="preserve">the number of </w:t>
      </w:r>
      <w:r w:rsidR="00CA44C2" w:rsidRPr="0086148A">
        <w:rPr>
          <w:rFonts w:ascii="Times New Roman" w:hAnsi="Times New Roman" w:cs="Times New Roman"/>
          <w:bCs/>
          <w:sz w:val="24"/>
          <w:szCs w:val="24"/>
        </w:rPr>
        <w:t xml:space="preserve">UPR recommendations </w:t>
      </w:r>
      <w:r w:rsidR="000052F4" w:rsidRPr="0086148A">
        <w:rPr>
          <w:rFonts w:ascii="Times New Roman" w:hAnsi="Times New Roman" w:cs="Times New Roman"/>
          <w:bCs/>
          <w:sz w:val="24"/>
          <w:szCs w:val="24"/>
        </w:rPr>
        <w:t xml:space="preserve">to Burundi </w:t>
      </w:r>
      <w:r w:rsidR="00CA44C2" w:rsidRPr="0086148A">
        <w:rPr>
          <w:rFonts w:ascii="Times New Roman" w:hAnsi="Times New Roman" w:cs="Times New Roman"/>
          <w:bCs/>
          <w:sz w:val="24"/>
          <w:szCs w:val="24"/>
        </w:rPr>
        <w:t>across the three cycles,</w:t>
      </w:r>
      <w:r w:rsidR="00CA44C2" w:rsidRPr="0086148A">
        <w:rPr>
          <w:rStyle w:val="FootnoteReference"/>
          <w:rFonts w:ascii="Times New Roman" w:hAnsi="Times New Roman" w:cs="Times New Roman"/>
          <w:bCs/>
          <w:sz w:val="24"/>
          <w:szCs w:val="24"/>
        </w:rPr>
        <w:footnoteReference w:id="76"/>
      </w:r>
      <w:r w:rsidR="00CA44C2" w:rsidRPr="0086148A">
        <w:rPr>
          <w:rFonts w:ascii="Times New Roman" w:hAnsi="Times New Roman" w:cs="Times New Roman"/>
          <w:bCs/>
          <w:sz w:val="24"/>
          <w:szCs w:val="24"/>
        </w:rPr>
        <w:t xml:space="preserve"> </w:t>
      </w:r>
      <w:r w:rsidR="000052F4" w:rsidRPr="0086148A">
        <w:rPr>
          <w:rFonts w:ascii="Times New Roman" w:hAnsi="Times New Roman" w:cs="Times New Roman"/>
          <w:bCs/>
          <w:sz w:val="24"/>
          <w:szCs w:val="24"/>
        </w:rPr>
        <w:t>there has not been an equal increase in the number of recommendations o</w:t>
      </w:r>
      <w:r w:rsidR="00AD3047" w:rsidRPr="0086148A">
        <w:rPr>
          <w:rFonts w:ascii="Times New Roman" w:hAnsi="Times New Roman" w:cs="Times New Roman"/>
          <w:bCs/>
          <w:sz w:val="24"/>
          <w:szCs w:val="24"/>
        </w:rPr>
        <w:t xml:space="preserve">n transitional justice. </w:t>
      </w:r>
      <w:r w:rsidR="0013489D" w:rsidRPr="0086148A">
        <w:rPr>
          <w:rFonts w:ascii="Times New Roman" w:hAnsi="Times New Roman" w:cs="Times New Roman"/>
          <w:bCs/>
          <w:sz w:val="24"/>
          <w:szCs w:val="24"/>
        </w:rPr>
        <w:t xml:space="preserve"> </w:t>
      </w:r>
      <w:r w:rsidR="00AD3047" w:rsidRPr="0086148A">
        <w:rPr>
          <w:rFonts w:ascii="Times New Roman" w:hAnsi="Times New Roman" w:cs="Times New Roman"/>
          <w:bCs/>
          <w:sz w:val="24"/>
          <w:szCs w:val="24"/>
        </w:rPr>
        <w:t>The w</w:t>
      </w:r>
      <w:r w:rsidR="0013489D" w:rsidRPr="0086148A">
        <w:rPr>
          <w:rFonts w:ascii="Times New Roman" w:hAnsi="Times New Roman" w:cs="Times New Roman"/>
          <w:bCs/>
          <w:sz w:val="24"/>
          <w:szCs w:val="24"/>
        </w:rPr>
        <w:t xml:space="preserve">aning prominence of </w:t>
      </w:r>
      <w:r w:rsidR="00AD3047" w:rsidRPr="0086148A">
        <w:rPr>
          <w:rFonts w:ascii="Times New Roman" w:hAnsi="Times New Roman" w:cs="Times New Roman"/>
          <w:bCs/>
          <w:sz w:val="24"/>
          <w:szCs w:val="24"/>
        </w:rPr>
        <w:t xml:space="preserve">UPR </w:t>
      </w:r>
      <w:r w:rsidR="0013489D" w:rsidRPr="0086148A">
        <w:rPr>
          <w:rFonts w:ascii="Times New Roman" w:hAnsi="Times New Roman" w:cs="Times New Roman"/>
          <w:bCs/>
          <w:sz w:val="24"/>
          <w:szCs w:val="24"/>
        </w:rPr>
        <w:t xml:space="preserve">recommendations on transitional justice </w:t>
      </w:r>
      <w:r w:rsidR="00AD3047" w:rsidRPr="0086148A">
        <w:rPr>
          <w:rFonts w:ascii="Times New Roman" w:hAnsi="Times New Roman" w:cs="Times New Roman"/>
          <w:bCs/>
          <w:sz w:val="24"/>
          <w:szCs w:val="24"/>
        </w:rPr>
        <w:t xml:space="preserve">to Burundi is an indication that states are not focusing on the increasing challenges of implementing transitional justice in Burundi. The Special Rapporteur on the situation of human rights in Burundi, </w:t>
      </w:r>
      <w:proofErr w:type="spellStart"/>
      <w:r w:rsidR="00AD3047" w:rsidRPr="0086148A">
        <w:rPr>
          <w:rFonts w:ascii="Times New Roman" w:hAnsi="Times New Roman" w:cs="Times New Roman"/>
          <w:bCs/>
          <w:sz w:val="24"/>
          <w:szCs w:val="24"/>
        </w:rPr>
        <w:t>Fortuné</w:t>
      </w:r>
      <w:proofErr w:type="spellEnd"/>
      <w:r w:rsidR="00AD3047" w:rsidRPr="0086148A">
        <w:rPr>
          <w:rFonts w:ascii="Times New Roman" w:hAnsi="Times New Roman" w:cs="Times New Roman"/>
          <w:bCs/>
          <w:sz w:val="24"/>
          <w:szCs w:val="24"/>
        </w:rPr>
        <w:t xml:space="preserve"> </w:t>
      </w:r>
      <w:proofErr w:type="spellStart"/>
      <w:r w:rsidR="00AD3047" w:rsidRPr="0086148A">
        <w:rPr>
          <w:rFonts w:ascii="Times New Roman" w:hAnsi="Times New Roman" w:cs="Times New Roman"/>
          <w:bCs/>
          <w:sz w:val="24"/>
          <w:szCs w:val="24"/>
        </w:rPr>
        <w:t>Gaétan</w:t>
      </w:r>
      <w:proofErr w:type="spellEnd"/>
      <w:r w:rsidR="00AD3047" w:rsidRPr="0086148A">
        <w:rPr>
          <w:rFonts w:ascii="Times New Roman" w:hAnsi="Times New Roman" w:cs="Times New Roman"/>
          <w:bCs/>
          <w:sz w:val="24"/>
          <w:szCs w:val="24"/>
        </w:rPr>
        <w:t xml:space="preserve"> Zongo, criticised the limited progress by the government of Burundi on the implementation of transitional justice measures, in particular accountability, reparations, restitution, and security and judicial reform.</w:t>
      </w:r>
      <w:r w:rsidR="00AD3047" w:rsidRPr="0086148A">
        <w:rPr>
          <w:rStyle w:val="FootnoteReference"/>
          <w:rFonts w:ascii="Times New Roman" w:hAnsi="Times New Roman" w:cs="Times New Roman"/>
          <w:bCs/>
          <w:sz w:val="24"/>
          <w:szCs w:val="24"/>
        </w:rPr>
        <w:footnoteReference w:id="77"/>
      </w:r>
      <w:r w:rsidR="00AD3047" w:rsidRPr="0086148A">
        <w:rPr>
          <w:rFonts w:ascii="Times New Roman" w:hAnsi="Times New Roman" w:cs="Times New Roman"/>
          <w:bCs/>
          <w:sz w:val="24"/>
          <w:szCs w:val="24"/>
        </w:rPr>
        <w:t xml:space="preserve"> </w:t>
      </w:r>
      <w:r w:rsidR="001D2CB6" w:rsidRPr="0086148A">
        <w:rPr>
          <w:rFonts w:ascii="Times New Roman" w:hAnsi="Times New Roman" w:cs="Times New Roman"/>
          <w:bCs/>
          <w:sz w:val="24"/>
          <w:szCs w:val="24"/>
        </w:rPr>
        <w:t>Findings in the</w:t>
      </w:r>
      <w:r w:rsidR="00AD3047" w:rsidRPr="0086148A">
        <w:rPr>
          <w:rFonts w:ascii="Times New Roman" w:hAnsi="Times New Roman" w:cs="Times New Roman"/>
          <w:bCs/>
          <w:sz w:val="24"/>
          <w:szCs w:val="24"/>
        </w:rPr>
        <w:t xml:space="preserve"> 2017 Report by the Commission of Inquiry on </w:t>
      </w:r>
      <w:r w:rsidR="001D2CB6" w:rsidRPr="0086148A">
        <w:rPr>
          <w:rFonts w:ascii="Times New Roman" w:hAnsi="Times New Roman" w:cs="Times New Roman"/>
          <w:bCs/>
          <w:sz w:val="24"/>
          <w:szCs w:val="24"/>
        </w:rPr>
        <w:t>Burundi</w:t>
      </w:r>
      <w:r w:rsidR="00AD3047" w:rsidRPr="0086148A">
        <w:rPr>
          <w:rFonts w:ascii="Times New Roman" w:hAnsi="Times New Roman" w:cs="Times New Roman"/>
          <w:bCs/>
          <w:sz w:val="24"/>
          <w:szCs w:val="24"/>
        </w:rPr>
        <w:t xml:space="preserve"> </w:t>
      </w:r>
      <w:r w:rsidR="001D2CB6" w:rsidRPr="0086148A">
        <w:rPr>
          <w:rFonts w:ascii="Times New Roman" w:hAnsi="Times New Roman" w:cs="Times New Roman"/>
          <w:bCs/>
          <w:sz w:val="24"/>
          <w:szCs w:val="24"/>
        </w:rPr>
        <w:t>indicate</w:t>
      </w:r>
      <w:r w:rsidR="008155E9" w:rsidRPr="0086148A">
        <w:rPr>
          <w:rFonts w:ascii="Times New Roman" w:hAnsi="Times New Roman" w:cs="Times New Roman"/>
          <w:bCs/>
          <w:sz w:val="24"/>
          <w:szCs w:val="24"/>
        </w:rPr>
        <w:t>d</w:t>
      </w:r>
      <w:r w:rsidR="001D2CB6" w:rsidRPr="0086148A">
        <w:rPr>
          <w:rFonts w:ascii="Times New Roman" w:hAnsi="Times New Roman" w:cs="Times New Roman"/>
          <w:bCs/>
          <w:sz w:val="24"/>
          <w:szCs w:val="24"/>
        </w:rPr>
        <w:t xml:space="preserve"> that </w:t>
      </w:r>
      <w:r w:rsidR="00AD3047" w:rsidRPr="0086148A">
        <w:rPr>
          <w:rFonts w:ascii="Times New Roman" w:hAnsi="Times New Roman" w:cs="Times New Roman"/>
          <w:bCs/>
          <w:sz w:val="24"/>
          <w:szCs w:val="24"/>
        </w:rPr>
        <w:t>the alleged perpetrators of human rights violations during the conflict have not been prosecuted and the government of Burundi is ‘neither willing nor able genuinely to investigate or prosecute those violations</w:t>
      </w:r>
      <w:r w:rsidR="001D2CB6" w:rsidRPr="0086148A">
        <w:rPr>
          <w:rFonts w:ascii="Times New Roman" w:hAnsi="Times New Roman" w:cs="Times New Roman"/>
          <w:bCs/>
          <w:sz w:val="24"/>
          <w:szCs w:val="24"/>
        </w:rPr>
        <w:t>.’</w:t>
      </w:r>
      <w:r w:rsidR="001D2CB6" w:rsidRPr="0086148A">
        <w:rPr>
          <w:rStyle w:val="FootnoteReference"/>
          <w:rFonts w:ascii="Times New Roman" w:hAnsi="Times New Roman" w:cs="Times New Roman"/>
          <w:bCs/>
          <w:sz w:val="24"/>
          <w:szCs w:val="24"/>
        </w:rPr>
        <w:footnoteReference w:id="78"/>
      </w:r>
      <w:r w:rsidR="001D2CB6" w:rsidRPr="0086148A">
        <w:rPr>
          <w:rFonts w:ascii="Times New Roman" w:hAnsi="Times New Roman" w:cs="Times New Roman"/>
          <w:bCs/>
          <w:sz w:val="24"/>
          <w:szCs w:val="24"/>
        </w:rPr>
        <w:t xml:space="preserve"> The absence </w:t>
      </w:r>
      <w:r w:rsidR="001D2CB6" w:rsidRPr="0086148A">
        <w:rPr>
          <w:rFonts w:ascii="Times New Roman" w:hAnsi="Times New Roman" w:cs="Times New Roman"/>
          <w:bCs/>
          <w:sz w:val="24"/>
          <w:szCs w:val="24"/>
        </w:rPr>
        <w:lastRenderedPageBreak/>
        <w:t xml:space="preserve">of a meaningful attempt by the government to hold perpetuators accountable or establish the truth has enabled denial and impunity to fester. According to David Taylor, in the </w:t>
      </w:r>
      <w:r w:rsidR="0013489D" w:rsidRPr="0086148A">
        <w:rPr>
          <w:rFonts w:ascii="Times New Roman" w:hAnsi="Times New Roman" w:cs="Times New Roman"/>
          <w:bCs/>
          <w:sz w:val="24"/>
          <w:szCs w:val="24"/>
        </w:rPr>
        <w:t>‘absence of insistence and follow-through in ensuring that the government fulfils its national and international commitments’</w:t>
      </w:r>
      <w:r w:rsidR="001D2CB6" w:rsidRPr="0086148A">
        <w:rPr>
          <w:rFonts w:ascii="Times New Roman" w:hAnsi="Times New Roman" w:cs="Times New Roman"/>
          <w:bCs/>
          <w:sz w:val="24"/>
          <w:szCs w:val="24"/>
        </w:rPr>
        <w:t>, transitional justice in Burundi will remain elusive.</w:t>
      </w:r>
      <w:r w:rsidR="000651E8" w:rsidRPr="0086148A">
        <w:rPr>
          <w:rStyle w:val="FootnoteReference"/>
          <w:rFonts w:ascii="Times New Roman" w:hAnsi="Times New Roman" w:cs="Times New Roman"/>
          <w:bCs/>
          <w:sz w:val="24"/>
          <w:szCs w:val="24"/>
        </w:rPr>
        <w:footnoteReference w:id="79"/>
      </w:r>
      <w:r w:rsidR="001D2CB6" w:rsidRPr="0086148A">
        <w:rPr>
          <w:rFonts w:ascii="Times New Roman" w:hAnsi="Times New Roman" w:cs="Times New Roman"/>
          <w:bCs/>
          <w:sz w:val="24"/>
          <w:szCs w:val="24"/>
        </w:rPr>
        <w:t xml:space="preserve"> </w:t>
      </w:r>
      <w:r w:rsidR="000651E8" w:rsidRPr="0086148A">
        <w:rPr>
          <w:rFonts w:ascii="Times New Roman" w:hAnsi="Times New Roman" w:cs="Times New Roman"/>
          <w:bCs/>
          <w:sz w:val="24"/>
          <w:szCs w:val="24"/>
        </w:rPr>
        <w:t>The UPR can play an important role by reinvigorating its focus on recommendations targeting implementation of the transitional justice measures in Burundi.</w:t>
      </w:r>
    </w:p>
    <w:p w14:paraId="26D45E18" w14:textId="31AC3EA4" w:rsidR="0044726B" w:rsidRPr="0086148A" w:rsidRDefault="451F5180" w:rsidP="00A352E7">
      <w:pPr>
        <w:jc w:val="both"/>
        <w:rPr>
          <w:rFonts w:ascii="Times New Roman" w:hAnsi="Times New Roman" w:cs="Times New Roman"/>
          <w:bCs/>
          <w:sz w:val="24"/>
          <w:szCs w:val="24"/>
        </w:rPr>
      </w:pPr>
      <w:r w:rsidRPr="0086148A">
        <w:rPr>
          <w:rFonts w:ascii="Times New Roman" w:hAnsi="Times New Roman" w:cs="Times New Roman"/>
          <w:sz w:val="24"/>
          <w:szCs w:val="24"/>
        </w:rPr>
        <w:t xml:space="preserve">A similar pattern on the frequency of recommendations can be observed in </w:t>
      </w:r>
      <w:r w:rsidR="5207C52D" w:rsidRPr="0086148A">
        <w:rPr>
          <w:rFonts w:ascii="Times New Roman" w:hAnsi="Times New Roman" w:cs="Times New Roman"/>
          <w:sz w:val="24"/>
          <w:szCs w:val="24"/>
        </w:rPr>
        <w:t>the case of S</w:t>
      </w:r>
      <w:r w:rsidRPr="0086148A">
        <w:rPr>
          <w:rFonts w:ascii="Times New Roman" w:hAnsi="Times New Roman" w:cs="Times New Roman"/>
          <w:sz w:val="24"/>
          <w:szCs w:val="24"/>
        </w:rPr>
        <w:t xml:space="preserve">outh Sudan.  </w:t>
      </w:r>
      <w:r w:rsidR="0769C589" w:rsidRPr="0086148A">
        <w:rPr>
          <w:rFonts w:ascii="Times New Roman" w:hAnsi="Times New Roman" w:cs="Times New Roman"/>
          <w:sz w:val="24"/>
          <w:szCs w:val="24"/>
        </w:rPr>
        <w:t>Only four (12%) of the 33 recommendations made to South Sudan during the first cycle was related to transitional justice</w:t>
      </w:r>
      <w:r w:rsidR="18E1E435" w:rsidRPr="0086148A">
        <w:rPr>
          <w:rFonts w:ascii="Times New Roman" w:hAnsi="Times New Roman" w:cs="Times New Roman"/>
          <w:sz w:val="24"/>
          <w:szCs w:val="24"/>
        </w:rPr>
        <w:t xml:space="preserve"> and predominantly focused on </w:t>
      </w:r>
      <w:r w:rsidR="796E75F2" w:rsidRPr="0086148A">
        <w:rPr>
          <w:rFonts w:ascii="Times New Roman" w:hAnsi="Times New Roman" w:cs="Times New Roman"/>
          <w:sz w:val="24"/>
          <w:szCs w:val="24"/>
        </w:rPr>
        <w:t xml:space="preserve">a general reference to </w:t>
      </w:r>
      <w:r w:rsidR="18E1E435" w:rsidRPr="0086148A">
        <w:rPr>
          <w:rFonts w:ascii="Times New Roman" w:hAnsi="Times New Roman" w:cs="Times New Roman"/>
          <w:sz w:val="24"/>
          <w:szCs w:val="24"/>
        </w:rPr>
        <w:t>the peace agreement (CPA)</w:t>
      </w:r>
      <w:r w:rsidR="0769C589" w:rsidRPr="0086148A">
        <w:rPr>
          <w:rFonts w:ascii="Times New Roman" w:hAnsi="Times New Roman" w:cs="Times New Roman"/>
          <w:sz w:val="24"/>
          <w:szCs w:val="24"/>
        </w:rPr>
        <w:t xml:space="preserve">. </w:t>
      </w:r>
      <w:r w:rsidR="18E1E435" w:rsidRPr="0086148A">
        <w:rPr>
          <w:rFonts w:ascii="Times New Roman" w:hAnsi="Times New Roman" w:cs="Times New Roman"/>
          <w:sz w:val="24"/>
          <w:szCs w:val="24"/>
        </w:rPr>
        <w:t xml:space="preserve">The low number of recommendations was </w:t>
      </w:r>
      <w:r w:rsidR="1A032014" w:rsidRPr="0086148A">
        <w:rPr>
          <w:rFonts w:ascii="Times New Roman" w:hAnsi="Times New Roman" w:cs="Times New Roman"/>
          <w:sz w:val="24"/>
          <w:szCs w:val="24"/>
        </w:rPr>
        <w:t>because</w:t>
      </w:r>
      <w:r w:rsidR="18E1E435" w:rsidRPr="0086148A">
        <w:rPr>
          <w:rFonts w:ascii="Times New Roman" w:hAnsi="Times New Roman" w:cs="Times New Roman"/>
          <w:sz w:val="24"/>
          <w:szCs w:val="24"/>
        </w:rPr>
        <w:t xml:space="preserve"> the review session took place in May 2011 whereas South Sudan only obtained independence in November 2011. The review took place in view of the pending political arrangement under the CPA between Sudan and South Sudan. Recommendations made to South Sudan where clustered separately.</w:t>
      </w:r>
      <w:r w:rsidR="008A35B4" w:rsidRPr="0086148A">
        <w:rPr>
          <w:rStyle w:val="FootnoteReference"/>
          <w:rFonts w:ascii="Times New Roman" w:hAnsi="Times New Roman" w:cs="Times New Roman"/>
          <w:sz w:val="24"/>
          <w:szCs w:val="24"/>
        </w:rPr>
        <w:footnoteReference w:id="80"/>
      </w:r>
      <w:r w:rsidR="18E1E435" w:rsidRPr="0086148A">
        <w:rPr>
          <w:rFonts w:ascii="Times New Roman" w:hAnsi="Times New Roman" w:cs="Times New Roman"/>
          <w:sz w:val="24"/>
          <w:szCs w:val="24"/>
        </w:rPr>
        <w:t xml:space="preserve">  However, recommendations on transitional justice </w:t>
      </w:r>
      <w:r w:rsidR="487E6E4E" w:rsidRPr="0086148A">
        <w:rPr>
          <w:rFonts w:ascii="Times New Roman" w:hAnsi="Times New Roman" w:cs="Times New Roman"/>
          <w:sz w:val="24"/>
          <w:szCs w:val="24"/>
        </w:rPr>
        <w:t>were</w:t>
      </w:r>
      <w:r w:rsidR="18E1E435" w:rsidRPr="0086148A">
        <w:rPr>
          <w:rFonts w:ascii="Times New Roman" w:hAnsi="Times New Roman" w:cs="Times New Roman"/>
          <w:sz w:val="24"/>
          <w:szCs w:val="24"/>
        </w:rPr>
        <w:t xml:space="preserve"> very prominent in the second </w:t>
      </w:r>
      <w:r w:rsidR="4B1D6097" w:rsidRPr="0086148A">
        <w:rPr>
          <w:rFonts w:ascii="Times New Roman" w:hAnsi="Times New Roman" w:cs="Times New Roman"/>
          <w:sz w:val="24"/>
          <w:szCs w:val="24"/>
        </w:rPr>
        <w:t xml:space="preserve">and third </w:t>
      </w:r>
      <w:r w:rsidR="18E1E435" w:rsidRPr="0086148A">
        <w:rPr>
          <w:rFonts w:ascii="Times New Roman" w:hAnsi="Times New Roman" w:cs="Times New Roman"/>
          <w:sz w:val="24"/>
          <w:szCs w:val="24"/>
        </w:rPr>
        <w:t>cycle</w:t>
      </w:r>
      <w:r w:rsidR="4B1D6097" w:rsidRPr="0086148A">
        <w:rPr>
          <w:rFonts w:ascii="Times New Roman" w:hAnsi="Times New Roman" w:cs="Times New Roman"/>
          <w:sz w:val="24"/>
          <w:szCs w:val="24"/>
        </w:rPr>
        <w:t>s</w:t>
      </w:r>
      <w:r w:rsidR="18E1E435" w:rsidRPr="0086148A">
        <w:rPr>
          <w:rFonts w:ascii="Times New Roman" w:hAnsi="Times New Roman" w:cs="Times New Roman"/>
          <w:sz w:val="24"/>
          <w:szCs w:val="24"/>
        </w:rPr>
        <w:t xml:space="preserve"> of </w:t>
      </w:r>
      <w:r w:rsidR="60F5CE5B" w:rsidRPr="0086148A">
        <w:rPr>
          <w:rFonts w:ascii="Times New Roman" w:hAnsi="Times New Roman" w:cs="Times New Roman"/>
          <w:sz w:val="24"/>
          <w:szCs w:val="24"/>
        </w:rPr>
        <w:t xml:space="preserve">South </w:t>
      </w:r>
      <w:r w:rsidR="18E1E435" w:rsidRPr="0086148A">
        <w:rPr>
          <w:rFonts w:ascii="Times New Roman" w:hAnsi="Times New Roman" w:cs="Times New Roman"/>
          <w:sz w:val="24"/>
          <w:szCs w:val="24"/>
        </w:rPr>
        <w:t xml:space="preserve">Sudan’s review, accounting for </w:t>
      </w:r>
      <w:r w:rsidR="4B1D6097" w:rsidRPr="0086148A">
        <w:rPr>
          <w:rFonts w:ascii="Times New Roman" w:hAnsi="Times New Roman" w:cs="Times New Roman"/>
          <w:sz w:val="24"/>
          <w:szCs w:val="24"/>
        </w:rPr>
        <w:t>at least 28% of the overall recommendations (65/233) during the second cycle and 22% during the third cycle.</w:t>
      </w:r>
      <w:r w:rsidR="45ACFE9C" w:rsidRPr="0086148A">
        <w:rPr>
          <w:rFonts w:ascii="Times New Roman" w:hAnsi="Times New Roman" w:cs="Times New Roman"/>
          <w:sz w:val="24"/>
          <w:szCs w:val="24"/>
        </w:rPr>
        <w:t xml:space="preserve"> The level of attention placed on the issue of transitional justice by states within the context of the UPR is consistent with the pressure from other international mechanisms and civil society</w:t>
      </w:r>
      <w:r w:rsidR="5A5E4246" w:rsidRPr="0086148A">
        <w:rPr>
          <w:rFonts w:ascii="Times New Roman" w:hAnsi="Times New Roman" w:cs="Times New Roman"/>
          <w:sz w:val="24"/>
          <w:szCs w:val="24"/>
        </w:rPr>
        <w:t xml:space="preserve"> who have criticised delays by the South Sudanese government in implementing the transitional justice measures in the peace agreements</w:t>
      </w:r>
      <w:r w:rsidR="45ACFE9C" w:rsidRPr="0086148A">
        <w:rPr>
          <w:rFonts w:ascii="Times New Roman" w:hAnsi="Times New Roman" w:cs="Times New Roman"/>
          <w:sz w:val="24"/>
          <w:szCs w:val="24"/>
        </w:rPr>
        <w:t xml:space="preserve">. In 2021, before </w:t>
      </w:r>
      <w:r w:rsidR="75555A28" w:rsidRPr="0086148A">
        <w:rPr>
          <w:rFonts w:ascii="Times New Roman" w:hAnsi="Times New Roman" w:cs="Times New Roman"/>
          <w:sz w:val="24"/>
          <w:szCs w:val="24"/>
        </w:rPr>
        <w:t xml:space="preserve">South </w:t>
      </w:r>
      <w:r w:rsidR="45ACFE9C" w:rsidRPr="0086148A">
        <w:rPr>
          <w:rFonts w:ascii="Times New Roman" w:hAnsi="Times New Roman" w:cs="Times New Roman"/>
          <w:sz w:val="24"/>
          <w:szCs w:val="24"/>
        </w:rPr>
        <w:t>Sudan’s third cycle, 34 South Sudanese, regional and international rights organizations urged the African Union to help establish the hybrid court for South Sudan to prosecute perpetrators of serious human rights abuses during the conflict.</w:t>
      </w:r>
      <w:r w:rsidR="00CC61DB" w:rsidRPr="0086148A">
        <w:rPr>
          <w:rStyle w:val="FootnoteReference"/>
          <w:rFonts w:ascii="Times New Roman" w:hAnsi="Times New Roman" w:cs="Times New Roman"/>
          <w:sz w:val="24"/>
          <w:szCs w:val="24"/>
        </w:rPr>
        <w:footnoteReference w:id="81"/>
      </w:r>
      <w:r w:rsidR="74B3099C" w:rsidRPr="0086148A">
        <w:rPr>
          <w:rFonts w:ascii="Times New Roman" w:hAnsi="Times New Roman" w:cs="Times New Roman"/>
          <w:sz w:val="24"/>
          <w:szCs w:val="24"/>
        </w:rPr>
        <w:t xml:space="preserve"> In 2015, the US committed $5 million to the AU for justice and accountability in South Sudan but the AU did not use the majority of the funds.</w:t>
      </w:r>
      <w:r w:rsidR="00175995" w:rsidRPr="0086148A">
        <w:rPr>
          <w:rStyle w:val="FootnoteReference"/>
          <w:rFonts w:ascii="Times New Roman" w:hAnsi="Times New Roman" w:cs="Times New Roman"/>
          <w:sz w:val="24"/>
          <w:szCs w:val="24"/>
        </w:rPr>
        <w:footnoteReference w:id="82"/>
      </w:r>
      <w:r w:rsidR="02B9DA26" w:rsidRPr="0086148A">
        <w:rPr>
          <w:rFonts w:ascii="Times New Roman" w:hAnsi="Times New Roman" w:cs="Times New Roman"/>
          <w:sz w:val="24"/>
          <w:szCs w:val="24"/>
        </w:rPr>
        <w:t xml:space="preserve"> In 2018, the African Commission called for the government of </w:t>
      </w:r>
      <w:r w:rsidR="5DF9BDA6" w:rsidRPr="0086148A">
        <w:rPr>
          <w:rFonts w:ascii="Times New Roman" w:hAnsi="Times New Roman" w:cs="Times New Roman"/>
          <w:sz w:val="24"/>
          <w:szCs w:val="24"/>
        </w:rPr>
        <w:t xml:space="preserve">South </w:t>
      </w:r>
      <w:r w:rsidR="02B9DA26" w:rsidRPr="0086148A">
        <w:rPr>
          <w:rFonts w:ascii="Times New Roman" w:hAnsi="Times New Roman" w:cs="Times New Roman"/>
          <w:sz w:val="24"/>
          <w:szCs w:val="24"/>
        </w:rPr>
        <w:t>Sudan to implement all the transitional justice measures outlined in the CPA.</w:t>
      </w:r>
      <w:r w:rsidR="007C730D" w:rsidRPr="0086148A">
        <w:rPr>
          <w:rStyle w:val="FootnoteReference"/>
          <w:rFonts w:ascii="Times New Roman" w:hAnsi="Times New Roman" w:cs="Times New Roman"/>
          <w:sz w:val="24"/>
          <w:szCs w:val="24"/>
        </w:rPr>
        <w:footnoteReference w:id="83"/>
      </w:r>
      <w:r w:rsidR="02B9DA26" w:rsidRPr="0086148A">
        <w:rPr>
          <w:rFonts w:ascii="Times New Roman" w:hAnsi="Times New Roman" w:cs="Times New Roman"/>
          <w:sz w:val="24"/>
          <w:szCs w:val="24"/>
        </w:rPr>
        <w:t xml:space="preserve"> Transitional justice was prioritised in several NGO reports submitted for </w:t>
      </w:r>
      <w:r w:rsidR="00341150" w:rsidRPr="0086148A">
        <w:rPr>
          <w:rFonts w:ascii="Times New Roman" w:hAnsi="Times New Roman" w:cs="Times New Roman"/>
          <w:sz w:val="24"/>
          <w:szCs w:val="24"/>
        </w:rPr>
        <w:t xml:space="preserve">South </w:t>
      </w:r>
      <w:r w:rsidR="02B9DA26" w:rsidRPr="0086148A">
        <w:rPr>
          <w:rFonts w:ascii="Times New Roman" w:hAnsi="Times New Roman" w:cs="Times New Roman"/>
          <w:sz w:val="24"/>
          <w:szCs w:val="24"/>
        </w:rPr>
        <w:t>Sudan’s second and third cycles of the UPR.</w:t>
      </w:r>
      <w:r w:rsidR="007C730D" w:rsidRPr="0086148A">
        <w:rPr>
          <w:rStyle w:val="FootnoteReference"/>
          <w:rFonts w:ascii="Times New Roman" w:hAnsi="Times New Roman" w:cs="Times New Roman"/>
          <w:sz w:val="24"/>
          <w:szCs w:val="24"/>
        </w:rPr>
        <w:footnoteReference w:id="84"/>
      </w:r>
      <w:r w:rsidR="02B9DA26" w:rsidRPr="0086148A">
        <w:rPr>
          <w:rFonts w:ascii="Times New Roman" w:hAnsi="Times New Roman" w:cs="Times New Roman"/>
          <w:sz w:val="24"/>
          <w:szCs w:val="24"/>
        </w:rPr>
        <w:t xml:space="preserve"> There was therefore an appropriate alignment between state and NGO </w:t>
      </w:r>
      <w:r w:rsidR="1A032014" w:rsidRPr="0086148A">
        <w:rPr>
          <w:rFonts w:ascii="Times New Roman" w:hAnsi="Times New Roman" w:cs="Times New Roman"/>
          <w:sz w:val="24"/>
          <w:szCs w:val="24"/>
        </w:rPr>
        <w:t>priorities, which</w:t>
      </w:r>
      <w:r w:rsidR="02B9DA26" w:rsidRPr="0086148A">
        <w:rPr>
          <w:rFonts w:ascii="Times New Roman" w:hAnsi="Times New Roman" w:cs="Times New Roman"/>
          <w:sz w:val="24"/>
          <w:szCs w:val="24"/>
        </w:rPr>
        <w:t xml:space="preserve"> focused on the issue of transitiona</w:t>
      </w:r>
      <w:r w:rsidR="1A032014" w:rsidRPr="0086148A">
        <w:rPr>
          <w:rFonts w:ascii="Times New Roman" w:hAnsi="Times New Roman" w:cs="Times New Roman"/>
          <w:sz w:val="24"/>
          <w:szCs w:val="24"/>
        </w:rPr>
        <w:t>l justice and constituted</w:t>
      </w:r>
      <w:r w:rsidR="02B9DA26" w:rsidRPr="0086148A">
        <w:rPr>
          <w:rFonts w:ascii="Times New Roman" w:hAnsi="Times New Roman" w:cs="Times New Roman"/>
          <w:sz w:val="24"/>
          <w:szCs w:val="24"/>
        </w:rPr>
        <w:t xml:space="preserve"> 1/5 of the total recommendations made to </w:t>
      </w:r>
      <w:r w:rsidR="00341150" w:rsidRPr="0086148A">
        <w:rPr>
          <w:rFonts w:ascii="Times New Roman" w:hAnsi="Times New Roman" w:cs="Times New Roman"/>
          <w:sz w:val="24"/>
          <w:szCs w:val="24"/>
        </w:rPr>
        <w:t xml:space="preserve">South </w:t>
      </w:r>
      <w:r w:rsidR="02B9DA26" w:rsidRPr="0086148A">
        <w:rPr>
          <w:rFonts w:ascii="Times New Roman" w:hAnsi="Times New Roman" w:cs="Times New Roman"/>
          <w:sz w:val="24"/>
          <w:szCs w:val="24"/>
        </w:rPr>
        <w:t xml:space="preserve">Sudan in the second and third cycles of the UPR. </w:t>
      </w:r>
    </w:p>
    <w:p w14:paraId="026E8FB6" w14:textId="6A6E3224" w:rsidR="00FE3A73" w:rsidRPr="0086148A" w:rsidRDefault="00FE3A73" w:rsidP="00A352E7">
      <w:pPr>
        <w:pStyle w:val="ListParagraph"/>
        <w:numPr>
          <w:ilvl w:val="1"/>
          <w:numId w:val="1"/>
        </w:numPr>
        <w:ind w:left="1134" w:hanging="774"/>
        <w:jc w:val="both"/>
        <w:rPr>
          <w:rFonts w:ascii="Times New Roman" w:hAnsi="Times New Roman" w:cs="Times New Roman"/>
          <w:b/>
          <w:bCs/>
          <w:sz w:val="24"/>
          <w:szCs w:val="24"/>
        </w:rPr>
      </w:pPr>
      <w:r w:rsidRPr="0086148A">
        <w:rPr>
          <w:rFonts w:ascii="Times New Roman" w:hAnsi="Times New Roman" w:cs="Times New Roman"/>
          <w:b/>
          <w:bCs/>
          <w:sz w:val="24"/>
          <w:szCs w:val="24"/>
        </w:rPr>
        <w:lastRenderedPageBreak/>
        <w:t xml:space="preserve">The quality </w:t>
      </w:r>
      <w:r w:rsidR="007C1E35" w:rsidRPr="0086148A">
        <w:rPr>
          <w:rFonts w:ascii="Times New Roman" w:hAnsi="Times New Roman" w:cs="Times New Roman"/>
          <w:b/>
          <w:bCs/>
          <w:sz w:val="24"/>
          <w:szCs w:val="24"/>
        </w:rPr>
        <w:t>of transitional justice recommendations</w:t>
      </w:r>
      <w:r w:rsidR="00DC0B56" w:rsidRPr="0086148A">
        <w:rPr>
          <w:rFonts w:ascii="Times New Roman" w:hAnsi="Times New Roman" w:cs="Times New Roman"/>
          <w:b/>
          <w:bCs/>
          <w:sz w:val="24"/>
          <w:szCs w:val="24"/>
        </w:rPr>
        <w:t xml:space="preserve"> </w:t>
      </w:r>
      <w:r w:rsidR="00C3057C" w:rsidRPr="0086148A">
        <w:rPr>
          <w:rFonts w:ascii="Times New Roman" w:hAnsi="Times New Roman" w:cs="Times New Roman"/>
          <w:b/>
          <w:bCs/>
          <w:sz w:val="24"/>
          <w:szCs w:val="24"/>
        </w:rPr>
        <w:t>–</w:t>
      </w:r>
      <w:r w:rsidR="00DC0B56" w:rsidRPr="0086148A">
        <w:rPr>
          <w:rFonts w:ascii="Times New Roman" w:hAnsi="Times New Roman" w:cs="Times New Roman"/>
          <w:b/>
          <w:bCs/>
          <w:sz w:val="24"/>
          <w:szCs w:val="24"/>
        </w:rPr>
        <w:t xml:space="preserve"> </w:t>
      </w:r>
      <w:r w:rsidR="00C3057C" w:rsidRPr="0086148A">
        <w:rPr>
          <w:rFonts w:ascii="Times New Roman" w:hAnsi="Times New Roman" w:cs="Times New Roman"/>
          <w:b/>
          <w:bCs/>
          <w:sz w:val="24"/>
          <w:szCs w:val="24"/>
        </w:rPr>
        <w:t>Relevance and Specificity</w:t>
      </w:r>
    </w:p>
    <w:p w14:paraId="0776D207" w14:textId="63D320B0" w:rsidR="00FB55DC" w:rsidRPr="0086148A" w:rsidRDefault="00B23B5A" w:rsidP="00A352E7">
      <w:pPr>
        <w:jc w:val="both"/>
        <w:rPr>
          <w:rFonts w:ascii="Times New Roman" w:hAnsi="Times New Roman" w:cs="Times New Roman"/>
          <w:sz w:val="24"/>
          <w:szCs w:val="24"/>
        </w:rPr>
      </w:pPr>
      <w:r w:rsidRPr="0086148A">
        <w:rPr>
          <w:rFonts w:ascii="Times New Roman" w:hAnsi="Times New Roman" w:cs="Times New Roman"/>
          <w:sz w:val="24"/>
          <w:szCs w:val="24"/>
        </w:rPr>
        <w:t>No other international mechanism has received</w:t>
      </w:r>
      <w:r w:rsidR="00112B96" w:rsidRPr="0086148A">
        <w:rPr>
          <w:rFonts w:ascii="Times New Roman" w:hAnsi="Times New Roman" w:cs="Times New Roman"/>
          <w:sz w:val="24"/>
          <w:szCs w:val="24"/>
        </w:rPr>
        <w:t xml:space="preserve"> as</w:t>
      </w:r>
      <w:r w:rsidRPr="0086148A">
        <w:rPr>
          <w:rFonts w:ascii="Times New Roman" w:hAnsi="Times New Roman" w:cs="Times New Roman"/>
          <w:sz w:val="24"/>
          <w:szCs w:val="24"/>
        </w:rPr>
        <w:t xml:space="preserve"> much</w:t>
      </w:r>
      <w:r w:rsidR="001F3219" w:rsidRPr="0086148A">
        <w:rPr>
          <w:rFonts w:ascii="Times New Roman" w:hAnsi="Times New Roman" w:cs="Times New Roman"/>
          <w:sz w:val="24"/>
          <w:szCs w:val="24"/>
        </w:rPr>
        <w:t xml:space="preserve"> </w:t>
      </w:r>
      <w:r w:rsidRPr="0086148A">
        <w:rPr>
          <w:rFonts w:ascii="Times New Roman" w:hAnsi="Times New Roman" w:cs="Times New Roman"/>
          <w:sz w:val="24"/>
          <w:szCs w:val="24"/>
        </w:rPr>
        <w:t>criticism about the quality of its recommendations than the UPR.</w:t>
      </w:r>
      <w:r w:rsidRPr="0086148A">
        <w:rPr>
          <w:rStyle w:val="FootnoteReference"/>
          <w:rFonts w:ascii="Times New Roman" w:hAnsi="Times New Roman" w:cs="Times New Roman"/>
          <w:sz w:val="24"/>
          <w:szCs w:val="24"/>
        </w:rPr>
        <w:footnoteReference w:id="85"/>
      </w:r>
      <w:r w:rsidRPr="0086148A">
        <w:rPr>
          <w:rFonts w:ascii="Times New Roman" w:hAnsi="Times New Roman" w:cs="Times New Roman"/>
          <w:sz w:val="24"/>
          <w:szCs w:val="24"/>
        </w:rPr>
        <w:t xml:space="preserve"> According to Subhas </w:t>
      </w:r>
      <w:proofErr w:type="spellStart"/>
      <w:r w:rsidRPr="0086148A">
        <w:rPr>
          <w:rFonts w:ascii="Times New Roman" w:hAnsi="Times New Roman" w:cs="Times New Roman"/>
          <w:sz w:val="24"/>
          <w:szCs w:val="24"/>
        </w:rPr>
        <w:t>Gujadhur</w:t>
      </w:r>
      <w:proofErr w:type="spellEnd"/>
      <w:r w:rsidRPr="0086148A">
        <w:rPr>
          <w:rFonts w:ascii="Times New Roman" w:hAnsi="Times New Roman" w:cs="Times New Roman"/>
          <w:sz w:val="24"/>
          <w:szCs w:val="24"/>
        </w:rPr>
        <w:t xml:space="preserve"> and Marc Limon, the quality of UPR recommendation is determinative of the ‘usefulness and effectiveness’ of the mechanism.</w:t>
      </w:r>
      <w:bookmarkStart w:id="6" w:name="_Ref124622912"/>
      <w:r w:rsidRPr="0086148A">
        <w:rPr>
          <w:rStyle w:val="FootnoteReference"/>
          <w:rFonts w:ascii="Times New Roman" w:hAnsi="Times New Roman" w:cs="Times New Roman"/>
          <w:sz w:val="24"/>
          <w:szCs w:val="24"/>
        </w:rPr>
        <w:footnoteReference w:id="86"/>
      </w:r>
      <w:bookmarkEnd w:id="6"/>
      <w:r w:rsidRPr="0086148A">
        <w:rPr>
          <w:rFonts w:ascii="Times New Roman" w:hAnsi="Times New Roman" w:cs="Times New Roman"/>
          <w:sz w:val="24"/>
          <w:szCs w:val="24"/>
        </w:rPr>
        <w:t xml:space="preserve"> The quality of a UPR recommendation </w:t>
      </w:r>
      <w:r w:rsidR="00695865" w:rsidRPr="0086148A">
        <w:rPr>
          <w:rFonts w:ascii="Times New Roman" w:hAnsi="Times New Roman" w:cs="Times New Roman"/>
          <w:sz w:val="24"/>
          <w:szCs w:val="24"/>
        </w:rPr>
        <w:t>can impact on the ability of the UPR to promote meaning</w:t>
      </w:r>
      <w:r w:rsidR="00A30760" w:rsidRPr="0086148A">
        <w:rPr>
          <w:rFonts w:ascii="Times New Roman" w:hAnsi="Times New Roman" w:cs="Times New Roman"/>
          <w:sz w:val="24"/>
          <w:szCs w:val="24"/>
        </w:rPr>
        <w:t>ful</w:t>
      </w:r>
      <w:r w:rsidR="00695865" w:rsidRPr="0086148A">
        <w:rPr>
          <w:rFonts w:ascii="Times New Roman" w:hAnsi="Times New Roman" w:cs="Times New Roman"/>
          <w:sz w:val="24"/>
          <w:szCs w:val="24"/>
        </w:rPr>
        <w:t xml:space="preserve"> and measurable change. However, there is no agreed definition of what a ‘good quality’ recommendation is, although there </w:t>
      </w:r>
      <w:r w:rsidR="00CD347D" w:rsidRPr="0086148A">
        <w:rPr>
          <w:rFonts w:ascii="Times New Roman" w:hAnsi="Times New Roman" w:cs="Times New Roman"/>
          <w:sz w:val="24"/>
          <w:szCs w:val="24"/>
        </w:rPr>
        <w:t>are</w:t>
      </w:r>
      <w:r w:rsidR="00695865" w:rsidRPr="0086148A">
        <w:rPr>
          <w:rFonts w:ascii="Times New Roman" w:hAnsi="Times New Roman" w:cs="Times New Roman"/>
          <w:sz w:val="24"/>
          <w:szCs w:val="24"/>
        </w:rPr>
        <w:t xml:space="preserve"> some common elements across different definitions used by scholars and practitioners. </w:t>
      </w:r>
      <w:r w:rsidR="003A186B" w:rsidRPr="0086148A">
        <w:rPr>
          <w:rFonts w:ascii="Times New Roman" w:hAnsi="Times New Roman" w:cs="Times New Roman"/>
          <w:sz w:val="24"/>
          <w:szCs w:val="24"/>
        </w:rPr>
        <w:t>The notion of SMART UPR recommendations, introduced by UPR Info,</w:t>
      </w:r>
      <w:r w:rsidR="003A186B" w:rsidRPr="0086148A">
        <w:rPr>
          <w:rStyle w:val="FootnoteReference"/>
          <w:rFonts w:ascii="Times New Roman" w:hAnsi="Times New Roman" w:cs="Times New Roman"/>
          <w:sz w:val="24"/>
          <w:szCs w:val="24"/>
        </w:rPr>
        <w:footnoteReference w:id="87"/>
      </w:r>
      <w:r w:rsidR="003A186B" w:rsidRPr="0086148A">
        <w:rPr>
          <w:rFonts w:ascii="Times New Roman" w:hAnsi="Times New Roman" w:cs="Times New Roman"/>
          <w:sz w:val="24"/>
          <w:szCs w:val="24"/>
        </w:rPr>
        <w:t xml:space="preserve"> has been used by different UN agencies and recommended by the OHCHR.</w:t>
      </w:r>
      <w:r w:rsidR="003A186B" w:rsidRPr="0086148A">
        <w:rPr>
          <w:rStyle w:val="FootnoteReference"/>
          <w:rFonts w:ascii="Times New Roman" w:hAnsi="Times New Roman" w:cs="Times New Roman"/>
          <w:sz w:val="24"/>
          <w:szCs w:val="24"/>
        </w:rPr>
        <w:footnoteReference w:id="88"/>
      </w:r>
      <w:r w:rsidR="003A186B" w:rsidRPr="0086148A">
        <w:rPr>
          <w:rFonts w:ascii="Times New Roman" w:hAnsi="Times New Roman" w:cs="Times New Roman"/>
          <w:sz w:val="24"/>
          <w:szCs w:val="24"/>
        </w:rPr>
        <w:t xml:space="preserve"> SMART requires recommendations to be Specific, Measurable, Achievable, Result-Oriented and Time-Bound.</w:t>
      </w:r>
      <w:r w:rsidR="00C96BE8" w:rsidRPr="0086148A">
        <w:rPr>
          <w:rStyle w:val="FootnoteReference"/>
          <w:rFonts w:ascii="Times New Roman" w:hAnsi="Times New Roman" w:cs="Times New Roman"/>
          <w:sz w:val="24"/>
          <w:szCs w:val="24"/>
        </w:rPr>
        <w:footnoteReference w:id="89"/>
      </w:r>
      <w:r w:rsidR="003A186B" w:rsidRPr="0086148A">
        <w:rPr>
          <w:rFonts w:ascii="Times New Roman" w:hAnsi="Times New Roman" w:cs="Times New Roman"/>
          <w:sz w:val="24"/>
          <w:szCs w:val="24"/>
        </w:rPr>
        <w:t xml:space="preserve"> </w:t>
      </w:r>
      <w:r w:rsidR="00C96BE8" w:rsidRPr="0086148A">
        <w:rPr>
          <w:rFonts w:ascii="Times New Roman" w:hAnsi="Times New Roman" w:cs="Times New Roman"/>
          <w:sz w:val="24"/>
          <w:szCs w:val="24"/>
        </w:rPr>
        <w:t xml:space="preserve">Specific recommendations are those that calls for a specific action in relation to a particular rights issue. This is generally </w:t>
      </w:r>
      <w:r w:rsidR="00496A34" w:rsidRPr="0086148A">
        <w:rPr>
          <w:rFonts w:ascii="Times New Roman" w:hAnsi="Times New Roman" w:cs="Times New Roman"/>
          <w:sz w:val="24"/>
          <w:szCs w:val="24"/>
        </w:rPr>
        <w:t>categorised as Rank 5 recommendations on the UPR Info database.</w:t>
      </w:r>
      <w:r w:rsidR="00496A34" w:rsidRPr="0086148A">
        <w:rPr>
          <w:rStyle w:val="FootnoteReference"/>
          <w:rFonts w:ascii="Times New Roman" w:hAnsi="Times New Roman" w:cs="Times New Roman"/>
          <w:sz w:val="24"/>
          <w:szCs w:val="24"/>
        </w:rPr>
        <w:footnoteReference w:id="90"/>
      </w:r>
      <w:r w:rsidR="00496A34" w:rsidRPr="0086148A">
        <w:rPr>
          <w:rFonts w:ascii="Times New Roman" w:hAnsi="Times New Roman" w:cs="Times New Roman"/>
          <w:sz w:val="24"/>
          <w:szCs w:val="24"/>
        </w:rPr>
        <w:t xml:space="preserve"> A ‘measurable’ recommendation is one that can be </w:t>
      </w:r>
      <w:r w:rsidR="00003B01" w:rsidRPr="0086148A">
        <w:rPr>
          <w:rFonts w:ascii="Times New Roman" w:hAnsi="Times New Roman" w:cs="Times New Roman"/>
          <w:sz w:val="24"/>
          <w:szCs w:val="24"/>
        </w:rPr>
        <w:t>assessed,</w:t>
      </w:r>
      <w:r w:rsidR="00496A34" w:rsidRPr="0086148A">
        <w:rPr>
          <w:rFonts w:ascii="Times New Roman" w:hAnsi="Times New Roman" w:cs="Times New Roman"/>
          <w:sz w:val="24"/>
          <w:szCs w:val="24"/>
        </w:rPr>
        <w:t xml:space="preserve"> and an objective determination made on whether it has been implemented or not. A recommendation is ‘achievable’ where it can realistically be implemented by the state</w:t>
      </w:r>
      <w:r w:rsidR="0A3F1212" w:rsidRPr="0086148A">
        <w:rPr>
          <w:rFonts w:ascii="Times New Roman" w:hAnsi="Times New Roman" w:cs="Times New Roman"/>
          <w:sz w:val="24"/>
          <w:szCs w:val="24"/>
        </w:rPr>
        <w:t xml:space="preserve"> and</w:t>
      </w:r>
      <w:r w:rsidR="00496A34" w:rsidRPr="0086148A">
        <w:rPr>
          <w:rFonts w:ascii="Times New Roman" w:hAnsi="Times New Roman" w:cs="Times New Roman"/>
          <w:sz w:val="24"/>
          <w:szCs w:val="24"/>
        </w:rPr>
        <w:t xml:space="preserve"> ‘</w:t>
      </w:r>
      <w:r w:rsidR="00F11F4F" w:rsidRPr="0086148A">
        <w:rPr>
          <w:rFonts w:ascii="Times New Roman" w:hAnsi="Times New Roman" w:cs="Times New Roman"/>
          <w:sz w:val="24"/>
          <w:szCs w:val="24"/>
        </w:rPr>
        <w:t>result-oriented</w:t>
      </w:r>
      <w:r w:rsidR="00496A34" w:rsidRPr="0086148A">
        <w:rPr>
          <w:rFonts w:ascii="Times New Roman" w:hAnsi="Times New Roman" w:cs="Times New Roman"/>
          <w:sz w:val="24"/>
          <w:szCs w:val="24"/>
        </w:rPr>
        <w:t>’ where it addresses a human rights concern in the state under review and can contribute to improv</w:t>
      </w:r>
      <w:r w:rsidR="005A3E48" w:rsidRPr="0086148A">
        <w:rPr>
          <w:rFonts w:ascii="Times New Roman" w:hAnsi="Times New Roman" w:cs="Times New Roman"/>
          <w:sz w:val="24"/>
          <w:szCs w:val="24"/>
        </w:rPr>
        <w:t>ing</w:t>
      </w:r>
      <w:r w:rsidR="00496A34" w:rsidRPr="0086148A">
        <w:rPr>
          <w:rFonts w:ascii="Times New Roman" w:hAnsi="Times New Roman" w:cs="Times New Roman"/>
          <w:sz w:val="24"/>
          <w:szCs w:val="24"/>
        </w:rPr>
        <w:t xml:space="preserve"> the human rights situation</w:t>
      </w:r>
      <w:r w:rsidR="005A3E48" w:rsidRPr="0086148A">
        <w:rPr>
          <w:rFonts w:ascii="Times New Roman" w:hAnsi="Times New Roman" w:cs="Times New Roman"/>
          <w:sz w:val="24"/>
          <w:szCs w:val="24"/>
        </w:rPr>
        <w:t xml:space="preserve"> on the ground</w:t>
      </w:r>
      <w:r w:rsidR="00496A34" w:rsidRPr="0086148A">
        <w:rPr>
          <w:rFonts w:ascii="Times New Roman" w:hAnsi="Times New Roman" w:cs="Times New Roman"/>
          <w:sz w:val="24"/>
          <w:szCs w:val="24"/>
        </w:rPr>
        <w:t>. The element of ‘time-bound’ requires the recommendable to be capable of being implemented within the window of implementation before the next review cycle for the state). This approach to a ‘good quality’ recommendation helps to promote specificity</w:t>
      </w:r>
      <w:r w:rsidR="00FB55DC" w:rsidRPr="0086148A">
        <w:rPr>
          <w:rFonts w:ascii="Times New Roman" w:hAnsi="Times New Roman" w:cs="Times New Roman"/>
          <w:sz w:val="24"/>
          <w:szCs w:val="24"/>
        </w:rPr>
        <w:t>, measurability,</w:t>
      </w:r>
      <w:r w:rsidR="00496A34" w:rsidRPr="0086148A">
        <w:rPr>
          <w:rFonts w:ascii="Times New Roman" w:hAnsi="Times New Roman" w:cs="Times New Roman"/>
          <w:sz w:val="24"/>
          <w:szCs w:val="24"/>
        </w:rPr>
        <w:t xml:space="preserve"> and relevance in relation to </w:t>
      </w:r>
      <w:r w:rsidR="00FB55DC" w:rsidRPr="0086148A">
        <w:rPr>
          <w:rFonts w:ascii="Times New Roman" w:hAnsi="Times New Roman" w:cs="Times New Roman"/>
          <w:sz w:val="24"/>
          <w:szCs w:val="24"/>
        </w:rPr>
        <w:t xml:space="preserve">UPR recommendations. This approach has generally guided NGO engagement with the UPR process. </w:t>
      </w:r>
    </w:p>
    <w:p w14:paraId="4F3DBCA6" w14:textId="3BC0340B" w:rsidR="00F677CE" w:rsidRPr="0086148A" w:rsidRDefault="00FB55DC"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Another approach to a ‘good quality recommendation’ is that of ‘usefulness and measurability’ advanced by </w:t>
      </w:r>
      <w:proofErr w:type="spellStart"/>
      <w:r w:rsidRPr="0086148A">
        <w:rPr>
          <w:rFonts w:ascii="Times New Roman" w:hAnsi="Times New Roman" w:cs="Times New Roman"/>
          <w:sz w:val="24"/>
          <w:szCs w:val="24"/>
        </w:rPr>
        <w:t>Gujadhur</w:t>
      </w:r>
      <w:proofErr w:type="spellEnd"/>
      <w:r w:rsidRPr="0086148A">
        <w:rPr>
          <w:rFonts w:ascii="Times New Roman" w:hAnsi="Times New Roman" w:cs="Times New Roman"/>
          <w:sz w:val="24"/>
          <w:szCs w:val="24"/>
        </w:rPr>
        <w:t xml:space="preserve"> and Limon.</w:t>
      </w:r>
      <w:r w:rsidRPr="0086148A">
        <w:rPr>
          <w:rStyle w:val="FootnoteReference"/>
          <w:rFonts w:ascii="Times New Roman" w:hAnsi="Times New Roman" w:cs="Times New Roman"/>
          <w:sz w:val="24"/>
          <w:szCs w:val="24"/>
        </w:rPr>
        <w:footnoteReference w:id="91"/>
      </w:r>
      <w:r w:rsidRPr="0086148A">
        <w:rPr>
          <w:rFonts w:ascii="Times New Roman" w:hAnsi="Times New Roman" w:cs="Times New Roman"/>
          <w:sz w:val="24"/>
          <w:szCs w:val="24"/>
        </w:rPr>
        <w:t xml:space="preserve"> </w:t>
      </w:r>
      <w:r w:rsidR="00FE2F2B" w:rsidRPr="0086148A">
        <w:rPr>
          <w:rFonts w:ascii="Times New Roman" w:hAnsi="Times New Roman" w:cs="Times New Roman"/>
          <w:sz w:val="24"/>
          <w:szCs w:val="24"/>
        </w:rPr>
        <w:t>A recommendation is considered ‘useful’ to the state under review if it objectively captures the main human rights challenges facing the state, shows an overall understanding of the domestic human rights situation, and helps provide guidance for reform to the state under review and domestic stakeholders.</w:t>
      </w:r>
      <w:r w:rsidR="00FE2F2B" w:rsidRPr="0086148A">
        <w:rPr>
          <w:rStyle w:val="FootnoteReference"/>
          <w:rFonts w:ascii="Times New Roman" w:hAnsi="Times New Roman" w:cs="Times New Roman"/>
          <w:sz w:val="24"/>
          <w:szCs w:val="24"/>
        </w:rPr>
        <w:footnoteReference w:id="92"/>
      </w:r>
      <w:r w:rsidR="00FE2F2B" w:rsidRPr="0086148A">
        <w:rPr>
          <w:rFonts w:ascii="Times New Roman" w:hAnsi="Times New Roman" w:cs="Times New Roman"/>
          <w:sz w:val="24"/>
          <w:szCs w:val="24"/>
        </w:rPr>
        <w:t xml:space="preserve"> Measurability under this </w:t>
      </w:r>
      <w:r w:rsidR="00FE2F2B" w:rsidRPr="0086148A">
        <w:rPr>
          <w:rFonts w:ascii="Times New Roman" w:hAnsi="Times New Roman" w:cs="Times New Roman"/>
          <w:sz w:val="24"/>
          <w:szCs w:val="24"/>
        </w:rPr>
        <w:lastRenderedPageBreak/>
        <w:t xml:space="preserve">approach </w:t>
      </w:r>
      <w:r w:rsidR="00D729AD" w:rsidRPr="0086148A">
        <w:rPr>
          <w:rFonts w:ascii="Times New Roman" w:hAnsi="Times New Roman" w:cs="Times New Roman"/>
          <w:sz w:val="24"/>
          <w:szCs w:val="24"/>
        </w:rPr>
        <w:t xml:space="preserve">requires recommendations to provide indicators against which progress on the implementation of the recommendation can be measured. </w:t>
      </w:r>
      <w:r w:rsidR="00BC2AC2" w:rsidRPr="0086148A">
        <w:rPr>
          <w:rFonts w:ascii="Times New Roman" w:hAnsi="Times New Roman" w:cs="Times New Roman"/>
          <w:sz w:val="24"/>
          <w:szCs w:val="24"/>
        </w:rPr>
        <w:t xml:space="preserve">Bueno De Mesquita </w:t>
      </w:r>
      <w:r w:rsidR="009A62E1" w:rsidRPr="0086148A">
        <w:rPr>
          <w:rFonts w:ascii="Times New Roman" w:hAnsi="Times New Roman" w:cs="Times New Roman"/>
          <w:sz w:val="24"/>
          <w:szCs w:val="24"/>
        </w:rPr>
        <w:t xml:space="preserve">adopted this approach </w:t>
      </w:r>
      <w:r w:rsidR="00C64D31" w:rsidRPr="0086148A">
        <w:rPr>
          <w:rFonts w:ascii="Times New Roman" w:hAnsi="Times New Roman" w:cs="Times New Roman"/>
          <w:sz w:val="24"/>
          <w:szCs w:val="24"/>
        </w:rPr>
        <w:t xml:space="preserve">and applied </w:t>
      </w:r>
      <w:r w:rsidR="009A62E1" w:rsidRPr="0086148A">
        <w:rPr>
          <w:rFonts w:ascii="Times New Roman" w:hAnsi="Times New Roman" w:cs="Times New Roman"/>
          <w:sz w:val="24"/>
          <w:szCs w:val="24"/>
        </w:rPr>
        <w:t xml:space="preserve">it </w:t>
      </w:r>
      <w:r w:rsidR="00C64D31" w:rsidRPr="0086148A">
        <w:rPr>
          <w:rFonts w:ascii="Times New Roman" w:hAnsi="Times New Roman" w:cs="Times New Roman"/>
          <w:sz w:val="24"/>
          <w:szCs w:val="24"/>
        </w:rPr>
        <w:t xml:space="preserve">in the context of </w:t>
      </w:r>
      <w:r w:rsidR="009A62E1" w:rsidRPr="0086148A">
        <w:rPr>
          <w:rFonts w:ascii="Times New Roman" w:hAnsi="Times New Roman" w:cs="Times New Roman"/>
          <w:sz w:val="24"/>
          <w:szCs w:val="24"/>
        </w:rPr>
        <w:t>the right to health within the UPR.</w:t>
      </w:r>
      <w:bookmarkStart w:id="7" w:name="_Ref124624247"/>
      <w:r w:rsidR="009A62E1" w:rsidRPr="0086148A">
        <w:rPr>
          <w:rStyle w:val="FootnoteReference"/>
          <w:rFonts w:ascii="Times New Roman" w:hAnsi="Times New Roman" w:cs="Times New Roman"/>
          <w:sz w:val="24"/>
          <w:szCs w:val="24"/>
        </w:rPr>
        <w:footnoteReference w:id="93"/>
      </w:r>
      <w:bookmarkEnd w:id="7"/>
      <w:r w:rsidR="009A62E1" w:rsidRPr="0086148A">
        <w:rPr>
          <w:rFonts w:ascii="Times New Roman" w:hAnsi="Times New Roman" w:cs="Times New Roman"/>
          <w:sz w:val="24"/>
          <w:szCs w:val="24"/>
        </w:rPr>
        <w:t xml:space="preserve"> </w:t>
      </w:r>
      <w:r w:rsidR="00D729AD" w:rsidRPr="0086148A">
        <w:rPr>
          <w:rFonts w:ascii="Times New Roman" w:hAnsi="Times New Roman" w:cs="Times New Roman"/>
          <w:sz w:val="24"/>
          <w:szCs w:val="24"/>
        </w:rPr>
        <w:t xml:space="preserve">Several scholars and UPR stakeholders have criticised UPR </w:t>
      </w:r>
      <w:r w:rsidR="00C64D31" w:rsidRPr="0086148A">
        <w:rPr>
          <w:rFonts w:ascii="Times New Roman" w:hAnsi="Times New Roman" w:cs="Times New Roman"/>
          <w:sz w:val="24"/>
          <w:szCs w:val="24"/>
        </w:rPr>
        <w:t>recommendations that</w:t>
      </w:r>
      <w:r w:rsidR="00D729AD" w:rsidRPr="0086148A">
        <w:rPr>
          <w:rFonts w:ascii="Times New Roman" w:hAnsi="Times New Roman" w:cs="Times New Roman"/>
          <w:sz w:val="24"/>
          <w:szCs w:val="24"/>
        </w:rPr>
        <w:t xml:space="preserve"> are too general, vague with no means of implementation or measuring outcomes of the recommendations.</w:t>
      </w:r>
      <w:r w:rsidR="00D729AD" w:rsidRPr="0086148A">
        <w:rPr>
          <w:rStyle w:val="FootnoteReference"/>
          <w:rFonts w:ascii="Times New Roman" w:hAnsi="Times New Roman" w:cs="Times New Roman"/>
          <w:sz w:val="24"/>
          <w:szCs w:val="24"/>
        </w:rPr>
        <w:footnoteReference w:id="94"/>
      </w:r>
      <w:r w:rsidR="00D729AD" w:rsidRPr="0086148A">
        <w:rPr>
          <w:rFonts w:ascii="Times New Roman" w:hAnsi="Times New Roman" w:cs="Times New Roman"/>
          <w:sz w:val="24"/>
          <w:szCs w:val="24"/>
        </w:rPr>
        <w:t xml:space="preserve"> </w:t>
      </w:r>
      <w:r w:rsidR="0027739B" w:rsidRPr="0086148A">
        <w:rPr>
          <w:rFonts w:ascii="Times New Roman" w:hAnsi="Times New Roman" w:cs="Times New Roman"/>
          <w:sz w:val="24"/>
          <w:szCs w:val="24"/>
        </w:rPr>
        <w:t>For example, during South Sudan’s second cycle review, Djibouti recommended South Sudan ‘[f]</w:t>
      </w:r>
      <w:proofErr w:type="spellStart"/>
      <w:r w:rsidR="0027739B" w:rsidRPr="0086148A">
        <w:rPr>
          <w:rFonts w:ascii="Times New Roman" w:hAnsi="Times New Roman" w:cs="Times New Roman"/>
          <w:sz w:val="24"/>
          <w:szCs w:val="24"/>
        </w:rPr>
        <w:t>urther</w:t>
      </w:r>
      <w:proofErr w:type="spellEnd"/>
      <w:r w:rsidR="0027739B" w:rsidRPr="0086148A">
        <w:rPr>
          <w:rFonts w:ascii="Times New Roman" w:hAnsi="Times New Roman" w:cs="Times New Roman"/>
          <w:sz w:val="24"/>
          <w:szCs w:val="24"/>
        </w:rPr>
        <w:t xml:space="preserve"> focus on the respect of human rights’</w:t>
      </w:r>
      <w:r w:rsidR="0027739B" w:rsidRPr="0086148A">
        <w:rPr>
          <w:rStyle w:val="FootnoteReference"/>
          <w:rFonts w:ascii="Times New Roman" w:hAnsi="Times New Roman" w:cs="Times New Roman"/>
          <w:sz w:val="24"/>
          <w:szCs w:val="24"/>
        </w:rPr>
        <w:footnoteReference w:id="95"/>
      </w:r>
      <w:r w:rsidR="0027739B" w:rsidRPr="0086148A">
        <w:rPr>
          <w:rFonts w:ascii="Times New Roman" w:hAnsi="Times New Roman" w:cs="Times New Roman"/>
          <w:sz w:val="24"/>
          <w:szCs w:val="24"/>
        </w:rPr>
        <w:t xml:space="preserve"> and Norway recommended that South Sudan should ‘[</w:t>
      </w:r>
      <w:proofErr w:type="spellStart"/>
      <w:r w:rsidR="0027739B" w:rsidRPr="0086148A">
        <w:rPr>
          <w:rFonts w:ascii="Times New Roman" w:hAnsi="Times New Roman" w:cs="Times New Roman"/>
          <w:sz w:val="24"/>
          <w:szCs w:val="24"/>
        </w:rPr>
        <w:t>i</w:t>
      </w:r>
      <w:proofErr w:type="spellEnd"/>
      <w:r w:rsidR="0027739B" w:rsidRPr="0086148A">
        <w:rPr>
          <w:rFonts w:ascii="Times New Roman" w:hAnsi="Times New Roman" w:cs="Times New Roman"/>
          <w:sz w:val="24"/>
          <w:szCs w:val="24"/>
        </w:rPr>
        <w:t>]</w:t>
      </w:r>
      <w:proofErr w:type="spellStart"/>
      <w:r w:rsidR="0027739B" w:rsidRPr="0086148A">
        <w:rPr>
          <w:rFonts w:ascii="Times New Roman" w:hAnsi="Times New Roman" w:cs="Times New Roman"/>
          <w:sz w:val="24"/>
          <w:szCs w:val="24"/>
        </w:rPr>
        <w:t>ncrease</w:t>
      </w:r>
      <w:proofErr w:type="spellEnd"/>
      <w:r w:rsidR="0027739B" w:rsidRPr="0086148A">
        <w:rPr>
          <w:rFonts w:ascii="Times New Roman" w:hAnsi="Times New Roman" w:cs="Times New Roman"/>
          <w:sz w:val="24"/>
          <w:szCs w:val="24"/>
        </w:rPr>
        <w:t xml:space="preserve"> the efforts in the field of civil protection in the transition period’.</w:t>
      </w:r>
      <w:r w:rsidR="0027739B" w:rsidRPr="0086148A">
        <w:rPr>
          <w:rStyle w:val="FootnoteReference"/>
          <w:rFonts w:ascii="Times New Roman" w:hAnsi="Times New Roman" w:cs="Times New Roman"/>
          <w:sz w:val="24"/>
          <w:szCs w:val="24"/>
        </w:rPr>
        <w:footnoteReference w:id="96"/>
      </w:r>
      <w:r w:rsidR="0027739B" w:rsidRPr="0086148A">
        <w:rPr>
          <w:rFonts w:ascii="Times New Roman" w:hAnsi="Times New Roman" w:cs="Times New Roman"/>
          <w:sz w:val="24"/>
          <w:szCs w:val="24"/>
        </w:rPr>
        <w:t xml:space="preserve"> </w:t>
      </w:r>
      <w:r w:rsidR="00AC55B9" w:rsidRPr="0086148A">
        <w:rPr>
          <w:rFonts w:ascii="Times New Roman" w:hAnsi="Times New Roman" w:cs="Times New Roman"/>
          <w:sz w:val="24"/>
          <w:szCs w:val="24"/>
        </w:rPr>
        <w:t>These recommendations do not provide a means to determine</w:t>
      </w:r>
      <w:r w:rsidR="0027739B" w:rsidRPr="0086148A">
        <w:rPr>
          <w:rFonts w:ascii="Times New Roman" w:hAnsi="Times New Roman" w:cs="Times New Roman"/>
          <w:sz w:val="24"/>
          <w:szCs w:val="24"/>
        </w:rPr>
        <w:t xml:space="preserve"> implementation</w:t>
      </w:r>
      <w:r w:rsidR="00AC55B9" w:rsidRPr="0086148A">
        <w:rPr>
          <w:rFonts w:ascii="Times New Roman" w:hAnsi="Times New Roman" w:cs="Times New Roman"/>
          <w:sz w:val="24"/>
          <w:szCs w:val="24"/>
        </w:rPr>
        <w:t xml:space="preserve">, or assess the </w:t>
      </w:r>
      <w:r w:rsidR="0030556F" w:rsidRPr="0086148A">
        <w:rPr>
          <w:rFonts w:ascii="Times New Roman" w:hAnsi="Times New Roman" w:cs="Times New Roman"/>
          <w:sz w:val="24"/>
          <w:szCs w:val="24"/>
        </w:rPr>
        <w:t xml:space="preserve">outcome of the recommendation. </w:t>
      </w:r>
      <w:r w:rsidR="00BC2AC2" w:rsidRPr="0086148A">
        <w:rPr>
          <w:rFonts w:ascii="Times New Roman" w:hAnsi="Times New Roman" w:cs="Times New Roman"/>
          <w:sz w:val="24"/>
          <w:szCs w:val="24"/>
        </w:rPr>
        <w:t>The Special Rapporteur on extreme poverty and human rights was critical of the recommendations states made on socio-economic rights highlighting that ‘two thirds of the recommendations relating to economic, social and cultural rights called for only general action, as opposed to any specific outcome.’</w:t>
      </w:r>
      <w:r w:rsidR="00BC2AC2" w:rsidRPr="0086148A">
        <w:rPr>
          <w:rStyle w:val="FootnoteReference"/>
          <w:rFonts w:ascii="Times New Roman" w:hAnsi="Times New Roman" w:cs="Times New Roman"/>
          <w:sz w:val="24"/>
          <w:szCs w:val="24"/>
        </w:rPr>
        <w:footnoteReference w:id="97"/>
      </w:r>
      <w:r w:rsidR="00BC2AC2" w:rsidRPr="0086148A">
        <w:rPr>
          <w:rFonts w:ascii="Times New Roman" w:hAnsi="Times New Roman" w:cs="Times New Roman"/>
          <w:sz w:val="24"/>
          <w:szCs w:val="24"/>
        </w:rPr>
        <w:t xml:space="preserve"> </w:t>
      </w:r>
      <w:r w:rsidR="0030556F" w:rsidRPr="0086148A">
        <w:rPr>
          <w:rFonts w:ascii="Times New Roman" w:hAnsi="Times New Roman" w:cs="Times New Roman"/>
          <w:sz w:val="24"/>
          <w:szCs w:val="24"/>
        </w:rPr>
        <w:t>However, I have previously argued that recommendations phrased in general terms are not entirely worthless</w:t>
      </w:r>
      <w:r w:rsidR="00AC55B9" w:rsidRPr="0086148A">
        <w:rPr>
          <w:rFonts w:ascii="Times New Roman" w:hAnsi="Times New Roman" w:cs="Times New Roman"/>
          <w:sz w:val="24"/>
          <w:szCs w:val="24"/>
        </w:rPr>
        <w:t xml:space="preserve"> as they have at times translate</w:t>
      </w:r>
      <w:r w:rsidR="00215E15" w:rsidRPr="0086148A">
        <w:rPr>
          <w:rFonts w:ascii="Times New Roman" w:hAnsi="Times New Roman" w:cs="Times New Roman"/>
          <w:sz w:val="24"/>
          <w:szCs w:val="24"/>
        </w:rPr>
        <w:t>d</w:t>
      </w:r>
      <w:r w:rsidR="00AC55B9" w:rsidRPr="0086148A">
        <w:rPr>
          <w:rFonts w:ascii="Times New Roman" w:hAnsi="Times New Roman" w:cs="Times New Roman"/>
          <w:sz w:val="24"/>
          <w:szCs w:val="24"/>
        </w:rPr>
        <w:t xml:space="preserve"> to specific action at the implementation stage.</w:t>
      </w:r>
      <w:r w:rsidR="00AC55B9" w:rsidRPr="0086148A">
        <w:rPr>
          <w:rStyle w:val="FootnoteReference"/>
          <w:rFonts w:ascii="Times New Roman" w:hAnsi="Times New Roman" w:cs="Times New Roman"/>
          <w:sz w:val="24"/>
          <w:szCs w:val="24"/>
        </w:rPr>
        <w:footnoteReference w:id="98"/>
      </w:r>
      <w:r w:rsidR="00C64D31" w:rsidRPr="0086148A">
        <w:rPr>
          <w:rFonts w:ascii="Times New Roman" w:hAnsi="Times New Roman" w:cs="Times New Roman"/>
          <w:sz w:val="24"/>
          <w:szCs w:val="24"/>
        </w:rPr>
        <w:t xml:space="preserve"> McMaho</w:t>
      </w:r>
      <w:r w:rsidR="00215E15" w:rsidRPr="0086148A">
        <w:rPr>
          <w:rFonts w:ascii="Times New Roman" w:hAnsi="Times New Roman" w:cs="Times New Roman"/>
          <w:sz w:val="24"/>
          <w:szCs w:val="24"/>
        </w:rPr>
        <w:t>n contended</w:t>
      </w:r>
      <w:r w:rsidR="00C64D31" w:rsidRPr="0086148A">
        <w:rPr>
          <w:rFonts w:ascii="Times New Roman" w:hAnsi="Times New Roman" w:cs="Times New Roman"/>
          <w:sz w:val="24"/>
          <w:szCs w:val="24"/>
        </w:rPr>
        <w:t xml:space="preserve"> that</w:t>
      </w:r>
      <w:r w:rsidR="00AC55B9" w:rsidRPr="0086148A">
        <w:rPr>
          <w:rFonts w:ascii="Times New Roman" w:hAnsi="Times New Roman" w:cs="Times New Roman"/>
          <w:sz w:val="24"/>
          <w:szCs w:val="24"/>
        </w:rPr>
        <w:t xml:space="preserve"> UPR recommendations phrased in general terms </w:t>
      </w:r>
      <w:r w:rsidR="00215E15" w:rsidRPr="0086148A">
        <w:rPr>
          <w:rFonts w:ascii="Times New Roman" w:hAnsi="Times New Roman" w:cs="Times New Roman"/>
          <w:sz w:val="24"/>
          <w:szCs w:val="24"/>
        </w:rPr>
        <w:t xml:space="preserve">and </w:t>
      </w:r>
      <w:r w:rsidR="00AC55B9" w:rsidRPr="0086148A">
        <w:rPr>
          <w:rFonts w:ascii="Times New Roman" w:hAnsi="Times New Roman" w:cs="Times New Roman"/>
          <w:sz w:val="24"/>
          <w:szCs w:val="24"/>
        </w:rPr>
        <w:t>allow</w:t>
      </w:r>
      <w:r w:rsidR="00215E15" w:rsidRPr="0086148A">
        <w:rPr>
          <w:rFonts w:ascii="Times New Roman" w:hAnsi="Times New Roman" w:cs="Times New Roman"/>
          <w:sz w:val="24"/>
          <w:szCs w:val="24"/>
        </w:rPr>
        <w:t>ed</w:t>
      </w:r>
      <w:r w:rsidR="00AC55B9" w:rsidRPr="0086148A">
        <w:rPr>
          <w:rFonts w:ascii="Times New Roman" w:hAnsi="Times New Roman" w:cs="Times New Roman"/>
          <w:sz w:val="24"/>
          <w:szCs w:val="24"/>
        </w:rPr>
        <w:t xml:space="preserve"> the state the flexibility to determine the mode of </w:t>
      </w:r>
      <w:r w:rsidR="00215E15" w:rsidRPr="0086148A">
        <w:rPr>
          <w:rFonts w:ascii="Times New Roman" w:hAnsi="Times New Roman" w:cs="Times New Roman"/>
          <w:sz w:val="24"/>
          <w:szCs w:val="24"/>
        </w:rPr>
        <w:t xml:space="preserve">implementation, </w:t>
      </w:r>
      <w:r w:rsidR="00C64D31" w:rsidRPr="0086148A">
        <w:rPr>
          <w:rFonts w:ascii="Times New Roman" w:hAnsi="Times New Roman" w:cs="Times New Roman"/>
          <w:sz w:val="24"/>
          <w:szCs w:val="24"/>
        </w:rPr>
        <w:t>can undermine the utility</w:t>
      </w:r>
      <w:r w:rsidR="00AC55B9" w:rsidRPr="0086148A">
        <w:rPr>
          <w:rFonts w:ascii="Times New Roman" w:hAnsi="Times New Roman" w:cs="Times New Roman"/>
          <w:sz w:val="24"/>
          <w:szCs w:val="24"/>
        </w:rPr>
        <w:t xml:space="preserve"> and impact of the recommendation</w:t>
      </w:r>
      <w:r w:rsidR="00215E15" w:rsidRPr="0086148A">
        <w:rPr>
          <w:rFonts w:ascii="Times New Roman" w:hAnsi="Times New Roman" w:cs="Times New Roman"/>
          <w:sz w:val="24"/>
          <w:szCs w:val="24"/>
        </w:rPr>
        <w:t>s</w:t>
      </w:r>
      <w:r w:rsidR="00AC55B9" w:rsidRPr="0086148A">
        <w:rPr>
          <w:rFonts w:ascii="Times New Roman" w:hAnsi="Times New Roman" w:cs="Times New Roman"/>
          <w:sz w:val="24"/>
          <w:szCs w:val="24"/>
        </w:rPr>
        <w:t>.</w:t>
      </w:r>
      <w:r w:rsidR="00C64D31" w:rsidRPr="0086148A">
        <w:rPr>
          <w:rStyle w:val="FootnoteReference"/>
          <w:rFonts w:ascii="Times New Roman" w:hAnsi="Times New Roman" w:cs="Times New Roman"/>
          <w:sz w:val="24"/>
          <w:szCs w:val="24"/>
        </w:rPr>
        <w:footnoteReference w:id="99"/>
      </w:r>
      <w:r w:rsidR="00AC55B9" w:rsidRPr="0086148A">
        <w:rPr>
          <w:rFonts w:ascii="Times New Roman" w:hAnsi="Times New Roman" w:cs="Times New Roman"/>
          <w:sz w:val="24"/>
          <w:szCs w:val="24"/>
        </w:rPr>
        <w:t xml:space="preserve"> </w:t>
      </w:r>
      <w:r w:rsidR="00C64D31" w:rsidRPr="0086148A">
        <w:rPr>
          <w:rFonts w:ascii="Times New Roman" w:hAnsi="Times New Roman" w:cs="Times New Roman"/>
          <w:sz w:val="24"/>
          <w:szCs w:val="24"/>
        </w:rPr>
        <w:t>This indeed is the case, b</w:t>
      </w:r>
      <w:r w:rsidR="00AC55B9" w:rsidRPr="0086148A">
        <w:rPr>
          <w:rFonts w:ascii="Times New Roman" w:hAnsi="Times New Roman" w:cs="Times New Roman"/>
          <w:sz w:val="24"/>
          <w:szCs w:val="24"/>
        </w:rPr>
        <w:t>ut it is also plausible that given the lack of human rights expertise informing state recommendations in the UPR process, that flexibility may well be needed by the state where the recommendation (even a specific and measurable one) does not meet the ‘usefulness’</w:t>
      </w:r>
      <w:r w:rsidR="00C64D31" w:rsidRPr="0086148A">
        <w:rPr>
          <w:rFonts w:ascii="Times New Roman" w:hAnsi="Times New Roman" w:cs="Times New Roman"/>
          <w:sz w:val="24"/>
          <w:szCs w:val="24"/>
        </w:rPr>
        <w:t xml:space="preserve"> criterion. In </w:t>
      </w:r>
      <w:r w:rsidR="00AC55B9" w:rsidRPr="0086148A">
        <w:rPr>
          <w:rFonts w:ascii="Times New Roman" w:hAnsi="Times New Roman" w:cs="Times New Roman"/>
          <w:sz w:val="24"/>
          <w:szCs w:val="24"/>
        </w:rPr>
        <w:t xml:space="preserve">such a case, the state may implement the recommendation in a manner that will </w:t>
      </w:r>
      <w:r w:rsidR="00215E15" w:rsidRPr="0086148A">
        <w:rPr>
          <w:rFonts w:ascii="Times New Roman" w:hAnsi="Times New Roman" w:cs="Times New Roman"/>
          <w:sz w:val="24"/>
          <w:szCs w:val="24"/>
        </w:rPr>
        <w:t xml:space="preserve">be </w:t>
      </w:r>
      <w:r w:rsidR="00AC55B9" w:rsidRPr="0086148A">
        <w:rPr>
          <w:rFonts w:ascii="Times New Roman" w:hAnsi="Times New Roman" w:cs="Times New Roman"/>
          <w:sz w:val="24"/>
          <w:szCs w:val="24"/>
        </w:rPr>
        <w:t xml:space="preserve">most </w:t>
      </w:r>
      <w:r w:rsidR="00215E15" w:rsidRPr="0086148A">
        <w:rPr>
          <w:rFonts w:ascii="Times New Roman" w:hAnsi="Times New Roman" w:cs="Times New Roman"/>
          <w:sz w:val="24"/>
          <w:szCs w:val="24"/>
        </w:rPr>
        <w:t xml:space="preserve">useful and </w:t>
      </w:r>
      <w:r w:rsidR="00AC55B9" w:rsidRPr="0086148A">
        <w:rPr>
          <w:rFonts w:ascii="Times New Roman" w:hAnsi="Times New Roman" w:cs="Times New Roman"/>
          <w:sz w:val="24"/>
          <w:szCs w:val="24"/>
        </w:rPr>
        <w:t>effectively address the human rights concern.</w:t>
      </w:r>
    </w:p>
    <w:p w14:paraId="1A3CE6E4" w14:textId="4C19D2DC" w:rsidR="0027739B" w:rsidRPr="0086148A" w:rsidRDefault="00C64D31" w:rsidP="00A352E7">
      <w:pPr>
        <w:jc w:val="both"/>
        <w:rPr>
          <w:rFonts w:ascii="Times New Roman" w:hAnsi="Times New Roman" w:cs="Times New Roman"/>
          <w:sz w:val="24"/>
          <w:szCs w:val="24"/>
        </w:rPr>
      </w:pPr>
      <w:r w:rsidRPr="0086148A">
        <w:rPr>
          <w:rFonts w:ascii="Times New Roman" w:hAnsi="Times New Roman" w:cs="Times New Roman"/>
          <w:sz w:val="24"/>
          <w:szCs w:val="24"/>
        </w:rPr>
        <w:t>The SMART approach and the ‘</w:t>
      </w:r>
      <w:r w:rsidR="002B67D4" w:rsidRPr="0086148A">
        <w:rPr>
          <w:rFonts w:ascii="Times New Roman" w:hAnsi="Times New Roman" w:cs="Times New Roman"/>
          <w:sz w:val="24"/>
          <w:szCs w:val="24"/>
        </w:rPr>
        <w:t>usefulness and m</w:t>
      </w:r>
      <w:r w:rsidRPr="0086148A">
        <w:rPr>
          <w:rFonts w:ascii="Times New Roman" w:hAnsi="Times New Roman" w:cs="Times New Roman"/>
          <w:sz w:val="24"/>
          <w:szCs w:val="24"/>
        </w:rPr>
        <w:t>easurability’ approach are not mutually exclusive. Several elements of the SMART approach are captured in the ‘</w:t>
      </w:r>
      <w:r w:rsidR="002B67D4" w:rsidRPr="0086148A">
        <w:rPr>
          <w:rFonts w:ascii="Times New Roman" w:hAnsi="Times New Roman" w:cs="Times New Roman"/>
          <w:sz w:val="24"/>
          <w:szCs w:val="24"/>
        </w:rPr>
        <w:t>usefulness and m</w:t>
      </w:r>
      <w:r w:rsidRPr="0086148A">
        <w:rPr>
          <w:rFonts w:ascii="Times New Roman" w:hAnsi="Times New Roman" w:cs="Times New Roman"/>
          <w:sz w:val="24"/>
          <w:szCs w:val="24"/>
        </w:rPr>
        <w:t xml:space="preserve">easurability’ approach. For example, the more specific a recommendation </w:t>
      </w:r>
      <w:r w:rsidR="00BC2AC2" w:rsidRPr="0086148A">
        <w:rPr>
          <w:rFonts w:ascii="Times New Roman" w:hAnsi="Times New Roman" w:cs="Times New Roman"/>
          <w:sz w:val="24"/>
          <w:szCs w:val="24"/>
        </w:rPr>
        <w:t>is</w:t>
      </w:r>
      <w:r w:rsidRPr="0086148A">
        <w:rPr>
          <w:rFonts w:ascii="Times New Roman" w:hAnsi="Times New Roman" w:cs="Times New Roman"/>
          <w:sz w:val="24"/>
          <w:szCs w:val="24"/>
        </w:rPr>
        <w:t xml:space="preserve"> the more useful and measurable it can be. </w:t>
      </w:r>
      <w:r w:rsidR="002B67D4" w:rsidRPr="0086148A">
        <w:rPr>
          <w:rFonts w:ascii="Times New Roman" w:hAnsi="Times New Roman" w:cs="Times New Roman"/>
          <w:sz w:val="24"/>
          <w:szCs w:val="24"/>
        </w:rPr>
        <w:t>As part of the analysis quality of transitional justice recommendations, I deployed the ‘usefulness’ criterion to determine how relevant the recommendations were and the extent to which they addressed the key transitional justice issues in Burundi and South Sudan. I then considered the specificity of the recommendations using UPR Info classification</w:t>
      </w:r>
      <w:r w:rsidR="00215E15" w:rsidRPr="0086148A">
        <w:rPr>
          <w:rStyle w:val="FootnoteReference"/>
          <w:rFonts w:ascii="Times New Roman" w:hAnsi="Times New Roman" w:cs="Times New Roman"/>
          <w:sz w:val="24"/>
          <w:szCs w:val="24"/>
        </w:rPr>
        <w:footnoteReference w:id="100"/>
      </w:r>
      <w:r w:rsidR="002B67D4" w:rsidRPr="0086148A">
        <w:rPr>
          <w:rFonts w:ascii="Times New Roman" w:hAnsi="Times New Roman" w:cs="Times New Roman"/>
          <w:sz w:val="24"/>
          <w:szCs w:val="24"/>
        </w:rPr>
        <w:t xml:space="preserve"> to determine how actionable the recommendations were. </w:t>
      </w:r>
    </w:p>
    <w:p w14:paraId="15BB1EC3" w14:textId="2143A649" w:rsidR="00215E15" w:rsidRPr="0086148A" w:rsidRDefault="00215E15" w:rsidP="00A352E7">
      <w:pPr>
        <w:pStyle w:val="ListParagraph"/>
        <w:numPr>
          <w:ilvl w:val="1"/>
          <w:numId w:val="1"/>
        </w:numPr>
        <w:ind w:left="1134" w:hanging="774"/>
        <w:jc w:val="both"/>
        <w:rPr>
          <w:rFonts w:ascii="Times New Roman" w:hAnsi="Times New Roman" w:cs="Times New Roman"/>
          <w:b/>
          <w:sz w:val="24"/>
          <w:szCs w:val="24"/>
        </w:rPr>
      </w:pPr>
      <w:r w:rsidRPr="0086148A">
        <w:rPr>
          <w:rFonts w:ascii="Times New Roman" w:hAnsi="Times New Roman" w:cs="Times New Roman"/>
          <w:b/>
          <w:sz w:val="24"/>
          <w:szCs w:val="24"/>
        </w:rPr>
        <w:lastRenderedPageBreak/>
        <w:t xml:space="preserve">Usefulness </w:t>
      </w:r>
      <w:r w:rsidR="004C352A" w:rsidRPr="0086148A">
        <w:rPr>
          <w:rFonts w:ascii="Times New Roman" w:hAnsi="Times New Roman" w:cs="Times New Roman"/>
          <w:b/>
          <w:sz w:val="24"/>
          <w:szCs w:val="24"/>
        </w:rPr>
        <w:t xml:space="preserve">and Specificity </w:t>
      </w:r>
      <w:r w:rsidRPr="0086148A">
        <w:rPr>
          <w:rFonts w:ascii="Times New Roman" w:hAnsi="Times New Roman" w:cs="Times New Roman"/>
          <w:b/>
          <w:sz w:val="24"/>
          <w:szCs w:val="24"/>
        </w:rPr>
        <w:t xml:space="preserve">of Transitional Justice Recommendations to Burundi and South Sudan  </w:t>
      </w:r>
    </w:p>
    <w:p w14:paraId="61370170" w14:textId="7C3635AF" w:rsidR="005A6550" w:rsidRPr="0086148A" w:rsidRDefault="6AE414D3"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One of the significant findings from data on Figure 1 and 2 above is that there was a significant focus on justice/criminal accountability and </w:t>
      </w:r>
      <w:r w:rsidR="1DE871DA" w:rsidRPr="0086148A">
        <w:rPr>
          <w:rFonts w:ascii="Times New Roman" w:hAnsi="Times New Roman" w:cs="Times New Roman"/>
          <w:sz w:val="24"/>
          <w:szCs w:val="24"/>
        </w:rPr>
        <w:t>t</w:t>
      </w:r>
      <w:r w:rsidRPr="0086148A">
        <w:rPr>
          <w:rFonts w:ascii="Times New Roman" w:hAnsi="Times New Roman" w:cs="Times New Roman"/>
          <w:sz w:val="24"/>
          <w:szCs w:val="24"/>
        </w:rPr>
        <w:t xml:space="preserve">ruth </w:t>
      </w:r>
      <w:r w:rsidR="1DE871DA" w:rsidRPr="0086148A">
        <w:rPr>
          <w:rFonts w:ascii="Times New Roman" w:hAnsi="Times New Roman" w:cs="Times New Roman"/>
          <w:sz w:val="24"/>
          <w:szCs w:val="24"/>
        </w:rPr>
        <w:t>c</w:t>
      </w:r>
      <w:r w:rsidRPr="0086148A">
        <w:rPr>
          <w:rFonts w:ascii="Times New Roman" w:hAnsi="Times New Roman" w:cs="Times New Roman"/>
          <w:sz w:val="24"/>
          <w:szCs w:val="24"/>
        </w:rPr>
        <w:t>ommissions/</w:t>
      </w:r>
      <w:r w:rsidR="1DE871DA" w:rsidRPr="0086148A">
        <w:rPr>
          <w:rFonts w:ascii="Times New Roman" w:hAnsi="Times New Roman" w:cs="Times New Roman"/>
          <w:sz w:val="24"/>
          <w:szCs w:val="24"/>
        </w:rPr>
        <w:t>c</w:t>
      </w:r>
      <w:r w:rsidRPr="0086148A">
        <w:rPr>
          <w:rFonts w:ascii="Times New Roman" w:hAnsi="Times New Roman" w:cs="Times New Roman"/>
          <w:sz w:val="24"/>
          <w:szCs w:val="24"/>
        </w:rPr>
        <w:t xml:space="preserve">ommissions of </w:t>
      </w:r>
      <w:r w:rsidR="1DE871DA" w:rsidRPr="0086148A">
        <w:rPr>
          <w:rFonts w:ascii="Times New Roman" w:hAnsi="Times New Roman" w:cs="Times New Roman"/>
          <w:sz w:val="24"/>
          <w:szCs w:val="24"/>
        </w:rPr>
        <w:t>i</w:t>
      </w:r>
      <w:r w:rsidRPr="0086148A">
        <w:rPr>
          <w:rFonts w:ascii="Times New Roman" w:hAnsi="Times New Roman" w:cs="Times New Roman"/>
          <w:sz w:val="24"/>
          <w:szCs w:val="24"/>
        </w:rPr>
        <w:t>nquiry</w:t>
      </w:r>
      <w:r w:rsidR="672622A5" w:rsidRPr="0086148A">
        <w:rPr>
          <w:rFonts w:ascii="Times New Roman" w:hAnsi="Times New Roman" w:cs="Times New Roman"/>
          <w:sz w:val="24"/>
          <w:szCs w:val="24"/>
        </w:rPr>
        <w:t>,</w:t>
      </w:r>
      <w:r w:rsidRPr="0086148A">
        <w:rPr>
          <w:rFonts w:ascii="Times New Roman" w:hAnsi="Times New Roman" w:cs="Times New Roman"/>
          <w:sz w:val="24"/>
          <w:szCs w:val="24"/>
        </w:rPr>
        <w:t xml:space="preserve"> and very little focus on other transitional justice measures. </w:t>
      </w:r>
      <w:r w:rsidR="1CF5B7CD" w:rsidRPr="0086148A">
        <w:rPr>
          <w:rFonts w:ascii="Times New Roman" w:hAnsi="Times New Roman" w:cs="Times New Roman"/>
          <w:sz w:val="24"/>
          <w:szCs w:val="24"/>
        </w:rPr>
        <w:t>The majority of the recommendations</w:t>
      </w:r>
      <w:r w:rsidRPr="0086148A">
        <w:rPr>
          <w:rFonts w:ascii="Times New Roman" w:hAnsi="Times New Roman" w:cs="Times New Roman"/>
          <w:sz w:val="24"/>
          <w:szCs w:val="24"/>
        </w:rPr>
        <w:t xml:space="preserve"> on transitional justice</w:t>
      </w:r>
      <w:r w:rsidR="1CF5B7CD" w:rsidRPr="0086148A">
        <w:rPr>
          <w:rFonts w:ascii="Times New Roman" w:hAnsi="Times New Roman" w:cs="Times New Roman"/>
          <w:sz w:val="24"/>
          <w:szCs w:val="24"/>
        </w:rPr>
        <w:t xml:space="preserve"> made to Burundi</w:t>
      </w:r>
      <w:r w:rsidRPr="0086148A">
        <w:rPr>
          <w:rFonts w:ascii="Times New Roman" w:hAnsi="Times New Roman" w:cs="Times New Roman"/>
          <w:sz w:val="24"/>
          <w:szCs w:val="24"/>
        </w:rPr>
        <w:t xml:space="preserve"> during the last three UPR cycles focus</w:t>
      </w:r>
      <w:r w:rsidR="0F960DF1" w:rsidRPr="0086148A">
        <w:rPr>
          <w:rFonts w:ascii="Times New Roman" w:hAnsi="Times New Roman" w:cs="Times New Roman"/>
          <w:sz w:val="24"/>
          <w:szCs w:val="24"/>
        </w:rPr>
        <w:t>ed</w:t>
      </w:r>
      <w:r w:rsidRPr="0086148A">
        <w:rPr>
          <w:rFonts w:ascii="Times New Roman" w:hAnsi="Times New Roman" w:cs="Times New Roman"/>
          <w:sz w:val="24"/>
          <w:szCs w:val="24"/>
        </w:rPr>
        <w:t xml:space="preserve"> equally on justice/criminal accountability (24%) and Truth Commissions/Commissions of Inquiry (24%). There were no recommendations on return and reintegration or on reparations during the second and third cycles of the review. </w:t>
      </w:r>
      <w:r w:rsidR="0045BFCF" w:rsidRPr="0086148A">
        <w:rPr>
          <w:rFonts w:ascii="Times New Roman" w:hAnsi="Times New Roman" w:cs="Times New Roman"/>
          <w:sz w:val="24"/>
          <w:szCs w:val="24"/>
        </w:rPr>
        <w:t>There was only one recommendation to Burundi in the second and third cycles of the review in the category of ‘constitutional, judicial and institutional reform’.</w:t>
      </w:r>
      <w:r w:rsidR="00D83894" w:rsidRPr="0086148A">
        <w:rPr>
          <w:rStyle w:val="FootnoteReference"/>
          <w:rFonts w:ascii="Times New Roman" w:hAnsi="Times New Roman" w:cs="Times New Roman"/>
          <w:sz w:val="24"/>
          <w:szCs w:val="24"/>
        </w:rPr>
        <w:footnoteReference w:id="101"/>
      </w:r>
      <w:r w:rsidR="0045BFCF" w:rsidRPr="0086148A">
        <w:rPr>
          <w:rFonts w:ascii="Times New Roman" w:hAnsi="Times New Roman" w:cs="Times New Roman"/>
          <w:sz w:val="24"/>
          <w:szCs w:val="24"/>
        </w:rPr>
        <w:t xml:space="preserve"> </w:t>
      </w:r>
      <w:r w:rsidR="3F10F9DB" w:rsidRPr="0086148A">
        <w:rPr>
          <w:rFonts w:ascii="Times New Roman" w:hAnsi="Times New Roman" w:cs="Times New Roman"/>
          <w:sz w:val="24"/>
          <w:szCs w:val="24"/>
        </w:rPr>
        <w:t>The two issues prioritised here by states can be considered useful as they objectively show</w:t>
      </w:r>
      <w:r w:rsidR="1626A4EE" w:rsidRPr="0086148A">
        <w:rPr>
          <w:rFonts w:ascii="Times New Roman" w:hAnsi="Times New Roman" w:cs="Times New Roman"/>
          <w:sz w:val="24"/>
          <w:szCs w:val="24"/>
        </w:rPr>
        <w:t>ed</w:t>
      </w:r>
      <w:r w:rsidR="3F10F9DB" w:rsidRPr="0086148A">
        <w:rPr>
          <w:rFonts w:ascii="Times New Roman" w:hAnsi="Times New Roman" w:cs="Times New Roman"/>
          <w:sz w:val="24"/>
          <w:szCs w:val="24"/>
        </w:rPr>
        <w:t xml:space="preserve"> an understanding of the human rights situation</w:t>
      </w:r>
      <w:r w:rsidR="1401D570" w:rsidRPr="0086148A">
        <w:rPr>
          <w:rFonts w:ascii="Times New Roman" w:hAnsi="Times New Roman" w:cs="Times New Roman"/>
          <w:sz w:val="24"/>
          <w:szCs w:val="24"/>
        </w:rPr>
        <w:t>, and</w:t>
      </w:r>
      <w:r w:rsidR="3F10F9DB" w:rsidRPr="0086148A">
        <w:rPr>
          <w:rFonts w:ascii="Times New Roman" w:hAnsi="Times New Roman" w:cs="Times New Roman"/>
          <w:sz w:val="24"/>
          <w:szCs w:val="24"/>
        </w:rPr>
        <w:t xml:space="preserve"> capture</w:t>
      </w:r>
      <w:r w:rsidR="1626A4EE" w:rsidRPr="0086148A">
        <w:rPr>
          <w:rFonts w:ascii="Times New Roman" w:hAnsi="Times New Roman" w:cs="Times New Roman"/>
          <w:sz w:val="24"/>
          <w:szCs w:val="24"/>
        </w:rPr>
        <w:t>d</w:t>
      </w:r>
      <w:r w:rsidR="3F10F9DB" w:rsidRPr="0086148A">
        <w:rPr>
          <w:rFonts w:ascii="Times New Roman" w:hAnsi="Times New Roman" w:cs="Times New Roman"/>
          <w:sz w:val="24"/>
          <w:szCs w:val="24"/>
        </w:rPr>
        <w:t xml:space="preserve"> the transitional justice challenge</w:t>
      </w:r>
      <w:r w:rsidR="1401D570" w:rsidRPr="0086148A">
        <w:rPr>
          <w:rFonts w:ascii="Times New Roman" w:hAnsi="Times New Roman" w:cs="Times New Roman"/>
          <w:sz w:val="24"/>
          <w:szCs w:val="24"/>
        </w:rPr>
        <w:t xml:space="preserve">s facing Burundi. They </w:t>
      </w:r>
      <w:r w:rsidR="3F10F9DB" w:rsidRPr="0086148A">
        <w:rPr>
          <w:rFonts w:ascii="Times New Roman" w:hAnsi="Times New Roman" w:cs="Times New Roman"/>
          <w:sz w:val="24"/>
          <w:szCs w:val="24"/>
        </w:rPr>
        <w:t>re</w:t>
      </w:r>
      <w:r w:rsidR="1401D570" w:rsidRPr="0086148A">
        <w:rPr>
          <w:rFonts w:ascii="Times New Roman" w:hAnsi="Times New Roman" w:cs="Times New Roman"/>
          <w:sz w:val="24"/>
          <w:szCs w:val="24"/>
        </w:rPr>
        <w:t>inforce</w:t>
      </w:r>
      <w:r w:rsidR="3DA93FC9" w:rsidRPr="0086148A">
        <w:rPr>
          <w:rFonts w:ascii="Times New Roman" w:hAnsi="Times New Roman" w:cs="Times New Roman"/>
          <w:sz w:val="24"/>
          <w:szCs w:val="24"/>
        </w:rPr>
        <w:t>d</w:t>
      </w:r>
      <w:r w:rsidR="1401D570" w:rsidRPr="0086148A">
        <w:rPr>
          <w:rFonts w:ascii="Times New Roman" w:hAnsi="Times New Roman" w:cs="Times New Roman"/>
          <w:sz w:val="24"/>
          <w:szCs w:val="24"/>
        </w:rPr>
        <w:t xml:space="preserve"> </w:t>
      </w:r>
      <w:r w:rsidR="613A5FA6" w:rsidRPr="0086148A">
        <w:rPr>
          <w:rFonts w:ascii="Times New Roman" w:hAnsi="Times New Roman" w:cs="Times New Roman"/>
          <w:sz w:val="24"/>
          <w:szCs w:val="24"/>
        </w:rPr>
        <w:t xml:space="preserve">some of </w:t>
      </w:r>
      <w:r w:rsidR="1401D570" w:rsidRPr="0086148A">
        <w:rPr>
          <w:rFonts w:ascii="Times New Roman" w:hAnsi="Times New Roman" w:cs="Times New Roman"/>
          <w:sz w:val="24"/>
          <w:szCs w:val="24"/>
        </w:rPr>
        <w:t xml:space="preserve">solutions the state </w:t>
      </w:r>
      <w:r w:rsidR="3F10F9DB" w:rsidRPr="0086148A">
        <w:rPr>
          <w:rFonts w:ascii="Times New Roman" w:hAnsi="Times New Roman" w:cs="Times New Roman"/>
          <w:sz w:val="24"/>
          <w:szCs w:val="24"/>
        </w:rPr>
        <w:t xml:space="preserve">agreed to in the </w:t>
      </w:r>
      <w:r w:rsidR="67B993D7" w:rsidRPr="0086148A">
        <w:rPr>
          <w:rFonts w:ascii="Times New Roman" w:hAnsi="Times New Roman" w:cs="Times New Roman"/>
          <w:sz w:val="24"/>
          <w:szCs w:val="24"/>
        </w:rPr>
        <w:t xml:space="preserve">2000 </w:t>
      </w:r>
      <w:r w:rsidR="3F10F9DB" w:rsidRPr="0086148A">
        <w:rPr>
          <w:rFonts w:ascii="Times New Roman" w:hAnsi="Times New Roman" w:cs="Times New Roman"/>
          <w:sz w:val="24"/>
          <w:szCs w:val="24"/>
        </w:rPr>
        <w:t xml:space="preserve">Arusha agreement </w:t>
      </w:r>
      <w:r w:rsidR="1401D570" w:rsidRPr="0086148A">
        <w:rPr>
          <w:rFonts w:ascii="Times New Roman" w:hAnsi="Times New Roman" w:cs="Times New Roman"/>
          <w:sz w:val="24"/>
          <w:szCs w:val="24"/>
        </w:rPr>
        <w:t xml:space="preserve">and </w:t>
      </w:r>
      <w:r w:rsidR="3F10F9DB" w:rsidRPr="0086148A">
        <w:rPr>
          <w:rFonts w:ascii="Times New Roman" w:hAnsi="Times New Roman" w:cs="Times New Roman"/>
          <w:sz w:val="24"/>
          <w:szCs w:val="24"/>
        </w:rPr>
        <w:t>reiterated by UN Security Council Resolution,</w:t>
      </w:r>
      <w:r w:rsidR="000756D5" w:rsidRPr="0086148A">
        <w:rPr>
          <w:rStyle w:val="FootnoteReference"/>
          <w:rFonts w:ascii="Times New Roman" w:hAnsi="Times New Roman" w:cs="Times New Roman"/>
          <w:sz w:val="24"/>
          <w:szCs w:val="24"/>
        </w:rPr>
        <w:footnoteReference w:id="102"/>
      </w:r>
      <w:r w:rsidR="1401D570" w:rsidRPr="0086148A">
        <w:rPr>
          <w:rFonts w:ascii="Times New Roman" w:hAnsi="Times New Roman" w:cs="Times New Roman"/>
          <w:sz w:val="24"/>
          <w:szCs w:val="24"/>
        </w:rPr>
        <w:t xml:space="preserve"> </w:t>
      </w:r>
      <w:r w:rsidR="3F10F9DB" w:rsidRPr="0086148A">
        <w:rPr>
          <w:rFonts w:ascii="Times New Roman" w:hAnsi="Times New Roman" w:cs="Times New Roman"/>
          <w:sz w:val="24"/>
          <w:szCs w:val="24"/>
        </w:rPr>
        <w:t>UN Special Rapporteur</w:t>
      </w:r>
      <w:r w:rsidR="1401D570" w:rsidRPr="0086148A">
        <w:rPr>
          <w:rFonts w:ascii="Times New Roman" w:hAnsi="Times New Roman" w:cs="Times New Roman"/>
          <w:sz w:val="24"/>
          <w:szCs w:val="24"/>
        </w:rPr>
        <w:t>s,</w:t>
      </w:r>
      <w:r w:rsidR="000756D5" w:rsidRPr="0086148A">
        <w:rPr>
          <w:rStyle w:val="FootnoteReference"/>
          <w:rFonts w:ascii="Times New Roman" w:hAnsi="Times New Roman" w:cs="Times New Roman"/>
          <w:sz w:val="24"/>
          <w:szCs w:val="24"/>
        </w:rPr>
        <w:footnoteReference w:id="103"/>
      </w:r>
      <w:r w:rsidR="1401D570" w:rsidRPr="0086148A">
        <w:rPr>
          <w:rFonts w:ascii="Times New Roman" w:hAnsi="Times New Roman" w:cs="Times New Roman"/>
          <w:sz w:val="24"/>
          <w:szCs w:val="24"/>
        </w:rPr>
        <w:t xml:space="preserve"> ACHPR</w:t>
      </w:r>
      <w:r w:rsidR="000756D5" w:rsidRPr="0086148A">
        <w:rPr>
          <w:rStyle w:val="FootnoteReference"/>
          <w:rFonts w:ascii="Times New Roman" w:hAnsi="Times New Roman" w:cs="Times New Roman"/>
          <w:sz w:val="24"/>
          <w:szCs w:val="24"/>
        </w:rPr>
        <w:footnoteReference w:id="104"/>
      </w:r>
      <w:r w:rsidR="1401D570" w:rsidRPr="0086148A">
        <w:rPr>
          <w:rFonts w:ascii="Times New Roman" w:hAnsi="Times New Roman" w:cs="Times New Roman"/>
          <w:sz w:val="24"/>
          <w:szCs w:val="24"/>
        </w:rPr>
        <w:t xml:space="preserve"> and SFPB.</w:t>
      </w:r>
      <w:r w:rsidR="000756D5" w:rsidRPr="0086148A">
        <w:rPr>
          <w:rStyle w:val="FootnoteReference"/>
          <w:rFonts w:ascii="Times New Roman" w:hAnsi="Times New Roman" w:cs="Times New Roman"/>
          <w:sz w:val="24"/>
          <w:szCs w:val="24"/>
        </w:rPr>
        <w:footnoteReference w:id="105"/>
      </w:r>
      <w:r w:rsidR="1401D570" w:rsidRPr="0086148A">
        <w:rPr>
          <w:rFonts w:ascii="Times New Roman" w:hAnsi="Times New Roman" w:cs="Times New Roman"/>
          <w:sz w:val="24"/>
          <w:szCs w:val="24"/>
        </w:rPr>
        <w:t xml:space="preserve"> </w:t>
      </w:r>
      <w:r w:rsidR="613A5FA6" w:rsidRPr="0086148A">
        <w:rPr>
          <w:rFonts w:ascii="Times New Roman" w:hAnsi="Times New Roman" w:cs="Times New Roman"/>
          <w:sz w:val="24"/>
          <w:szCs w:val="24"/>
        </w:rPr>
        <w:t xml:space="preserve">In particular, the recommendations called for the establishment of a Truth Commission, and establishment of tribunal to hold accountable/prosecute perpetrators of genocide, crimes against humanity, war crimes and other related crimes committed during the </w:t>
      </w:r>
      <w:proofErr w:type="spellStart"/>
      <w:r w:rsidR="613A5FA6" w:rsidRPr="0086148A">
        <w:rPr>
          <w:rFonts w:ascii="Times New Roman" w:hAnsi="Times New Roman" w:cs="Times New Roman"/>
          <w:sz w:val="24"/>
          <w:szCs w:val="24"/>
        </w:rPr>
        <w:t>conflict</w:t>
      </w:r>
      <w:r w:rsidR="18FB3CE5" w:rsidRPr="0086148A">
        <w:rPr>
          <w:rFonts w:ascii="Times New Roman" w:hAnsi="Times New Roman" w:cs="Times New Roman"/>
          <w:sz w:val="24"/>
          <w:szCs w:val="24"/>
        </w:rPr>
        <w:t>y</w:t>
      </w:r>
      <w:proofErr w:type="spellEnd"/>
      <w:r w:rsidR="18FB3CE5" w:rsidRPr="0086148A">
        <w:rPr>
          <w:rFonts w:ascii="Times New Roman" w:hAnsi="Times New Roman" w:cs="Times New Roman"/>
          <w:sz w:val="24"/>
          <w:szCs w:val="24"/>
        </w:rPr>
        <w:t>.</w:t>
      </w:r>
      <w:r w:rsidR="2C9C2232" w:rsidRPr="0086148A">
        <w:rPr>
          <w:rFonts w:ascii="Times New Roman" w:hAnsi="Times New Roman" w:cs="Times New Roman"/>
          <w:sz w:val="24"/>
          <w:szCs w:val="24"/>
        </w:rPr>
        <w:t xml:space="preserve"> Th</w:t>
      </w:r>
      <w:r w:rsidR="63937D6E" w:rsidRPr="0086148A">
        <w:rPr>
          <w:rFonts w:ascii="Times New Roman" w:hAnsi="Times New Roman" w:cs="Times New Roman"/>
          <w:sz w:val="24"/>
          <w:szCs w:val="24"/>
        </w:rPr>
        <w:t>is</w:t>
      </w:r>
      <w:r w:rsidR="2C9C2232" w:rsidRPr="0086148A">
        <w:rPr>
          <w:rFonts w:ascii="Times New Roman" w:hAnsi="Times New Roman" w:cs="Times New Roman"/>
          <w:sz w:val="24"/>
          <w:szCs w:val="24"/>
        </w:rPr>
        <w:t xml:space="preserve"> </w:t>
      </w:r>
      <w:r w:rsidR="2A576460" w:rsidRPr="0086148A">
        <w:rPr>
          <w:rFonts w:ascii="Times New Roman" w:hAnsi="Times New Roman" w:cs="Times New Roman"/>
          <w:sz w:val="24"/>
          <w:szCs w:val="24"/>
        </w:rPr>
        <w:t xml:space="preserve">renewed visibility given to the transitional justice measures in Burundi was much needed </w:t>
      </w:r>
      <w:r w:rsidR="5EA8C7E5" w:rsidRPr="0086148A">
        <w:rPr>
          <w:rFonts w:ascii="Times New Roman" w:hAnsi="Times New Roman" w:cs="Times New Roman"/>
          <w:sz w:val="24"/>
          <w:szCs w:val="24"/>
        </w:rPr>
        <w:t>considering</w:t>
      </w:r>
      <w:r w:rsidR="2A576460" w:rsidRPr="0086148A">
        <w:rPr>
          <w:rFonts w:ascii="Times New Roman" w:hAnsi="Times New Roman" w:cs="Times New Roman"/>
          <w:sz w:val="24"/>
          <w:szCs w:val="24"/>
        </w:rPr>
        <w:t xml:space="preserve"> the several years of delays </w:t>
      </w:r>
      <w:r w:rsidR="37AD6664" w:rsidRPr="0086148A">
        <w:rPr>
          <w:rFonts w:ascii="Times New Roman" w:hAnsi="Times New Roman" w:cs="Times New Roman"/>
          <w:sz w:val="24"/>
          <w:szCs w:val="24"/>
        </w:rPr>
        <w:t xml:space="preserve">in implementing the measures since the Arusha agreement was signed in 2000. </w:t>
      </w:r>
    </w:p>
    <w:p w14:paraId="1AA2B29D" w14:textId="11900257" w:rsidR="005A6550" w:rsidRPr="0086148A" w:rsidRDefault="00D83894"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In the case of South Sudan, </w:t>
      </w:r>
      <w:r w:rsidR="009114F0" w:rsidRPr="0086148A">
        <w:rPr>
          <w:rFonts w:ascii="Times New Roman" w:hAnsi="Times New Roman" w:cs="Times New Roman"/>
          <w:sz w:val="24"/>
          <w:szCs w:val="24"/>
        </w:rPr>
        <w:t>there were only few broad references to transitional justice in the first cycle of the UPR focusing on peace and pending constitutional arrangement that led to South Sudan’s independence. T</w:t>
      </w:r>
      <w:r w:rsidRPr="0086148A">
        <w:rPr>
          <w:rFonts w:ascii="Times New Roman" w:hAnsi="Times New Roman" w:cs="Times New Roman"/>
          <w:sz w:val="24"/>
          <w:szCs w:val="24"/>
        </w:rPr>
        <w:t xml:space="preserve">he majority of transitional justice recommendations made during the </w:t>
      </w:r>
      <w:r w:rsidR="009114F0" w:rsidRPr="0086148A">
        <w:rPr>
          <w:rFonts w:ascii="Times New Roman" w:hAnsi="Times New Roman" w:cs="Times New Roman"/>
          <w:sz w:val="24"/>
          <w:szCs w:val="24"/>
        </w:rPr>
        <w:t>second and third</w:t>
      </w:r>
      <w:r w:rsidRPr="0086148A">
        <w:rPr>
          <w:rFonts w:ascii="Times New Roman" w:hAnsi="Times New Roman" w:cs="Times New Roman"/>
          <w:sz w:val="24"/>
          <w:szCs w:val="24"/>
        </w:rPr>
        <w:t xml:space="preserve"> cycles of the review focused on justice and criminal accountability (25%) compared to </w:t>
      </w:r>
      <w:r w:rsidR="009114F0" w:rsidRPr="0086148A">
        <w:rPr>
          <w:rFonts w:ascii="Times New Roman" w:hAnsi="Times New Roman" w:cs="Times New Roman"/>
          <w:sz w:val="24"/>
          <w:szCs w:val="24"/>
        </w:rPr>
        <w:t xml:space="preserve">3% on Truth Commission/Commissions of Inquiry, 2% on reparations, 2% on return and reintegration, and 2% on reform. </w:t>
      </w:r>
      <w:r w:rsidR="00611434" w:rsidRPr="0086148A">
        <w:rPr>
          <w:rFonts w:ascii="Times New Roman" w:hAnsi="Times New Roman" w:cs="Times New Roman"/>
          <w:sz w:val="24"/>
          <w:szCs w:val="24"/>
        </w:rPr>
        <w:t xml:space="preserve">It was useful for states to recommend justice and criminal accountability through the prosecution of perpetrators of human rights atrocities during the conflict in South Sudan. This is consistent with the ARCSS, R-ARCSS, UN Security Council Resolution 2625, and recommendations from the Human Rights Council, as highlighted earlier on in this chapter. </w:t>
      </w:r>
      <w:r w:rsidR="00A47332" w:rsidRPr="0086148A">
        <w:rPr>
          <w:rFonts w:ascii="Times New Roman" w:hAnsi="Times New Roman" w:cs="Times New Roman"/>
          <w:sz w:val="24"/>
          <w:szCs w:val="24"/>
        </w:rPr>
        <w:t>It is also in line with authoritative interpretations of the ICCPR requiring states to prosecute, and punish certain serious violators of international human rights law.</w:t>
      </w:r>
      <w:r w:rsidR="00A47332" w:rsidRPr="0086148A">
        <w:rPr>
          <w:rStyle w:val="FootnoteReference"/>
          <w:rFonts w:ascii="Times New Roman" w:hAnsi="Times New Roman" w:cs="Times New Roman"/>
          <w:sz w:val="24"/>
          <w:szCs w:val="24"/>
        </w:rPr>
        <w:footnoteReference w:id="106"/>
      </w:r>
      <w:r w:rsidR="00A47332" w:rsidRPr="0086148A">
        <w:rPr>
          <w:rFonts w:ascii="Times New Roman" w:hAnsi="Times New Roman" w:cs="Times New Roman"/>
          <w:sz w:val="24"/>
          <w:szCs w:val="24"/>
        </w:rPr>
        <w:t xml:space="preserve"> </w:t>
      </w:r>
      <w:r w:rsidR="003C2043" w:rsidRPr="0086148A">
        <w:rPr>
          <w:rFonts w:ascii="Times New Roman" w:hAnsi="Times New Roman" w:cs="Times New Roman"/>
          <w:sz w:val="24"/>
          <w:szCs w:val="24"/>
        </w:rPr>
        <w:t>The m</w:t>
      </w:r>
      <w:r w:rsidR="00C218B2" w:rsidRPr="0086148A">
        <w:rPr>
          <w:rFonts w:ascii="Times New Roman" w:hAnsi="Times New Roman" w:cs="Times New Roman"/>
          <w:sz w:val="24"/>
          <w:szCs w:val="24"/>
        </w:rPr>
        <w:t>ajority of the state recommendations to South Sudan on this issue called for the establishment of the hybrid tribunal and the prosecution of perpetuators of atrocity crimes, including conflict related sexual violence. The delays in the establishment of the hybrid tribunal for South Sudan and the need to prosecute perpetuators of atrocity crimes during the conflict was an issue raised in several NGO submissions to South Sudan’s UPR.</w:t>
      </w:r>
      <w:r w:rsidR="00C218B2" w:rsidRPr="0086148A">
        <w:rPr>
          <w:rStyle w:val="FootnoteReference"/>
          <w:rFonts w:ascii="Times New Roman" w:hAnsi="Times New Roman" w:cs="Times New Roman"/>
          <w:sz w:val="24"/>
          <w:szCs w:val="24"/>
        </w:rPr>
        <w:footnoteReference w:id="107"/>
      </w:r>
      <w:r w:rsidR="00C218B2" w:rsidRPr="0086148A">
        <w:rPr>
          <w:rFonts w:ascii="Times New Roman" w:hAnsi="Times New Roman" w:cs="Times New Roman"/>
          <w:sz w:val="24"/>
          <w:szCs w:val="24"/>
        </w:rPr>
        <w:t xml:space="preserve"> </w:t>
      </w:r>
      <w:r w:rsidR="00C218B2" w:rsidRPr="0086148A">
        <w:rPr>
          <w:rFonts w:ascii="Times New Roman" w:hAnsi="Times New Roman" w:cs="Times New Roman"/>
          <w:sz w:val="24"/>
          <w:szCs w:val="24"/>
        </w:rPr>
        <w:lastRenderedPageBreak/>
        <w:t>Recommendations on this issue w</w:t>
      </w:r>
      <w:r w:rsidR="00704EDB" w:rsidRPr="0086148A">
        <w:rPr>
          <w:rFonts w:ascii="Times New Roman" w:hAnsi="Times New Roman" w:cs="Times New Roman"/>
          <w:sz w:val="24"/>
          <w:szCs w:val="24"/>
        </w:rPr>
        <w:t>ere</w:t>
      </w:r>
      <w:r w:rsidR="00C218B2" w:rsidRPr="0086148A">
        <w:rPr>
          <w:rFonts w:ascii="Times New Roman" w:hAnsi="Times New Roman" w:cs="Times New Roman"/>
          <w:sz w:val="24"/>
          <w:szCs w:val="24"/>
        </w:rPr>
        <w:t xml:space="preserve"> therefore useful</w:t>
      </w:r>
      <w:r w:rsidR="00690D6E" w:rsidRPr="0086148A">
        <w:rPr>
          <w:rFonts w:ascii="Times New Roman" w:hAnsi="Times New Roman" w:cs="Times New Roman"/>
          <w:sz w:val="24"/>
          <w:szCs w:val="24"/>
        </w:rPr>
        <w:t xml:space="preserve"> and the UPR provided renewed visibility to these recommendations. </w:t>
      </w:r>
      <w:r w:rsidR="00C218B2" w:rsidRPr="0086148A">
        <w:rPr>
          <w:rFonts w:ascii="Times New Roman" w:hAnsi="Times New Roman" w:cs="Times New Roman"/>
          <w:sz w:val="24"/>
          <w:szCs w:val="24"/>
        </w:rPr>
        <w:t xml:space="preserve"> </w:t>
      </w:r>
    </w:p>
    <w:p w14:paraId="4A1530C9" w14:textId="551EA81B" w:rsidR="009114F0" w:rsidRPr="0086148A" w:rsidRDefault="009114F0"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It is evident that addressing impunity and prosecuting perpetrators of serious human rights violations during the respective conflicts in Burundi and South Sudan gained prominence in state recommendations. </w:t>
      </w:r>
      <w:r w:rsidR="00C218B2" w:rsidRPr="0086148A">
        <w:rPr>
          <w:rFonts w:ascii="Times New Roman" w:hAnsi="Times New Roman" w:cs="Times New Roman"/>
          <w:sz w:val="24"/>
          <w:szCs w:val="24"/>
        </w:rPr>
        <w:t xml:space="preserve">These recommendations were useful. However, the limited </w:t>
      </w:r>
      <w:r w:rsidR="00EF6286" w:rsidRPr="0086148A">
        <w:rPr>
          <w:rFonts w:ascii="Times New Roman" w:hAnsi="Times New Roman" w:cs="Times New Roman"/>
          <w:sz w:val="24"/>
          <w:szCs w:val="24"/>
        </w:rPr>
        <w:t>or no reference to</w:t>
      </w:r>
      <w:r w:rsidR="00C218B2" w:rsidRPr="0086148A">
        <w:rPr>
          <w:rFonts w:ascii="Times New Roman" w:hAnsi="Times New Roman" w:cs="Times New Roman"/>
          <w:sz w:val="24"/>
          <w:szCs w:val="24"/>
        </w:rPr>
        <w:t xml:space="preserve"> </w:t>
      </w:r>
      <w:r w:rsidR="00EF6286" w:rsidRPr="0086148A">
        <w:rPr>
          <w:rFonts w:ascii="Times New Roman" w:hAnsi="Times New Roman" w:cs="Times New Roman"/>
          <w:sz w:val="24"/>
          <w:szCs w:val="24"/>
        </w:rPr>
        <w:t>many other important transitional justice measures meant the full domestic situation was not captured in the overall quality of transitional justice recommendations made by states</w:t>
      </w:r>
      <w:r w:rsidR="00C218B2" w:rsidRPr="0086148A">
        <w:rPr>
          <w:rFonts w:ascii="Times New Roman" w:hAnsi="Times New Roman" w:cs="Times New Roman"/>
          <w:sz w:val="24"/>
          <w:szCs w:val="24"/>
        </w:rPr>
        <w:t xml:space="preserve">. </w:t>
      </w:r>
      <w:r w:rsidR="00EF6286" w:rsidRPr="0086148A">
        <w:rPr>
          <w:rFonts w:ascii="Times New Roman" w:hAnsi="Times New Roman" w:cs="Times New Roman"/>
          <w:sz w:val="24"/>
          <w:szCs w:val="24"/>
        </w:rPr>
        <w:t xml:space="preserve">Whereas the foundational documents for transitional justice in both Burundi and South Sudan captures a range of other measures, states within the UPR have focused primarily on criminal accountability through prosecution and truth commissions. For example, </w:t>
      </w:r>
      <w:r w:rsidR="009E36EF" w:rsidRPr="0086148A">
        <w:rPr>
          <w:rFonts w:ascii="Times New Roman" w:hAnsi="Times New Roman" w:cs="Times New Roman"/>
          <w:sz w:val="24"/>
          <w:szCs w:val="24"/>
        </w:rPr>
        <w:t xml:space="preserve">establishing a </w:t>
      </w:r>
      <w:r w:rsidR="00EF6286" w:rsidRPr="0086148A">
        <w:rPr>
          <w:rFonts w:ascii="Times New Roman" w:hAnsi="Times New Roman" w:cs="Times New Roman"/>
          <w:sz w:val="24"/>
          <w:szCs w:val="24"/>
        </w:rPr>
        <w:t xml:space="preserve">Remembrance Day </w:t>
      </w:r>
      <w:r w:rsidR="009E36EF" w:rsidRPr="0086148A">
        <w:rPr>
          <w:rFonts w:ascii="Times New Roman" w:hAnsi="Times New Roman" w:cs="Times New Roman"/>
          <w:sz w:val="24"/>
          <w:szCs w:val="24"/>
        </w:rPr>
        <w:t xml:space="preserve">and a national monument for </w:t>
      </w:r>
      <w:r w:rsidR="00EF6286" w:rsidRPr="0086148A">
        <w:rPr>
          <w:rFonts w:ascii="Times New Roman" w:hAnsi="Times New Roman" w:cs="Times New Roman"/>
          <w:sz w:val="24"/>
          <w:szCs w:val="24"/>
        </w:rPr>
        <w:t>victi</w:t>
      </w:r>
      <w:r w:rsidR="009E36EF" w:rsidRPr="0086148A">
        <w:rPr>
          <w:rFonts w:ascii="Times New Roman" w:hAnsi="Times New Roman" w:cs="Times New Roman"/>
          <w:sz w:val="24"/>
          <w:szCs w:val="24"/>
        </w:rPr>
        <w:t>ms was given equal importance to prosecution in the Arusha Agreement but was never mentioned in the UPR recommendations to Burundi. There was very little focus on reparations, and the return and reintegration</w:t>
      </w:r>
      <w:r w:rsidR="00EF6286" w:rsidRPr="0086148A">
        <w:rPr>
          <w:rFonts w:ascii="Times New Roman" w:hAnsi="Times New Roman" w:cs="Times New Roman"/>
          <w:sz w:val="24"/>
          <w:szCs w:val="24"/>
        </w:rPr>
        <w:t xml:space="preserve"> </w:t>
      </w:r>
      <w:r w:rsidR="009E36EF" w:rsidRPr="0086148A">
        <w:rPr>
          <w:rFonts w:ascii="Times New Roman" w:hAnsi="Times New Roman" w:cs="Times New Roman"/>
          <w:sz w:val="24"/>
          <w:szCs w:val="24"/>
        </w:rPr>
        <w:t xml:space="preserve">of victims, despite constituting and important aspect of the transitional justice process in both Burundi and South Sudan. The predominant focus on prosecution and truth commission </w:t>
      </w:r>
      <w:r w:rsidR="00E64B8C" w:rsidRPr="0086148A">
        <w:rPr>
          <w:rFonts w:ascii="Times New Roman" w:hAnsi="Times New Roman" w:cs="Times New Roman"/>
          <w:sz w:val="24"/>
          <w:szCs w:val="24"/>
        </w:rPr>
        <w:t>means</w:t>
      </w:r>
      <w:r w:rsidR="009E36EF" w:rsidRPr="0086148A">
        <w:rPr>
          <w:rFonts w:ascii="Times New Roman" w:hAnsi="Times New Roman" w:cs="Times New Roman"/>
          <w:sz w:val="24"/>
          <w:szCs w:val="24"/>
        </w:rPr>
        <w:t xml:space="preserve"> </w:t>
      </w:r>
      <w:r w:rsidR="00245BD6" w:rsidRPr="0086148A">
        <w:rPr>
          <w:rFonts w:ascii="Times New Roman" w:hAnsi="Times New Roman" w:cs="Times New Roman"/>
          <w:sz w:val="24"/>
          <w:szCs w:val="24"/>
        </w:rPr>
        <w:t>those UPR recommendations</w:t>
      </w:r>
      <w:r w:rsidR="009E36EF" w:rsidRPr="0086148A">
        <w:rPr>
          <w:rFonts w:ascii="Times New Roman" w:hAnsi="Times New Roman" w:cs="Times New Roman"/>
          <w:sz w:val="24"/>
          <w:szCs w:val="24"/>
        </w:rPr>
        <w:t xml:space="preserve"> on transitional justice focus more on the needs of the state and less on the needs of the victims. </w:t>
      </w:r>
      <w:r w:rsidR="00245BD6" w:rsidRPr="0086148A">
        <w:rPr>
          <w:rFonts w:ascii="Times New Roman" w:hAnsi="Times New Roman" w:cs="Times New Roman"/>
          <w:sz w:val="24"/>
          <w:szCs w:val="24"/>
        </w:rPr>
        <w:t xml:space="preserve">Simon Robin argues that the predominant focus on prosecution and truth commissions is failing victims and that </w:t>
      </w:r>
      <w:r w:rsidR="005550E9" w:rsidRPr="0086148A">
        <w:rPr>
          <w:rFonts w:ascii="Times New Roman" w:hAnsi="Times New Roman" w:cs="Times New Roman"/>
          <w:sz w:val="24"/>
          <w:szCs w:val="24"/>
        </w:rPr>
        <w:t>other transitional justice measures can better address the needs of individual victims</w:t>
      </w:r>
      <w:r w:rsidR="00245BD6" w:rsidRPr="0086148A">
        <w:rPr>
          <w:rFonts w:ascii="Times New Roman" w:hAnsi="Times New Roman" w:cs="Times New Roman"/>
          <w:sz w:val="24"/>
          <w:szCs w:val="24"/>
        </w:rPr>
        <w:t>.</w:t>
      </w:r>
      <w:r w:rsidR="00245BD6" w:rsidRPr="0086148A">
        <w:rPr>
          <w:rStyle w:val="FootnoteReference"/>
          <w:rFonts w:ascii="Times New Roman" w:hAnsi="Times New Roman" w:cs="Times New Roman"/>
          <w:sz w:val="24"/>
          <w:szCs w:val="24"/>
        </w:rPr>
        <w:footnoteReference w:id="108"/>
      </w:r>
      <w:r w:rsidR="00245BD6" w:rsidRPr="0086148A">
        <w:rPr>
          <w:rFonts w:ascii="Times New Roman" w:hAnsi="Times New Roman" w:cs="Times New Roman"/>
          <w:sz w:val="24"/>
          <w:szCs w:val="24"/>
        </w:rPr>
        <w:t xml:space="preserve"> </w:t>
      </w:r>
      <w:r w:rsidR="00293147" w:rsidRPr="0086148A">
        <w:rPr>
          <w:rFonts w:ascii="Times New Roman" w:hAnsi="Times New Roman" w:cs="Times New Roman"/>
          <w:sz w:val="24"/>
          <w:szCs w:val="24"/>
        </w:rPr>
        <w:t>There were no recommendations on reparations to Burundi and very few recommendations on this issue to South Sudan, despite the fact that this is a well-enshrined principle in human rights law for victims of gross human rights violations,</w:t>
      </w:r>
      <w:r w:rsidR="00293147" w:rsidRPr="0086148A">
        <w:rPr>
          <w:rStyle w:val="FootnoteReference"/>
          <w:rFonts w:ascii="Times New Roman" w:hAnsi="Times New Roman" w:cs="Times New Roman"/>
          <w:sz w:val="24"/>
          <w:szCs w:val="24"/>
        </w:rPr>
        <w:footnoteReference w:id="109"/>
      </w:r>
      <w:r w:rsidR="00293147" w:rsidRPr="0086148A">
        <w:rPr>
          <w:rFonts w:ascii="Times New Roman" w:hAnsi="Times New Roman" w:cs="Times New Roman"/>
          <w:sz w:val="24"/>
          <w:szCs w:val="24"/>
        </w:rPr>
        <w:t>and was part of the transitional justice framework for the states.</w:t>
      </w:r>
      <w:r w:rsidR="006F5076" w:rsidRPr="0086148A">
        <w:rPr>
          <w:rFonts w:ascii="Times New Roman" w:hAnsi="Times New Roman" w:cs="Times New Roman"/>
          <w:sz w:val="24"/>
          <w:szCs w:val="24"/>
        </w:rPr>
        <w:t xml:space="preserve"> While the focus on criminal accountability is important, states need to give equal attention </w:t>
      </w:r>
      <w:r w:rsidR="001C5916" w:rsidRPr="0086148A">
        <w:rPr>
          <w:rFonts w:ascii="Times New Roman" w:hAnsi="Times New Roman" w:cs="Times New Roman"/>
          <w:sz w:val="24"/>
          <w:szCs w:val="24"/>
        </w:rPr>
        <w:t xml:space="preserve">in their recommendations </w:t>
      </w:r>
      <w:r w:rsidR="006F5076" w:rsidRPr="0086148A">
        <w:rPr>
          <w:rFonts w:ascii="Times New Roman" w:hAnsi="Times New Roman" w:cs="Times New Roman"/>
          <w:sz w:val="24"/>
          <w:szCs w:val="24"/>
        </w:rPr>
        <w:t xml:space="preserve">to other transitional </w:t>
      </w:r>
      <w:r w:rsidR="008C7EDF" w:rsidRPr="0086148A">
        <w:rPr>
          <w:rFonts w:ascii="Times New Roman" w:hAnsi="Times New Roman" w:cs="Times New Roman"/>
          <w:sz w:val="24"/>
          <w:szCs w:val="24"/>
        </w:rPr>
        <w:t xml:space="preserve">justice </w:t>
      </w:r>
      <w:r w:rsidR="006F5076" w:rsidRPr="0086148A">
        <w:rPr>
          <w:rFonts w:ascii="Times New Roman" w:hAnsi="Times New Roman" w:cs="Times New Roman"/>
          <w:sz w:val="24"/>
          <w:szCs w:val="24"/>
        </w:rPr>
        <w:t xml:space="preserve">measures that address the needs of victims. </w:t>
      </w:r>
      <w:r w:rsidR="00862666" w:rsidRPr="0086148A">
        <w:rPr>
          <w:rFonts w:ascii="Times New Roman" w:hAnsi="Times New Roman" w:cs="Times New Roman"/>
          <w:sz w:val="24"/>
          <w:szCs w:val="24"/>
        </w:rPr>
        <w:t xml:space="preserve">The skewed distribution of </w:t>
      </w:r>
      <w:r w:rsidR="007C49CE" w:rsidRPr="0086148A">
        <w:rPr>
          <w:rFonts w:ascii="Times New Roman" w:hAnsi="Times New Roman" w:cs="Times New Roman"/>
          <w:sz w:val="24"/>
          <w:szCs w:val="24"/>
        </w:rPr>
        <w:t xml:space="preserve">the recommendations to </w:t>
      </w:r>
      <w:r w:rsidR="00037D3A" w:rsidRPr="0086148A">
        <w:rPr>
          <w:rFonts w:ascii="Times New Roman" w:hAnsi="Times New Roman" w:cs="Times New Roman"/>
          <w:sz w:val="24"/>
          <w:szCs w:val="24"/>
        </w:rPr>
        <w:t xml:space="preserve">Burundi and South Sudan </w:t>
      </w:r>
      <w:r w:rsidR="007C49CE" w:rsidRPr="0086148A">
        <w:rPr>
          <w:rFonts w:ascii="Times New Roman" w:hAnsi="Times New Roman" w:cs="Times New Roman"/>
          <w:sz w:val="24"/>
          <w:szCs w:val="24"/>
        </w:rPr>
        <w:t xml:space="preserve">on transitional justice </w:t>
      </w:r>
      <w:r w:rsidR="00A57102" w:rsidRPr="0086148A">
        <w:rPr>
          <w:rFonts w:ascii="Times New Roman" w:hAnsi="Times New Roman" w:cs="Times New Roman"/>
          <w:sz w:val="24"/>
          <w:szCs w:val="24"/>
        </w:rPr>
        <w:t>compromises</w:t>
      </w:r>
      <w:r w:rsidR="00B34664" w:rsidRPr="0086148A">
        <w:rPr>
          <w:rFonts w:ascii="Times New Roman" w:hAnsi="Times New Roman" w:cs="Times New Roman"/>
          <w:sz w:val="24"/>
          <w:szCs w:val="24"/>
        </w:rPr>
        <w:t xml:space="preserve"> the quality </w:t>
      </w:r>
      <w:r w:rsidR="00E9172C" w:rsidRPr="0086148A">
        <w:rPr>
          <w:rFonts w:ascii="Times New Roman" w:hAnsi="Times New Roman" w:cs="Times New Roman"/>
          <w:sz w:val="24"/>
          <w:szCs w:val="24"/>
        </w:rPr>
        <w:t xml:space="preserve">of the recommendations and </w:t>
      </w:r>
      <w:r w:rsidR="006C72B2" w:rsidRPr="0086148A">
        <w:rPr>
          <w:rFonts w:ascii="Times New Roman" w:hAnsi="Times New Roman" w:cs="Times New Roman"/>
          <w:sz w:val="24"/>
          <w:szCs w:val="24"/>
        </w:rPr>
        <w:t xml:space="preserve">undermines the </w:t>
      </w:r>
      <w:r w:rsidR="008E43C6" w:rsidRPr="0086148A">
        <w:rPr>
          <w:rFonts w:ascii="Times New Roman" w:hAnsi="Times New Roman" w:cs="Times New Roman"/>
          <w:sz w:val="24"/>
          <w:szCs w:val="24"/>
        </w:rPr>
        <w:t>growing consensus for a more holistic approach to transitional justice</w:t>
      </w:r>
      <w:r w:rsidR="00B41EE8" w:rsidRPr="0086148A">
        <w:rPr>
          <w:rFonts w:ascii="Times New Roman" w:hAnsi="Times New Roman" w:cs="Times New Roman"/>
          <w:sz w:val="24"/>
          <w:szCs w:val="24"/>
        </w:rPr>
        <w:t>.</w:t>
      </w:r>
      <w:r w:rsidR="00DD6EC7" w:rsidRPr="0086148A">
        <w:rPr>
          <w:rStyle w:val="FootnoteReference"/>
          <w:rFonts w:ascii="Times New Roman" w:hAnsi="Times New Roman" w:cs="Times New Roman"/>
          <w:sz w:val="24"/>
          <w:szCs w:val="24"/>
        </w:rPr>
        <w:footnoteReference w:id="110"/>
      </w:r>
      <w:r w:rsidR="00B41EE8" w:rsidRPr="0086148A">
        <w:rPr>
          <w:rFonts w:ascii="Times New Roman" w:hAnsi="Times New Roman" w:cs="Times New Roman"/>
          <w:sz w:val="24"/>
          <w:szCs w:val="24"/>
        </w:rPr>
        <w:t xml:space="preserve"> Gi</w:t>
      </w:r>
      <w:r w:rsidR="00992D76" w:rsidRPr="0086148A">
        <w:rPr>
          <w:rFonts w:ascii="Times New Roman" w:hAnsi="Times New Roman" w:cs="Times New Roman"/>
          <w:sz w:val="24"/>
          <w:szCs w:val="24"/>
        </w:rPr>
        <w:t>ven the complex challenges post-conflict societies face in address</w:t>
      </w:r>
      <w:r w:rsidR="00D21311" w:rsidRPr="0086148A">
        <w:rPr>
          <w:rFonts w:ascii="Times New Roman" w:hAnsi="Times New Roman" w:cs="Times New Roman"/>
          <w:sz w:val="24"/>
          <w:szCs w:val="24"/>
        </w:rPr>
        <w:t>ing</w:t>
      </w:r>
      <w:r w:rsidR="00992D76" w:rsidRPr="0086148A">
        <w:rPr>
          <w:rFonts w:ascii="Times New Roman" w:hAnsi="Times New Roman" w:cs="Times New Roman"/>
          <w:sz w:val="24"/>
          <w:szCs w:val="24"/>
        </w:rPr>
        <w:t xml:space="preserve"> gross human rights violations, UPR recommendations on this issue need to promote a</w:t>
      </w:r>
      <w:r w:rsidR="006F5076" w:rsidRPr="0086148A">
        <w:rPr>
          <w:rFonts w:ascii="Times New Roman" w:hAnsi="Times New Roman" w:cs="Times New Roman"/>
          <w:sz w:val="24"/>
          <w:szCs w:val="24"/>
        </w:rPr>
        <w:t xml:space="preserve"> more holistic approach to transitional </w:t>
      </w:r>
      <w:r w:rsidR="00992D76" w:rsidRPr="0086148A">
        <w:rPr>
          <w:rFonts w:ascii="Times New Roman" w:hAnsi="Times New Roman" w:cs="Times New Roman"/>
          <w:sz w:val="24"/>
          <w:szCs w:val="24"/>
        </w:rPr>
        <w:t xml:space="preserve">justice given recognition and prominence to a broader range of transitional justice measures. </w:t>
      </w:r>
      <w:r w:rsidR="00C3215D" w:rsidRPr="0086148A">
        <w:rPr>
          <w:rFonts w:ascii="Times New Roman" w:hAnsi="Times New Roman" w:cs="Times New Roman"/>
          <w:sz w:val="24"/>
          <w:szCs w:val="24"/>
        </w:rPr>
        <w:t xml:space="preserve">The </w:t>
      </w:r>
      <w:r w:rsidR="00576650" w:rsidRPr="0086148A">
        <w:rPr>
          <w:rFonts w:ascii="Times New Roman" w:hAnsi="Times New Roman" w:cs="Times New Roman"/>
          <w:sz w:val="24"/>
          <w:szCs w:val="24"/>
        </w:rPr>
        <w:t xml:space="preserve">transitional justice </w:t>
      </w:r>
      <w:r w:rsidR="000374AC" w:rsidRPr="0086148A">
        <w:rPr>
          <w:rFonts w:ascii="Times New Roman" w:hAnsi="Times New Roman" w:cs="Times New Roman"/>
          <w:sz w:val="24"/>
          <w:szCs w:val="24"/>
        </w:rPr>
        <w:t xml:space="preserve">recommendations </w:t>
      </w:r>
      <w:r w:rsidR="007419D9" w:rsidRPr="0086148A">
        <w:rPr>
          <w:rFonts w:ascii="Times New Roman" w:hAnsi="Times New Roman" w:cs="Times New Roman"/>
          <w:sz w:val="24"/>
          <w:szCs w:val="24"/>
        </w:rPr>
        <w:t>made</w:t>
      </w:r>
      <w:r w:rsidR="000374AC" w:rsidRPr="0086148A">
        <w:rPr>
          <w:rFonts w:ascii="Times New Roman" w:hAnsi="Times New Roman" w:cs="Times New Roman"/>
          <w:sz w:val="24"/>
          <w:szCs w:val="24"/>
        </w:rPr>
        <w:t xml:space="preserve"> by </w:t>
      </w:r>
      <w:r w:rsidR="00576650" w:rsidRPr="0086148A">
        <w:rPr>
          <w:rFonts w:ascii="Times New Roman" w:hAnsi="Times New Roman" w:cs="Times New Roman"/>
          <w:sz w:val="24"/>
          <w:szCs w:val="24"/>
        </w:rPr>
        <w:t xml:space="preserve">states </w:t>
      </w:r>
      <w:r w:rsidR="007F2BA4" w:rsidRPr="0086148A">
        <w:rPr>
          <w:rFonts w:ascii="Times New Roman" w:hAnsi="Times New Roman" w:cs="Times New Roman"/>
          <w:sz w:val="24"/>
          <w:szCs w:val="24"/>
        </w:rPr>
        <w:t xml:space="preserve">to </w:t>
      </w:r>
      <w:r w:rsidR="007419D9" w:rsidRPr="0086148A">
        <w:rPr>
          <w:rFonts w:ascii="Times New Roman" w:hAnsi="Times New Roman" w:cs="Times New Roman"/>
          <w:sz w:val="24"/>
          <w:szCs w:val="24"/>
        </w:rPr>
        <w:t>Burundi and South Sudan</w:t>
      </w:r>
      <w:r w:rsidR="00576650" w:rsidRPr="0086148A">
        <w:rPr>
          <w:rFonts w:ascii="Times New Roman" w:hAnsi="Times New Roman" w:cs="Times New Roman"/>
          <w:sz w:val="24"/>
          <w:szCs w:val="24"/>
        </w:rPr>
        <w:t xml:space="preserve"> tend</w:t>
      </w:r>
      <w:r w:rsidR="00C51765" w:rsidRPr="0086148A">
        <w:rPr>
          <w:rFonts w:ascii="Times New Roman" w:hAnsi="Times New Roman" w:cs="Times New Roman"/>
          <w:sz w:val="24"/>
          <w:szCs w:val="24"/>
        </w:rPr>
        <w:t>ed</w:t>
      </w:r>
      <w:r w:rsidR="00576650" w:rsidRPr="0086148A">
        <w:rPr>
          <w:rFonts w:ascii="Times New Roman" w:hAnsi="Times New Roman" w:cs="Times New Roman"/>
          <w:sz w:val="24"/>
          <w:szCs w:val="24"/>
        </w:rPr>
        <w:t xml:space="preserve"> to</w:t>
      </w:r>
      <w:r w:rsidR="007419D9" w:rsidRPr="0086148A">
        <w:rPr>
          <w:rFonts w:ascii="Times New Roman" w:hAnsi="Times New Roman" w:cs="Times New Roman"/>
          <w:sz w:val="24"/>
          <w:szCs w:val="24"/>
        </w:rPr>
        <w:t xml:space="preserve"> promote </w:t>
      </w:r>
      <w:r w:rsidR="00C7389D" w:rsidRPr="0086148A">
        <w:rPr>
          <w:rFonts w:ascii="Times New Roman" w:hAnsi="Times New Roman" w:cs="Times New Roman"/>
          <w:sz w:val="24"/>
          <w:szCs w:val="24"/>
        </w:rPr>
        <w:t xml:space="preserve">more of the </w:t>
      </w:r>
      <w:r w:rsidR="001E75DB" w:rsidRPr="0086148A">
        <w:rPr>
          <w:rFonts w:ascii="Times New Roman" w:hAnsi="Times New Roman" w:cs="Times New Roman"/>
          <w:sz w:val="24"/>
          <w:szCs w:val="24"/>
        </w:rPr>
        <w:t>transitional justice measures prioritised by the international community</w:t>
      </w:r>
      <w:r w:rsidR="00510E80" w:rsidRPr="0086148A">
        <w:rPr>
          <w:rFonts w:ascii="Times New Roman" w:hAnsi="Times New Roman" w:cs="Times New Roman"/>
          <w:sz w:val="24"/>
          <w:szCs w:val="24"/>
        </w:rPr>
        <w:t xml:space="preserve"> (prosecution and truth </w:t>
      </w:r>
      <w:r w:rsidR="00510E80" w:rsidRPr="0086148A">
        <w:rPr>
          <w:rFonts w:ascii="Times New Roman" w:hAnsi="Times New Roman" w:cs="Times New Roman"/>
          <w:sz w:val="24"/>
          <w:szCs w:val="24"/>
        </w:rPr>
        <w:lastRenderedPageBreak/>
        <w:t xml:space="preserve">commissions) </w:t>
      </w:r>
      <w:r w:rsidR="00A72012" w:rsidRPr="0086148A">
        <w:rPr>
          <w:rFonts w:ascii="Times New Roman" w:hAnsi="Times New Roman" w:cs="Times New Roman"/>
          <w:sz w:val="24"/>
          <w:szCs w:val="24"/>
        </w:rPr>
        <w:t>and</w:t>
      </w:r>
      <w:r w:rsidR="005677FB" w:rsidRPr="0086148A">
        <w:rPr>
          <w:rFonts w:ascii="Times New Roman" w:hAnsi="Times New Roman" w:cs="Times New Roman"/>
          <w:sz w:val="24"/>
          <w:szCs w:val="24"/>
        </w:rPr>
        <w:t xml:space="preserve"> paid very </w:t>
      </w:r>
      <w:r w:rsidR="00632683" w:rsidRPr="0086148A">
        <w:rPr>
          <w:rFonts w:ascii="Times New Roman" w:hAnsi="Times New Roman" w:cs="Times New Roman"/>
          <w:sz w:val="24"/>
          <w:szCs w:val="24"/>
        </w:rPr>
        <w:t xml:space="preserve">little </w:t>
      </w:r>
      <w:r w:rsidR="00E80A65" w:rsidRPr="0086148A">
        <w:rPr>
          <w:rFonts w:ascii="Times New Roman" w:hAnsi="Times New Roman" w:cs="Times New Roman"/>
          <w:sz w:val="24"/>
          <w:szCs w:val="24"/>
        </w:rPr>
        <w:t xml:space="preserve">attention to </w:t>
      </w:r>
      <w:bookmarkStart w:id="8" w:name="_Hlk124531108"/>
      <w:r w:rsidR="00E80A65" w:rsidRPr="0086148A">
        <w:rPr>
          <w:rFonts w:ascii="Times New Roman" w:hAnsi="Times New Roman" w:cs="Times New Roman"/>
          <w:sz w:val="24"/>
          <w:szCs w:val="24"/>
        </w:rPr>
        <w:t>local indigenous reconciliation and justice processes</w:t>
      </w:r>
      <w:bookmarkEnd w:id="8"/>
      <w:r w:rsidR="00E80A65" w:rsidRPr="0086148A">
        <w:rPr>
          <w:rFonts w:ascii="Times New Roman" w:hAnsi="Times New Roman" w:cs="Times New Roman"/>
          <w:sz w:val="24"/>
          <w:szCs w:val="24"/>
        </w:rPr>
        <w:t>.</w:t>
      </w:r>
    </w:p>
    <w:p w14:paraId="59EB7182" w14:textId="3B10A902" w:rsidR="00992D76" w:rsidRPr="0086148A" w:rsidRDefault="00992D76" w:rsidP="00A352E7">
      <w:pPr>
        <w:pStyle w:val="ListParagraph"/>
        <w:numPr>
          <w:ilvl w:val="1"/>
          <w:numId w:val="1"/>
        </w:numPr>
        <w:ind w:left="1134" w:hanging="774"/>
        <w:jc w:val="both"/>
        <w:rPr>
          <w:rFonts w:ascii="Times New Roman" w:hAnsi="Times New Roman" w:cs="Times New Roman"/>
          <w:b/>
          <w:sz w:val="24"/>
          <w:szCs w:val="24"/>
        </w:rPr>
      </w:pPr>
      <w:r w:rsidRPr="0086148A">
        <w:rPr>
          <w:rFonts w:ascii="Times New Roman" w:hAnsi="Times New Roman" w:cs="Times New Roman"/>
          <w:b/>
          <w:sz w:val="24"/>
          <w:szCs w:val="24"/>
        </w:rPr>
        <w:t>Specificity of UPR recommendations on Transitional Justice</w:t>
      </w:r>
      <w:r w:rsidR="00F659F2" w:rsidRPr="0086148A">
        <w:rPr>
          <w:rFonts w:ascii="Times New Roman" w:hAnsi="Times New Roman" w:cs="Times New Roman"/>
          <w:b/>
          <w:sz w:val="24"/>
          <w:szCs w:val="24"/>
        </w:rPr>
        <w:t xml:space="preserve"> to Burundi and South </w:t>
      </w:r>
      <w:r w:rsidR="008447B1" w:rsidRPr="0086148A">
        <w:rPr>
          <w:rFonts w:ascii="Times New Roman" w:hAnsi="Times New Roman" w:cs="Times New Roman"/>
          <w:b/>
          <w:sz w:val="24"/>
          <w:szCs w:val="24"/>
        </w:rPr>
        <w:t>Sudan</w:t>
      </w:r>
    </w:p>
    <w:p w14:paraId="42C5CBB0" w14:textId="63C99A28" w:rsidR="00576A45" w:rsidRPr="0086148A" w:rsidRDefault="00267B70"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I noted earlier that the more specific a recommendation is, the </w:t>
      </w:r>
      <w:r w:rsidR="00CD4958" w:rsidRPr="0086148A">
        <w:rPr>
          <w:rFonts w:ascii="Times New Roman" w:hAnsi="Times New Roman" w:cs="Times New Roman"/>
          <w:sz w:val="24"/>
          <w:szCs w:val="24"/>
        </w:rPr>
        <w:t xml:space="preserve">more useful and </w:t>
      </w:r>
      <w:r w:rsidR="00D9679D" w:rsidRPr="0086148A">
        <w:rPr>
          <w:rFonts w:ascii="Times New Roman" w:hAnsi="Times New Roman" w:cs="Times New Roman"/>
          <w:sz w:val="24"/>
          <w:szCs w:val="24"/>
        </w:rPr>
        <w:t xml:space="preserve">measurable it can be to the state under review. </w:t>
      </w:r>
      <w:r w:rsidR="00576A45" w:rsidRPr="0086148A">
        <w:rPr>
          <w:rFonts w:ascii="Times New Roman" w:hAnsi="Times New Roman" w:cs="Times New Roman"/>
          <w:sz w:val="24"/>
          <w:szCs w:val="24"/>
        </w:rPr>
        <w:t>Figures</w:t>
      </w:r>
      <w:r w:rsidR="000E26D1" w:rsidRPr="0086148A">
        <w:rPr>
          <w:rFonts w:ascii="Times New Roman" w:hAnsi="Times New Roman" w:cs="Times New Roman"/>
          <w:sz w:val="24"/>
          <w:szCs w:val="24"/>
        </w:rPr>
        <w:t xml:space="preserve"> 3 and 4 below </w:t>
      </w:r>
      <w:r w:rsidR="00E46536" w:rsidRPr="0086148A">
        <w:rPr>
          <w:rFonts w:ascii="Times New Roman" w:hAnsi="Times New Roman" w:cs="Times New Roman"/>
          <w:sz w:val="24"/>
          <w:szCs w:val="24"/>
        </w:rPr>
        <w:t xml:space="preserve">provide a representation of the </w:t>
      </w:r>
      <w:r w:rsidR="00BB3690" w:rsidRPr="0086148A">
        <w:rPr>
          <w:rFonts w:ascii="Times New Roman" w:hAnsi="Times New Roman" w:cs="Times New Roman"/>
          <w:sz w:val="24"/>
          <w:szCs w:val="24"/>
        </w:rPr>
        <w:t>specificity</w:t>
      </w:r>
      <w:r w:rsidR="00607B32" w:rsidRPr="0086148A">
        <w:rPr>
          <w:rFonts w:ascii="Times New Roman" w:hAnsi="Times New Roman" w:cs="Times New Roman"/>
          <w:sz w:val="24"/>
          <w:szCs w:val="24"/>
        </w:rPr>
        <w:t xml:space="preserve"> of transitional justice recommendations made to Burundi and South Sudan</w:t>
      </w:r>
      <w:r w:rsidR="000A23E2" w:rsidRPr="0086148A">
        <w:rPr>
          <w:rFonts w:ascii="Times New Roman" w:hAnsi="Times New Roman" w:cs="Times New Roman"/>
          <w:sz w:val="24"/>
          <w:szCs w:val="24"/>
        </w:rPr>
        <w:t xml:space="preserve">. </w:t>
      </w:r>
    </w:p>
    <w:p w14:paraId="2078529E" w14:textId="72E459B1" w:rsidR="00B46838" w:rsidRPr="0086148A" w:rsidRDefault="66BCDA22" w:rsidP="00A352E7">
      <w:pPr>
        <w:ind w:left="-709" w:right="-613"/>
        <w:jc w:val="both"/>
        <w:rPr>
          <w:rFonts w:ascii="Times New Roman" w:hAnsi="Times New Roman" w:cs="Times New Roman"/>
          <w:sz w:val="24"/>
          <w:szCs w:val="24"/>
        </w:rPr>
      </w:pPr>
      <w:r w:rsidRPr="0086148A">
        <w:rPr>
          <w:noProof/>
        </w:rPr>
        <w:drawing>
          <wp:inline distT="0" distB="0" distL="0" distR="0" wp14:anchorId="61F9FEBC" wp14:editId="157660E2">
            <wp:extent cx="3282950" cy="35223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3282950" cy="3522345"/>
                    </a:xfrm>
                    <a:prstGeom prst="rect">
                      <a:avLst/>
                    </a:prstGeom>
                  </pic:spPr>
                </pic:pic>
              </a:graphicData>
            </a:graphic>
          </wp:inline>
        </w:drawing>
      </w:r>
      <w:r w:rsidR="4A708CDA" w:rsidRPr="0086148A">
        <w:rPr>
          <w:noProof/>
        </w:rPr>
        <w:drawing>
          <wp:inline distT="0" distB="0" distL="0" distR="0" wp14:anchorId="20A51890" wp14:editId="0A7D42D7">
            <wp:extent cx="3263900" cy="354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3263900" cy="3543300"/>
                    </a:xfrm>
                    <a:prstGeom prst="rect">
                      <a:avLst/>
                    </a:prstGeom>
                  </pic:spPr>
                </pic:pic>
              </a:graphicData>
            </a:graphic>
          </wp:inline>
        </w:drawing>
      </w:r>
    </w:p>
    <w:p w14:paraId="3D3FB3F3" w14:textId="75264B6E" w:rsidR="001E3118" w:rsidRPr="0086148A" w:rsidRDefault="00141AF5"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A qualitative review of </w:t>
      </w:r>
      <w:r w:rsidR="00D94934" w:rsidRPr="0086148A">
        <w:rPr>
          <w:rFonts w:ascii="Times New Roman" w:hAnsi="Times New Roman" w:cs="Times New Roman"/>
          <w:sz w:val="24"/>
          <w:szCs w:val="24"/>
        </w:rPr>
        <w:t xml:space="preserve">the transitional justice recommendations made to Burundi and South Sudan reveal </w:t>
      </w:r>
      <w:r w:rsidR="009B1178" w:rsidRPr="0086148A">
        <w:rPr>
          <w:rFonts w:ascii="Times New Roman" w:hAnsi="Times New Roman" w:cs="Times New Roman"/>
          <w:sz w:val="24"/>
          <w:szCs w:val="24"/>
        </w:rPr>
        <w:t>t</w:t>
      </w:r>
      <w:r w:rsidR="0045242B" w:rsidRPr="0086148A">
        <w:rPr>
          <w:rFonts w:ascii="Times New Roman" w:hAnsi="Times New Roman" w:cs="Times New Roman"/>
          <w:sz w:val="24"/>
          <w:szCs w:val="24"/>
        </w:rPr>
        <w:t>wo</w:t>
      </w:r>
      <w:r w:rsidR="009B1178" w:rsidRPr="0086148A">
        <w:rPr>
          <w:rFonts w:ascii="Times New Roman" w:hAnsi="Times New Roman" w:cs="Times New Roman"/>
          <w:sz w:val="24"/>
          <w:szCs w:val="24"/>
        </w:rPr>
        <w:t xml:space="preserve"> </w:t>
      </w:r>
      <w:r w:rsidR="00B441B5" w:rsidRPr="0086148A">
        <w:rPr>
          <w:rFonts w:ascii="Times New Roman" w:hAnsi="Times New Roman" w:cs="Times New Roman"/>
          <w:sz w:val="24"/>
          <w:szCs w:val="24"/>
        </w:rPr>
        <w:t xml:space="preserve">key findings. First, </w:t>
      </w:r>
      <w:r w:rsidR="00C24D96" w:rsidRPr="0086148A">
        <w:rPr>
          <w:rFonts w:ascii="Times New Roman" w:hAnsi="Times New Roman" w:cs="Times New Roman"/>
          <w:sz w:val="24"/>
          <w:szCs w:val="24"/>
        </w:rPr>
        <w:t xml:space="preserve">the </w:t>
      </w:r>
      <w:r w:rsidR="0051491B" w:rsidRPr="0086148A">
        <w:rPr>
          <w:rFonts w:ascii="Times New Roman" w:hAnsi="Times New Roman" w:cs="Times New Roman"/>
          <w:sz w:val="24"/>
          <w:szCs w:val="24"/>
        </w:rPr>
        <w:t>percentage</w:t>
      </w:r>
      <w:r w:rsidR="00207BAC" w:rsidRPr="0086148A">
        <w:rPr>
          <w:rFonts w:ascii="Times New Roman" w:hAnsi="Times New Roman" w:cs="Times New Roman"/>
          <w:sz w:val="24"/>
          <w:szCs w:val="24"/>
        </w:rPr>
        <w:t xml:space="preserve"> of spe</w:t>
      </w:r>
      <w:r w:rsidR="001450CD" w:rsidRPr="0086148A">
        <w:rPr>
          <w:rFonts w:ascii="Times New Roman" w:hAnsi="Times New Roman" w:cs="Times New Roman"/>
          <w:sz w:val="24"/>
          <w:szCs w:val="24"/>
        </w:rPr>
        <w:t xml:space="preserve">cific recommendations on transitional justice </w:t>
      </w:r>
      <w:r w:rsidR="00B27A5C" w:rsidRPr="0086148A">
        <w:rPr>
          <w:rFonts w:ascii="Times New Roman" w:hAnsi="Times New Roman" w:cs="Times New Roman"/>
          <w:sz w:val="24"/>
          <w:szCs w:val="24"/>
        </w:rPr>
        <w:t xml:space="preserve">has </w:t>
      </w:r>
      <w:r w:rsidR="00827EF9" w:rsidRPr="0086148A">
        <w:rPr>
          <w:rFonts w:ascii="Times New Roman" w:hAnsi="Times New Roman" w:cs="Times New Roman"/>
          <w:sz w:val="24"/>
          <w:szCs w:val="24"/>
        </w:rPr>
        <w:t xml:space="preserve">significantly </w:t>
      </w:r>
      <w:r w:rsidR="005E2BD8" w:rsidRPr="0086148A">
        <w:rPr>
          <w:rFonts w:ascii="Times New Roman" w:hAnsi="Times New Roman" w:cs="Times New Roman"/>
          <w:sz w:val="24"/>
          <w:szCs w:val="24"/>
        </w:rPr>
        <w:t>increased across the</w:t>
      </w:r>
      <w:r w:rsidR="004138FC" w:rsidRPr="0086148A">
        <w:rPr>
          <w:rFonts w:ascii="Times New Roman" w:hAnsi="Times New Roman" w:cs="Times New Roman"/>
          <w:sz w:val="24"/>
          <w:szCs w:val="24"/>
        </w:rPr>
        <w:t xml:space="preserve"> first three cycles of the UPR</w:t>
      </w:r>
      <w:r w:rsidR="00AB3AB9" w:rsidRPr="0086148A">
        <w:rPr>
          <w:rFonts w:ascii="Times New Roman" w:hAnsi="Times New Roman" w:cs="Times New Roman"/>
          <w:sz w:val="24"/>
          <w:szCs w:val="24"/>
        </w:rPr>
        <w:t xml:space="preserve"> with a corresponding decrease in the number of </w:t>
      </w:r>
      <w:r w:rsidR="0082166E" w:rsidRPr="0086148A">
        <w:rPr>
          <w:rFonts w:ascii="Times New Roman" w:hAnsi="Times New Roman" w:cs="Times New Roman"/>
          <w:sz w:val="24"/>
          <w:szCs w:val="24"/>
        </w:rPr>
        <w:t xml:space="preserve">general </w:t>
      </w:r>
      <w:r w:rsidR="00AB3AB9" w:rsidRPr="0086148A">
        <w:rPr>
          <w:rFonts w:ascii="Times New Roman" w:hAnsi="Times New Roman" w:cs="Times New Roman"/>
          <w:sz w:val="24"/>
          <w:szCs w:val="24"/>
        </w:rPr>
        <w:t xml:space="preserve">recommendations. </w:t>
      </w:r>
      <w:r w:rsidR="00061830" w:rsidRPr="0086148A">
        <w:rPr>
          <w:rFonts w:ascii="Times New Roman" w:hAnsi="Times New Roman" w:cs="Times New Roman"/>
          <w:sz w:val="24"/>
          <w:szCs w:val="24"/>
        </w:rPr>
        <w:t xml:space="preserve">In the case of Burundi, </w:t>
      </w:r>
      <w:r w:rsidR="00CD28A8" w:rsidRPr="0086148A">
        <w:rPr>
          <w:rFonts w:ascii="Times New Roman" w:hAnsi="Times New Roman" w:cs="Times New Roman"/>
          <w:sz w:val="24"/>
          <w:szCs w:val="24"/>
        </w:rPr>
        <w:t xml:space="preserve">the proportion of specific recommendations </w:t>
      </w:r>
      <w:r w:rsidR="00204AFF" w:rsidRPr="0086148A">
        <w:rPr>
          <w:rFonts w:ascii="Times New Roman" w:hAnsi="Times New Roman" w:cs="Times New Roman"/>
          <w:sz w:val="24"/>
          <w:szCs w:val="24"/>
        </w:rPr>
        <w:t xml:space="preserve">on transitional justice </w:t>
      </w:r>
      <w:r w:rsidR="00CD28A8" w:rsidRPr="0086148A">
        <w:rPr>
          <w:rFonts w:ascii="Times New Roman" w:hAnsi="Times New Roman" w:cs="Times New Roman"/>
          <w:sz w:val="24"/>
          <w:szCs w:val="24"/>
        </w:rPr>
        <w:t xml:space="preserve">increased </w:t>
      </w:r>
      <w:r w:rsidR="00465BD4" w:rsidRPr="0086148A">
        <w:rPr>
          <w:rFonts w:ascii="Times New Roman" w:hAnsi="Times New Roman" w:cs="Times New Roman"/>
          <w:sz w:val="24"/>
          <w:szCs w:val="24"/>
        </w:rPr>
        <w:t xml:space="preserve">by </w:t>
      </w:r>
      <w:r w:rsidR="004E054E" w:rsidRPr="0086148A">
        <w:rPr>
          <w:rFonts w:ascii="Times New Roman" w:hAnsi="Times New Roman" w:cs="Times New Roman"/>
          <w:sz w:val="24"/>
          <w:szCs w:val="24"/>
        </w:rPr>
        <w:t>31% between the first and third cycles</w:t>
      </w:r>
      <w:r w:rsidR="000D2F3B" w:rsidRPr="0086148A">
        <w:rPr>
          <w:rFonts w:ascii="Times New Roman" w:hAnsi="Times New Roman" w:cs="Times New Roman"/>
          <w:sz w:val="24"/>
          <w:szCs w:val="24"/>
        </w:rPr>
        <w:t xml:space="preserve"> (</w:t>
      </w:r>
      <w:r w:rsidR="009639BE" w:rsidRPr="0086148A">
        <w:rPr>
          <w:rFonts w:ascii="Times New Roman" w:hAnsi="Times New Roman" w:cs="Times New Roman"/>
          <w:sz w:val="24"/>
          <w:szCs w:val="24"/>
        </w:rPr>
        <w:t>See Figure 3 above)</w:t>
      </w:r>
      <w:r w:rsidR="004E054E" w:rsidRPr="0086148A">
        <w:rPr>
          <w:rFonts w:ascii="Times New Roman" w:hAnsi="Times New Roman" w:cs="Times New Roman"/>
          <w:sz w:val="24"/>
          <w:szCs w:val="24"/>
        </w:rPr>
        <w:t>.</w:t>
      </w:r>
      <w:r w:rsidR="00DE14F5" w:rsidRPr="0086148A">
        <w:rPr>
          <w:rFonts w:ascii="Times New Roman" w:hAnsi="Times New Roman" w:cs="Times New Roman"/>
          <w:sz w:val="24"/>
          <w:szCs w:val="24"/>
        </w:rPr>
        <w:t xml:space="preserve"> </w:t>
      </w:r>
      <w:r w:rsidR="00204AFF" w:rsidRPr="0086148A">
        <w:rPr>
          <w:rFonts w:ascii="Times New Roman" w:hAnsi="Times New Roman" w:cs="Times New Roman"/>
          <w:sz w:val="24"/>
          <w:szCs w:val="24"/>
        </w:rPr>
        <w:t>A</w:t>
      </w:r>
      <w:r w:rsidR="00EC4D01" w:rsidRPr="0086148A">
        <w:rPr>
          <w:rFonts w:ascii="Times New Roman" w:hAnsi="Times New Roman" w:cs="Times New Roman"/>
          <w:sz w:val="24"/>
          <w:szCs w:val="24"/>
        </w:rPr>
        <w:t>n increase of 28% was observ</w:t>
      </w:r>
      <w:r w:rsidR="008A5097" w:rsidRPr="0086148A">
        <w:rPr>
          <w:rFonts w:ascii="Times New Roman" w:hAnsi="Times New Roman" w:cs="Times New Roman"/>
          <w:sz w:val="24"/>
          <w:szCs w:val="24"/>
        </w:rPr>
        <w:t xml:space="preserve">ed in </w:t>
      </w:r>
      <w:r w:rsidR="00ED42A5" w:rsidRPr="0086148A">
        <w:rPr>
          <w:rFonts w:ascii="Times New Roman" w:hAnsi="Times New Roman" w:cs="Times New Roman"/>
          <w:sz w:val="24"/>
          <w:szCs w:val="24"/>
        </w:rPr>
        <w:t>the case of South Sudan</w:t>
      </w:r>
      <w:r w:rsidR="00D6654B" w:rsidRPr="0086148A">
        <w:rPr>
          <w:rFonts w:ascii="Times New Roman" w:hAnsi="Times New Roman" w:cs="Times New Roman"/>
          <w:sz w:val="24"/>
          <w:szCs w:val="24"/>
        </w:rPr>
        <w:t xml:space="preserve"> between the first and third cycles</w:t>
      </w:r>
      <w:r w:rsidR="00870A98" w:rsidRPr="0086148A">
        <w:rPr>
          <w:rFonts w:ascii="Times New Roman" w:hAnsi="Times New Roman" w:cs="Times New Roman"/>
          <w:sz w:val="24"/>
          <w:szCs w:val="24"/>
        </w:rPr>
        <w:t xml:space="preserve"> (see Figure </w:t>
      </w:r>
      <w:r w:rsidR="00495704" w:rsidRPr="0086148A">
        <w:rPr>
          <w:rFonts w:ascii="Times New Roman" w:hAnsi="Times New Roman" w:cs="Times New Roman"/>
          <w:sz w:val="24"/>
          <w:szCs w:val="24"/>
        </w:rPr>
        <w:t>3 above)</w:t>
      </w:r>
      <w:r w:rsidR="007C680F" w:rsidRPr="0086148A">
        <w:rPr>
          <w:rFonts w:ascii="Times New Roman" w:hAnsi="Times New Roman" w:cs="Times New Roman"/>
          <w:sz w:val="24"/>
          <w:szCs w:val="24"/>
        </w:rPr>
        <w:t>.</w:t>
      </w:r>
      <w:r w:rsidR="005E1E98" w:rsidRPr="0086148A">
        <w:rPr>
          <w:rFonts w:ascii="Times New Roman" w:hAnsi="Times New Roman" w:cs="Times New Roman"/>
          <w:sz w:val="24"/>
          <w:szCs w:val="24"/>
        </w:rPr>
        <w:t xml:space="preserve"> </w:t>
      </w:r>
      <w:r w:rsidR="00C62305" w:rsidRPr="0086148A">
        <w:rPr>
          <w:rFonts w:ascii="Times New Roman" w:hAnsi="Times New Roman" w:cs="Times New Roman"/>
          <w:sz w:val="24"/>
          <w:szCs w:val="24"/>
        </w:rPr>
        <w:t xml:space="preserve">Some </w:t>
      </w:r>
      <w:r w:rsidR="00A85B63" w:rsidRPr="0086148A">
        <w:rPr>
          <w:rFonts w:ascii="Times New Roman" w:hAnsi="Times New Roman" w:cs="Times New Roman"/>
          <w:sz w:val="24"/>
          <w:szCs w:val="24"/>
        </w:rPr>
        <w:t xml:space="preserve">scholars have </w:t>
      </w:r>
      <w:r w:rsidR="00C62305" w:rsidRPr="0086148A">
        <w:rPr>
          <w:rFonts w:ascii="Times New Roman" w:hAnsi="Times New Roman" w:cs="Times New Roman"/>
          <w:sz w:val="24"/>
          <w:szCs w:val="24"/>
        </w:rPr>
        <w:t xml:space="preserve">made a similar </w:t>
      </w:r>
      <w:r w:rsidR="00A85B63" w:rsidRPr="0086148A">
        <w:rPr>
          <w:rFonts w:ascii="Times New Roman" w:hAnsi="Times New Roman" w:cs="Times New Roman"/>
          <w:sz w:val="24"/>
          <w:szCs w:val="24"/>
        </w:rPr>
        <w:t>observ</w:t>
      </w:r>
      <w:r w:rsidR="00C62305" w:rsidRPr="0086148A">
        <w:rPr>
          <w:rFonts w:ascii="Times New Roman" w:hAnsi="Times New Roman" w:cs="Times New Roman"/>
          <w:sz w:val="24"/>
          <w:szCs w:val="24"/>
        </w:rPr>
        <w:t>ation</w:t>
      </w:r>
      <w:r w:rsidR="00A85B63" w:rsidRPr="0086148A">
        <w:rPr>
          <w:rFonts w:ascii="Times New Roman" w:hAnsi="Times New Roman" w:cs="Times New Roman"/>
          <w:sz w:val="24"/>
          <w:szCs w:val="24"/>
        </w:rPr>
        <w:t xml:space="preserve"> that </w:t>
      </w:r>
      <w:r w:rsidR="00733C51" w:rsidRPr="0086148A">
        <w:rPr>
          <w:rFonts w:ascii="Times New Roman" w:hAnsi="Times New Roman" w:cs="Times New Roman"/>
          <w:sz w:val="24"/>
          <w:szCs w:val="24"/>
        </w:rPr>
        <w:t xml:space="preserve">the </w:t>
      </w:r>
      <w:r w:rsidR="00A85B63" w:rsidRPr="0086148A">
        <w:rPr>
          <w:rFonts w:ascii="Times New Roman" w:hAnsi="Times New Roman" w:cs="Times New Roman"/>
          <w:sz w:val="24"/>
          <w:szCs w:val="24"/>
        </w:rPr>
        <w:t xml:space="preserve">number of </w:t>
      </w:r>
      <w:r w:rsidR="00733C51" w:rsidRPr="0086148A">
        <w:rPr>
          <w:rFonts w:ascii="Times New Roman" w:hAnsi="Times New Roman" w:cs="Times New Roman"/>
          <w:sz w:val="24"/>
          <w:szCs w:val="24"/>
        </w:rPr>
        <w:t>specific</w:t>
      </w:r>
      <w:r w:rsidR="003B7F76" w:rsidRPr="0086148A">
        <w:rPr>
          <w:rFonts w:ascii="Times New Roman" w:hAnsi="Times New Roman" w:cs="Times New Roman"/>
          <w:sz w:val="24"/>
          <w:szCs w:val="24"/>
        </w:rPr>
        <w:t xml:space="preserve"> </w:t>
      </w:r>
      <w:r w:rsidR="00733C51" w:rsidRPr="0086148A">
        <w:rPr>
          <w:rFonts w:ascii="Times New Roman" w:hAnsi="Times New Roman" w:cs="Times New Roman"/>
          <w:sz w:val="24"/>
          <w:szCs w:val="24"/>
        </w:rPr>
        <w:t>recommendations</w:t>
      </w:r>
      <w:r w:rsidR="007D03C9" w:rsidRPr="0086148A">
        <w:rPr>
          <w:rFonts w:ascii="Times New Roman" w:hAnsi="Times New Roman" w:cs="Times New Roman"/>
          <w:sz w:val="24"/>
          <w:szCs w:val="24"/>
        </w:rPr>
        <w:t xml:space="preserve"> made by states</w:t>
      </w:r>
      <w:r w:rsidR="00733C51" w:rsidRPr="0086148A">
        <w:rPr>
          <w:rFonts w:ascii="Times New Roman" w:hAnsi="Times New Roman" w:cs="Times New Roman"/>
          <w:sz w:val="24"/>
          <w:szCs w:val="24"/>
        </w:rPr>
        <w:t xml:space="preserve"> </w:t>
      </w:r>
      <w:r w:rsidR="00823060" w:rsidRPr="0086148A">
        <w:rPr>
          <w:rFonts w:ascii="Times New Roman" w:hAnsi="Times New Roman" w:cs="Times New Roman"/>
          <w:sz w:val="24"/>
          <w:szCs w:val="24"/>
        </w:rPr>
        <w:t xml:space="preserve">have increased across the </w:t>
      </w:r>
      <w:r w:rsidR="003F0353" w:rsidRPr="0086148A">
        <w:rPr>
          <w:rFonts w:ascii="Times New Roman" w:hAnsi="Times New Roman" w:cs="Times New Roman"/>
          <w:sz w:val="24"/>
          <w:szCs w:val="24"/>
        </w:rPr>
        <w:t>three cycles of the UPR</w:t>
      </w:r>
      <w:r w:rsidR="009F0A2A" w:rsidRPr="0086148A">
        <w:rPr>
          <w:rFonts w:ascii="Times New Roman" w:hAnsi="Times New Roman" w:cs="Times New Roman"/>
          <w:sz w:val="24"/>
          <w:szCs w:val="24"/>
        </w:rPr>
        <w:t>.</w:t>
      </w:r>
      <w:r w:rsidR="009F0A2A" w:rsidRPr="0086148A">
        <w:rPr>
          <w:rStyle w:val="FootnoteReference"/>
          <w:rFonts w:ascii="Times New Roman" w:hAnsi="Times New Roman" w:cs="Times New Roman"/>
          <w:sz w:val="24"/>
          <w:szCs w:val="24"/>
        </w:rPr>
        <w:footnoteReference w:id="111"/>
      </w:r>
      <w:r w:rsidR="009F0A2A" w:rsidRPr="0086148A">
        <w:rPr>
          <w:rFonts w:ascii="Times New Roman" w:hAnsi="Times New Roman" w:cs="Times New Roman"/>
          <w:sz w:val="24"/>
          <w:szCs w:val="24"/>
        </w:rPr>
        <w:t xml:space="preserve"> </w:t>
      </w:r>
      <w:r w:rsidR="0029565C" w:rsidRPr="0086148A">
        <w:rPr>
          <w:rFonts w:ascii="Times New Roman" w:hAnsi="Times New Roman" w:cs="Times New Roman"/>
          <w:sz w:val="24"/>
          <w:szCs w:val="24"/>
        </w:rPr>
        <w:t xml:space="preserve">Second, </w:t>
      </w:r>
      <w:r w:rsidR="00606E92" w:rsidRPr="0086148A">
        <w:rPr>
          <w:rFonts w:ascii="Times New Roman" w:hAnsi="Times New Roman" w:cs="Times New Roman"/>
          <w:sz w:val="24"/>
          <w:szCs w:val="24"/>
        </w:rPr>
        <w:t xml:space="preserve">the specific recommendations </w:t>
      </w:r>
      <w:r w:rsidR="00252F68" w:rsidRPr="0086148A">
        <w:rPr>
          <w:rFonts w:ascii="Times New Roman" w:hAnsi="Times New Roman" w:cs="Times New Roman"/>
          <w:sz w:val="24"/>
          <w:szCs w:val="24"/>
        </w:rPr>
        <w:t xml:space="preserve">made to Burundi and South Sudan largely </w:t>
      </w:r>
      <w:r w:rsidR="009E3D0F" w:rsidRPr="0086148A">
        <w:rPr>
          <w:rFonts w:ascii="Times New Roman" w:hAnsi="Times New Roman" w:cs="Times New Roman"/>
          <w:sz w:val="24"/>
          <w:szCs w:val="24"/>
        </w:rPr>
        <w:t xml:space="preserve">focused on </w:t>
      </w:r>
      <w:r w:rsidR="00575C21" w:rsidRPr="0086148A">
        <w:rPr>
          <w:rFonts w:ascii="Times New Roman" w:hAnsi="Times New Roman" w:cs="Times New Roman"/>
          <w:sz w:val="24"/>
          <w:szCs w:val="24"/>
        </w:rPr>
        <w:t xml:space="preserve">criminal accountability, ratification </w:t>
      </w:r>
      <w:r w:rsidR="000229D3" w:rsidRPr="0086148A">
        <w:rPr>
          <w:rFonts w:ascii="Times New Roman" w:hAnsi="Times New Roman" w:cs="Times New Roman"/>
          <w:sz w:val="24"/>
          <w:szCs w:val="24"/>
        </w:rPr>
        <w:t xml:space="preserve">of </w:t>
      </w:r>
      <w:r w:rsidR="0065767C" w:rsidRPr="0086148A">
        <w:rPr>
          <w:rFonts w:ascii="Times New Roman" w:hAnsi="Times New Roman" w:cs="Times New Roman"/>
          <w:sz w:val="24"/>
          <w:szCs w:val="24"/>
        </w:rPr>
        <w:t>the ICC Statute</w:t>
      </w:r>
      <w:r w:rsidR="007E2A9C" w:rsidRPr="0086148A">
        <w:rPr>
          <w:rFonts w:ascii="Times New Roman" w:hAnsi="Times New Roman" w:cs="Times New Roman"/>
          <w:sz w:val="24"/>
          <w:szCs w:val="24"/>
        </w:rPr>
        <w:t xml:space="preserve">, </w:t>
      </w:r>
      <w:r w:rsidR="00501FA6" w:rsidRPr="0086148A">
        <w:rPr>
          <w:rFonts w:ascii="Times New Roman" w:hAnsi="Times New Roman" w:cs="Times New Roman"/>
          <w:sz w:val="24"/>
          <w:szCs w:val="24"/>
        </w:rPr>
        <w:t>establishment</w:t>
      </w:r>
      <w:r w:rsidR="00E1628E" w:rsidRPr="0086148A">
        <w:rPr>
          <w:rFonts w:ascii="Times New Roman" w:hAnsi="Times New Roman" w:cs="Times New Roman"/>
          <w:sz w:val="24"/>
          <w:szCs w:val="24"/>
        </w:rPr>
        <w:t xml:space="preserve"> of a truth commission or other mechanisms </w:t>
      </w:r>
      <w:r w:rsidR="00BF1B7F" w:rsidRPr="0086148A">
        <w:rPr>
          <w:rFonts w:ascii="Times New Roman" w:hAnsi="Times New Roman" w:cs="Times New Roman"/>
          <w:sz w:val="24"/>
          <w:szCs w:val="24"/>
        </w:rPr>
        <w:t xml:space="preserve">advanced in the relevant peace agreement. </w:t>
      </w:r>
      <w:r w:rsidR="002C51CE" w:rsidRPr="0086148A">
        <w:rPr>
          <w:rFonts w:ascii="Times New Roman" w:hAnsi="Times New Roman" w:cs="Times New Roman"/>
          <w:sz w:val="24"/>
          <w:szCs w:val="24"/>
        </w:rPr>
        <w:t>The</w:t>
      </w:r>
      <w:r w:rsidR="00716D8B" w:rsidRPr="0086148A">
        <w:rPr>
          <w:rFonts w:ascii="Times New Roman" w:hAnsi="Times New Roman" w:cs="Times New Roman"/>
          <w:sz w:val="24"/>
          <w:szCs w:val="24"/>
        </w:rPr>
        <w:t xml:space="preserve"> </w:t>
      </w:r>
      <w:r w:rsidR="0004136A" w:rsidRPr="0086148A">
        <w:rPr>
          <w:rFonts w:ascii="Times New Roman" w:hAnsi="Times New Roman" w:cs="Times New Roman"/>
          <w:sz w:val="24"/>
          <w:szCs w:val="24"/>
        </w:rPr>
        <w:t xml:space="preserve">outcome of these recommendations can be easily measured. </w:t>
      </w:r>
      <w:r w:rsidR="00394D9A" w:rsidRPr="0086148A">
        <w:rPr>
          <w:rFonts w:ascii="Times New Roman" w:hAnsi="Times New Roman" w:cs="Times New Roman"/>
          <w:sz w:val="24"/>
          <w:szCs w:val="24"/>
        </w:rPr>
        <w:t xml:space="preserve">For example, </w:t>
      </w:r>
      <w:r w:rsidR="00EF426F" w:rsidRPr="0086148A">
        <w:rPr>
          <w:rFonts w:ascii="Times New Roman" w:hAnsi="Times New Roman" w:cs="Times New Roman"/>
          <w:sz w:val="24"/>
          <w:szCs w:val="24"/>
        </w:rPr>
        <w:t xml:space="preserve">it would be easy to determine </w:t>
      </w:r>
      <w:r w:rsidR="00383629" w:rsidRPr="0086148A">
        <w:rPr>
          <w:rFonts w:ascii="Times New Roman" w:hAnsi="Times New Roman" w:cs="Times New Roman"/>
          <w:sz w:val="24"/>
          <w:szCs w:val="24"/>
        </w:rPr>
        <w:t xml:space="preserve">whether </w:t>
      </w:r>
      <w:r w:rsidR="00357C44" w:rsidRPr="0086148A">
        <w:rPr>
          <w:rFonts w:ascii="Times New Roman" w:hAnsi="Times New Roman" w:cs="Times New Roman"/>
          <w:sz w:val="24"/>
          <w:szCs w:val="24"/>
        </w:rPr>
        <w:t xml:space="preserve">South Sudan </w:t>
      </w:r>
      <w:r w:rsidR="00492C7A" w:rsidRPr="0086148A">
        <w:rPr>
          <w:rFonts w:ascii="Times New Roman" w:hAnsi="Times New Roman" w:cs="Times New Roman"/>
          <w:sz w:val="24"/>
          <w:szCs w:val="24"/>
        </w:rPr>
        <w:t xml:space="preserve">has established the </w:t>
      </w:r>
      <w:r w:rsidR="00E347E2" w:rsidRPr="0086148A">
        <w:rPr>
          <w:rFonts w:ascii="Times New Roman" w:hAnsi="Times New Roman" w:cs="Times New Roman"/>
          <w:sz w:val="24"/>
          <w:szCs w:val="24"/>
        </w:rPr>
        <w:t>hybrid court</w:t>
      </w:r>
      <w:r w:rsidR="004B26D2" w:rsidRPr="0086148A">
        <w:rPr>
          <w:rFonts w:ascii="Times New Roman" w:hAnsi="Times New Roman" w:cs="Times New Roman"/>
          <w:sz w:val="24"/>
          <w:szCs w:val="24"/>
        </w:rPr>
        <w:t xml:space="preserve">, </w:t>
      </w:r>
      <w:r w:rsidR="00D00E60" w:rsidRPr="0086148A">
        <w:rPr>
          <w:rFonts w:ascii="Times New Roman" w:hAnsi="Times New Roman" w:cs="Times New Roman"/>
          <w:sz w:val="24"/>
          <w:szCs w:val="24"/>
        </w:rPr>
        <w:t xml:space="preserve">and </w:t>
      </w:r>
      <w:r w:rsidR="004B26D2" w:rsidRPr="0086148A">
        <w:rPr>
          <w:rFonts w:ascii="Times New Roman" w:hAnsi="Times New Roman" w:cs="Times New Roman"/>
          <w:sz w:val="24"/>
          <w:szCs w:val="24"/>
        </w:rPr>
        <w:t>truth commissions</w:t>
      </w:r>
      <w:r w:rsidR="00D00E60" w:rsidRPr="0086148A">
        <w:rPr>
          <w:rFonts w:ascii="Times New Roman" w:hAnsi="Times New Roman" w:cs="Times New Roman"/>
          <w:sz w:val="24"/>
          <w:szCs w:val="24"/>
        </w:rPr>
        <w:t xml:space="preserve"> or ratified the </w:t>
      </w:r>
      <w:r w:rsidR="007703BC" w:rsidRPr="0086148A">
        <w:rPr>
          <w:rFonts w:ascii="Times New Roman" w:hAnsi="Times New Roman" w:cs="Times New Roman"/>
          <w:sz w:val="24"/>
          <w:szCs w:val="24"/>
        </w:rPr>
        <w:t>Rome Statute of the ICC as re</w:t>
      </w:r>
      <w:r w:rsidR="006E44BA" w:rsidRPr="0086148A">
        <w:rPr>
          <w:rFonts w:ascii="Times New Roman" w:hAnsi="Times New Roman" w:cs="Times New Roman"/>
          <w:sz w:val="24"/>
          <w:szCs w:val="24"/>
        </w:rPr>
        <w:t xml:space="preserve">commended by </w:t>
      </w:r>
      <w:r w:rsidR="009D2668" w:rsidRPr="0086148A">
        <w:rPr>
          <w:rFonts w:ascii="Times New Roman" w:hAnsi="Times New Roman" w:cs="Times New Roman"/>
          <w:sz w:val="24"/>
          <w:szCs w:val="24"/>
        </w:rPr>
        <w:t xml:space="preserve">states during </w:t>
      </w:r>
      <w:r w:rsidR="002A64CB" w:rsidRPr="0086148A">
        <w:rPr>
          <w:rFonts w:ascii="Times New Roman" w:hAnsi="Times New Roman" w:cs="Times New Roman"/>
          <w:sz w:val="24"/>
          <w:szCs w:val="24"/>
        </w:rPr>
        <w:t xml:space="preserve">the </w:t>
      </w:r>
      <w:r w:rsidR="00B749FE" w:rsidRPr="0086148A">
        <w:rPr>
          <w:rFonts w:ascii="Times New Roman" w:hAnsi="Times New Roman" w:cs="Times New Roman"/>
          <w:sz w:val="24"/>
          <w:szCs w:val="24"/>
        </w:rPr>
        <w:t xml:space="preserve">second and third cycles of the UPR. </w:t>
      </w:r>
    </w:p>
    <w:p w14:paraId="6FE94A49" w14:textId="592AB2BC" w:rsidR="00B63904" w:rsidRPr="0086148A" w:rsidRDefault="009849EC" w:rsidP="00A352E7">
      <w:pPr>
        <w:jc w:val="both"/>
        <w:rPr>
          <w:rFonts w:ascii="Times New Roman" w:hAnsi="Times New Roman" w:cs="Times New Roman"/>
          <w:sz w:val="24"/>
          <w:szCs w:val="24"/>
        </w:rPr>
      </w:pPr>
      <w:r w:rsidRPr="0086148A">
        <w:rPr>
          <w:rFonts w:ascii="Times New Roman" w:hAnsi="Times New Roman" w:cs="Times New Roman"/>
          <w:sz w:val="24"/>
          <w:szCs w:val="24"/>
        </w:rPr>
        <w:lastRenderedPageBreak/>
        <w:t>Nevertheless, a</w:t>
      </w:r>
      <w:r w:rsidR="003409FA" w:rsidRPr="0086148A">
        <w:rPr>
          <w:rFonts w:ascii="Times New Roman" w:hAnsi="Times New Roman" w:cs="Times New Roman"/>
          <w:sz w:val="24"/>
          <w:szCs w:val="24"/>
        </w:rPr>
        <w:t xml:space="preserve"> significant proportion of the recommendations </w:t>
      </w:r>
      <w:r w:rsidR="00401544" w:rsidRPr="0086148A">
        <w:rPr>
          <w:rFonts w:ascii="Times New Roman" w:hAnsi="Times New Roman" w:cs="Times New Roman"/>
          <w:sz w:val="24"/>
          <w:szCs w:val="24"/>
        </w:rPr>
        <w:t xml:space="preserve">were </w:t>
      </w:r>
      <w:r w:rsidR="00C558A0" w:rsidRPr="0086148A">
        <w:rPr>
          <w:rFonts w:ascii="Times New Roman" w:hAnsi="Times New Roman" w:cs="Times New Roman"/>
          <w:sz w:val="24"/>
          <w:szCs w:val="24"/>
        </w:rPr>
        <w:t xml:space="preserve">general </w:t>
      </w:r>
      <w:r w:rsidRPr="0086148A">
        <w:rPr>
          <w:rFonts w:ascii="Times New Roman" w:hAnsi="Times New Roman" w:cs="Times New Roman"/>
          <w:sz w:val="24"/>
          <w:szCs w:val="24"/>
        </w:rPr>
        <w:t>recommendations.</w:t>
      </w:r>
      <w:r w:rsidR="003F0275" w:rsidRPr="0086148A">
        <w:rPr>
          <w:rFonts w:ascii="Times New Roman" w:hAnsi="Times New Roman" w:cs="Times New Roman"/>
          <w:sz w:val="24"/>
          <w:szCs w:val="24"/>
        </w:rPr>
        <w:t xml:space="preserve"> </w:t>
      </w:r>
      <w:r w:rsidR="00A473EA" w:rsidRPr="0086148A">
        <w:rPr>
          <w:rFonts w:ascii="Times New Roman" w:hAnsi="Times New Roman" w:cs="Times New Roman"/>
          <w:sz w:val="24"/>
          <w:szCs w:val="24"/>
        </w:rPr>
        <w:t xml:space="preserve">For </w:t>
      </w:r>
      <w:r w:rsidR="00167036" w:rsidRPr="0086148A">
        <w:rPr>
          <w:rFonts w:ascii="Times New Roman" w:hAnsi="Times New Roman" w:cs="Times New Roman"/>
          <w:sz w:val="24"/>
          <w:szCs w:val="24"/>
        </w:rPr>
        <w:t>example,</w:t>
      </w:r>
      <w:r w:rsidR="00A473EA" w:rsidRPr="0086148A">
        <w:rPr>
          <w:rFonts w:ascii="Times New Roman" w:hAnsi="Times New Roman" w:cs="Times New Roman"/>
          <w:sz w:val="24"/>
          <w:szCs w:val="24"/>
        </w:rPr>
        <w:t xml:space="preserve"> </w:t>
      </w:r>
      <w:r w:rsidR="00AB0BC8" w:rsidRPr="0086148A">
        <w:rPr>
          <w:rFonts w:ascii="Times New Roman" w:hAnsi="Times New Roman" w:cs="Times New Roman"/>
          <w:sz w:val="24"/>
          <w:szCs w:val="24"/>
        </w:rPr>
        <w:t xml:space="preserve">43% and 36% </w:t>
      </w:r>
      <w:r w:rsidR="00A473EA" w:rsidRPr="0086148A">
        <w:rPr>
          <w:rFonts w:ascii="Times New Roman" w:hAnsi="Times New Roman" w:cs="Times New Roman"/>
          <w:sz w:val="24"/>
          <w:szCs w:val="24"/>
        </w:rPr>
        <w:t xml:space="preserve">of </w:t>
      </w:r>
      <w:r w:rsidR="00AB0BC8" w:rsidRPr="0086148A">
        <w:rPr>
          <w:rFonts w:ascii="Times New Roman" w:hAnsi="Times New Roman" w:cs="Times New Roman"/>
          <w:sz w:val="24"/>
          <w:szCs w:val="24"/>
        </w:rPr>
        <w:t>the transitional justice</w:t>
      </w:r>
      <w:r w:rsidR="00A473EA" w:rsidRPr="0086148A">
        <w:rPr>
          <w:rFonts w:ascii="Times New Roman" w:hAnsi="Times New Roman" w:cs="Times New Roman"/>
          <w:sz w:val="24"/>
          <w:szCs w:val="24"/>
        </w:rPr>
        <w:t xml:space="preserve"> recommendations made to </w:t>
      </w:r>
      <w:r w:rsidR="00BA454D" w:rsidRPr="0086148A">
        <w:rPr>
          <w:rFonts w:ascii="Times New Roman" w:hAnsi="Times New Roman" w:cs="Times New Roman"/>
          <w:sz w:val="24"/>
          <w:szCs w:val="24"/>
        </w:rPr>
        <w:t xml:space="preserve">South Sudan </w:t>
      </w:r>
      <w:r w:rsidR="00330103" w:rsidRPr="0086148A">
        <w:rPr>
          <w:rFonts w:ascii="Times New Roman" w:hAnsi="Times New Roman" w:cs="Times New Roman"/>
          <w:sz w:val="24"/>
          <w:szCs w:val="24"/>
        </w:rPr>
        <w:t xml:space="preserve">during </w:t>
      </w:r>
      <w:r w:rsidR="00150245" w:rsidRPr="0086148A">
        <w:rPr>
          <w:rFonts w:ascii="Times New Roman" w:hAnsi="Times New Roman" w:cs="Times New Roman"/>
          <w:sz w:val="24"/>
          <w:szCs w:val="24"/>
        </w:rPr>
        <w:t xml:space="preserve">the </w:t>
      </w:r>
      <w:r w:rsidR="00DC55DD" w:rsidRPr="0086148A">
        <w:rPr>
          <w:rFonts w:ascii="Times New Roman" w:hAnsi="Times New Roman" w:cs="Times New Roman"/>
          <w:sz w:val="24"/>
          <w:szCs w:val="24"/>
        </w:rPr>
        <w:t>second and third cycle of the review</w:t>
      </w:r>
      <w:r w:rsidR="00B1724C" w:rsidRPr="0086148A">
        <w:rPr>
          <w:rFonts w:ascii="Times New Roman" w:hAnsi="Times New Roman" w:cs="Times New Roman"/>
          <w:sz w:val="24"/>
          <w:szCs w:val="24"/>
        </w:rPr>
        <w:t xml:space="preserve"> respectively, </w:t>
      </w:r>
      <w:r w:rsidR="00BA454D" w:rsidRPr="0086148A">
        <w:rPr>
          <w:rFonts w:ascii="Times New Roman" w:hAnsi="Times New Roman" w:cs="Times New Roman"/>
          <w:sz w:val="24"/>
          <w:szCs w:val="24"/>
        </w:rPr>
        <w:t xml:space="preserve">were general </w:t>
      </w:r>
      <w:r w:rsidR="00B1724C" w:rsidRPr="0086148A">
        <w:rPr>
          <w:rFonts w:ascii="Times New Roman" w:hAnsi="Times New Roman" w:cs="Times New Roman"/>
          <w:sz w:val="24"/>
          <w:szCs w:val="24"/>
        </w:rPr>
        <w:t xml:space="preserve">recommendations. </w:t>
      </w:r>
      <w:r w:rsidR="00D4023C" w:rsidRPr="0086148A">
        <w:rPr>
          <w:rFonts w:ascii="Times New Roman" w:hAnsi="Times New Roman" w:cs="Times New Roman"/>
          <w:sz w:val="24"/>
          <w:szCs w:val="24"/>
        </w:rPr>
        <w:t xml:space="preserve">Several relevant recommendations on </w:t>
      </w:r>
      <w:r w:rsidR="00C34494" w:rsidRPr="0086148A">
        <w:rPr>
          <w:rFonts w:ascii="Times New Roman" w:hAnsi="Times New Roman" w:cs="Times New Roman"/>
          <w:sz w:val="24"/>
          <w:szCs w:val="24"/>
        </w:rPr>
        <w:t xml:space="preserve">reparations, return and </w:t>
      </w:r>
      <w:r w:rsidR="00E571DC" w:rsidRPr="0086148A">
        <w:rPr>
          <w:rFonts w:ascii="Times New Roman" w:hAnsi="Times New Roman" w:cs="Times New Roman"/>
          <w:sz w:val="24"/>
          <w:szCs w:val="24"/>
        </w:rPr>
        <w:t>reintegration</w:t>
      </w:r>
      <w:r w:rsidR="00DC494E" w:rsidRPr="0086148A">
        <w:rPr>
          <w:rFonts w:ascii="Times New Roman" w:hAnsi="Times New Roman" w:cs="Times New Roman"/>
          <w:sz w:val="24"/>
          <w:szCs w:val="24"/>
        </w:rPr>
        <w:t xml:space="preserve"> of displaced persons</w:t>
      </w:r>
      <w:r w:rsidR="00E571DC" w:rsidRPr="0086148A">
        <w:rPr>
          <w:rFonts w:ascii="Times New Roman" w:hAnsi="Times New Roman" w:cs="Times New Roman"/>
          <w:sz w:val="24"/>
          <w:szCs w:val="24"/>
        </w:rPr>
        <w:t xml:space="preserve">, </w:t>
      </w:r>
      <w:r w:rsidR="00265739" w:rsidRPr="0086148A">
        <w:rPr>
          <w:rFonts w:ascii="Times New Roman" w:hAnsi="Times New Roman" w:cs="Times New Roman"/>
          <w:sz w:val="24"/>
          <w:szCs w:val="24"/>
        </w:rPr>
        <w:t xml:space="preserve">and </w:t>
      </w:r>
      <w:r w:rsidR="002F6D7A" w:rsidRPr="0086148A">
        <w:rPr>
          <w:rFonts w:ascii="Times New Roman" w:hAnsi="Times New Roman" w:cs="Times New Roman"/>
          <w:sz w:val="24"/>
          <w:szCs w:val="24"/>
        </w:rPr>
        <w:t>reforms</w:t>
      </w:r>
      <w:r w:rsidR="000D269A" w:rsidRPr="0086148A">
        <w:rPr>
          <w:rFonts w:ascii="Times New Roman" w:hAnsi="Times New Roman" w:cs="Times New Roman"/>
          <w:sz w:val="24"/>
          <w:szCs w:val="24"/>
        </w:rPr>
        <w:t xml:space="preserve">, were </w:t>
      </w:r>
      <w:r w:rsidR="003650C8" w:rsidRPr="0086148A">
        <w:rPr>
          <w:rFonts w:ascii="Times New Roman" w:hAnsi="Times New Roman" w:cs="Times New Roman"/>
          <w:sz w:val="24"/>
          <w:szCs w:val="24"/>
        </w:rPr>
        <w:t xml:space="preserve">too general and at times vague. </w:t>
      </w:r>
      <w:r w:rsidR="00584006" w:rsidRPr="0086148A">
        <w:rPr>
          <w:rFonts w:ascii="Times New Roman" w:hAnsi="Times New Roman" w:cs="Times New Roman"/>
          <w:sz w:val="24"/>
          <w:szCs w:val="24"/>
        </w:rPr>
        <w:t xml:space="preserve">For example, </w:t>
      </w:r>
      <w:r w:rsidR="0038568B" w:rsidRPr="0086148A">
        <w:rPr>
          <w:rFonts w:ascii="Times New Roman" w:hAnsi="Times New Roman" w:cs="Times New Roman"/>
          <w:sz w:val="24"/>
          <w:szCs w:val="24"/>
        </w:rPr>
        <w:t xml:space="preserve">Saudi Arabia recommended that </w:t>
      </w:r>
      <w:r w:rsidR="009771A4" w:rsidRPr="0086148A">
        <w:rPr>
          <w:rFonts w:ascii="Times New Roman" w:hAnsi="Times New Roman" w:cs="Times New Roman"/>
          <w:sz w:val="24"/>
          <w:szCs w:val="24"/>
        </w:rPr>
        <w:t xml:space="preserve">South Sudan </w:t>
      </w:r>
      <w:r w:rsidR="00F02C8C" w:rsidRPr="0086148A">
        <w:rPr>
          <w:rFonts w:ascii="Times New Roman" w:hAnsi="Times New Roman" w:cs="Times New Roman"/>
          <w:sz w:val="24"/>
          <w:szCs w:val="24"/>
        </w:rPr>
        <w:t>‘[u]</w:t>
      </w:r>
      <w:proofErr w:type="spellStart"/>
      <w:r w:rsidR="00F02C8C" w:rsidRPr="0086148A">
        <w:rPr>
          <w:rFonts w:ascii="Times New Roman" w:hAnsi="Times New Roman" w:cs="Times New Roman"/>
          <w:sz w:val="24"/>
          <w:szCs w:val="24"/>
        </w:rPr>
        <w:t>ndertake</w:t>
      </w:r>
      <w:proofErr w:type="spellEnd"/>
      <w:r w:rsidR="009B150A" w:rsidRPr="0086148A">
        <w:rPr>
          <w:rFonts w:ascii="Times New Roman" w:hAnsi="Times New Roman" w:cs="Times New Roman"/>
          <w:sz w:val="24"/>
          <w:szCs w:val="24"/>
        </w:rPr>
        <w:t xml:space="preserve"> fundamental reforms to resolve</w:t>
      </w:r>
      <w:r w:rsidR="00C72B81" w:rsidRPr="0086148A">
        <w:rPr>
          <w:rFonts w:ascii="Times New Roman" w:hAnsi="Times New Roman" w:cs="Times New Roman"/>
          <w:sz w:val="24"/>
          <w:szCs w:val="24"/>
        </w:rPr>
        <w:t xml:space="preserve"> the dispute in South Sudan</w:t>
      </w:r>
      <w:r w:rsidR="00354A9C" w:rsidRPr="0086148A">
        <w:rPr>
          <w:rFonts w:ascii="Times New Roman" w:hAnsi="Times New Roman" w:cs="Times New Roman"/>
          <w:sz w:val="24"/>
          <w:szCs w:val="24"/>
        </w:rPr>
        <w:t>’</w:t>
      </w:r>
      <w:r w:rsidR="00DE20AC" w:rsidRPr="0086148A">
        <w:rPr>
          <w:rStyle w:val="FootnoteReference"/>
          <w:rFonts w:ascii="Times New Roman" w:hAnsi="Times New Roman" w:cs="Times New Roman"/>
          <w:sz w:val="24"/>
          <w:szCs w:val="24"/>
        </w:rPr>
        <w:footnoteReference w:id="112"/>
      </w:r>
      <w:r w:rsidR="003125BB" w:rsidRPr="0086148A">
        <w:rPr>
          <w:rFonts w:ascii="Times New Roman" w:hAnsi="Times New Roman" w:cs="Times New Roman"/>
          <w:sz w:val="24"/>
          <w:szCs w:val="24"/>
        </w:rPr>
        <w:t xml:space="preserve"> and Uganda </w:t>
      </w:r>
      <w:r w:rsidR="008F71B0" w:rsidRPr="0086148A">
        <w:rPr>
          <w:rFonts w:ascii="Times New Roman" w:hAnsi="Times New Roman" w:cs="Times New Roman"/>
          <w:sz w:val="24"/>
          <w:szCs w:val="24"/>
        </w:rPr>
        <w:t xml:space="preserve">recommended </w:t>
      </w:r>
      <w:r w:rsidR="00DC09C7" w:rsidRPr="0086148A">
        <w:rPr>
          <w:rFonts w:ascii="Times New Roman" w:hAnsi="Times New Roman" w:cs="Times New Roman"/>
          <w:sz w:val="24"/>
          <w:szCs w:val="24"/>
        </w:rPr>
        <w:t xml:space="preserve">that </w:t>
      </w:r>
      <w:r w:rsidR="008F71B0" w:rsidRPr="0086148A">
        <w:rPr>
          <w:rFonts w:ascii="Times New Roman" w:hAnsi="Times New Roman" w:cs="Times New Roman"/>
          <w:sz w:val="24"/>
          <w:szCs w:val="24"/>
        </w:rPr>
        <w:t xml:space="preserve">South Sudan </w:t>
      </w:r>
      <w:r w:rsidR="00DC09C7" w:rsidRPr="0086148A">
        <w:rPr>
          <w:rFonts w:ascii="Times New Roman" w:hAnsi="Times New Roman" w:cs="Times New Roman"/>
          <w:sz w:val="24"/>
          <w:szCs w:val="24"/>
        </w:rPr>
        <w:t>should ‘[</w:t>
      </w:r>
      <w:proofErr w:type="spellStart"/>
      <w:r w:rsidR="00DC09C7" w:rsidRPr="0086148A">
        <w:rPr>
          <w:rFonts w:ascii="Times New Roman" w:hAnsi="Times New Roman" w:cs="Times New Roman"/>
          <w:sz w:val="24"/>
          <w:szCs w:val="24"/>
        </w:rPr>
        <w:t>i</w:t>
      </w:r>
      <w:proofErr w:type="spellEnd"/>
      <w:r w:rsidR="00DC09C7" w:rsidRPr="0086148A">
        <w:rPr>
          <w:rFonts w:ascii="Times New Roman" w:hAnsi="Times New Roman" w:cs="Times New Roman"/>
          <w:sz w:val="24"/>
          <w:szCs w:val="24"/>
        </w:rPr>
        <w:t>]</w:t>
      </w:r>
      <w:proofErr w:type="spellStart"/>
      <w:r w:rsidR="00DC09C7" w:rsidRPr="0086148A">
        <w:rPr>
          <w:rFonts w:ascii="Times New Roman" w:hAnsi="Times New Roman" w:cs="Times New Roman"/>
          <w:sz w:val="24"/>
          <w:szCs w:val="24"/>
        </w:rPr>
        <w:t>ntensify</w:t>
      </w:r>
      <w:proofErr w:type="spellEnd"/>
      <w:r w:rsidR="00DC09C7" w:rsidRPr="0086148A">
        <w:rPr>
          <w:rFonts w:ascii="Times New Roman" w:hAnsi="Times New Roman" w:cs="Times New Roman"/>
          <w:sz w:val="24"/>
          <w:szCs w:val="24"/>
        </w:rPr>
        <w:t xml:space="preserve"> efforts to carry out necessary</w:t>
      </w:r>
      <w:r w:rsidR="0008494E" w:rsidRPr="0086148A">
        <w:rPr>
          <w:rFonts w:ascii="Times New Roman" w:hAnsi="Times New Roman" w:cs="Times New Roman"/>
          <w:sz w:val="24"/>
          <w:szCs w:val="24"/>
        </w:rPr>
        <w:t xml:space="preserve"> reforms in the security sector</w:t>
      </w:r>
      <w:r w:rsidR="00EA1728" w:rsidRPr="0086148A">
        <w:rPr>
          <w:rFonts w:ascii="Times New Roman" w:hAnsi="Times New Roman" w:cs="Times New Roman"/>
          <w:sz w:val="24"/>
          <w:szCs w:val="24"/>
        </w:rPr>
        <w:t>’.</w:t>
      </w:r>
      <w:r w:rsidR="00CE6CD9" w:rsidRPr="0086148A">
        <w:rPr>
          <w:rStyle w:val="FootnoteReference"/>
          <w:rFonts w:ascii="Times New Roman" w:hAnsi="Times New Roman" w:cs="Times New Roman"/>
          <w:sz w:val="24"/>
          <w:szCs w:val="24"/>
        </w:rPr>
        <w:footnoteReference w:id="113"/>
      </w:r>
      <w:r w:rsidR="00EA1728" w:rsidRPr="0086148A">
        <w:rPr>
          <w:rFonts w:ascii="Times New Roman" w:hAnsi="Times New Roman" w:cs="Times New Roman"/>
          <w:sz w:val="24"/>
          <w:szCs w:val="24"/>
        </w:rPr>
        <w:t xml:space="preserve"> </w:t>
      </w:r>
      <w:r w:rsidR="00561023" w:rsidRPr="0086148A">
        <w:rPr>
          <w:rFonts w:ascii="Times New Roman" w:hAnsi="Times New Roman" w:cs="Times New Roman"/>
          <w:sz w:val="24"/>
          <w:szCs w:val="24"/>
        </w:rPr>
        <w:t xml:space="preserve">Neither </w:t>
      </w:r>
      <w:r w:rsidR="003C50AA" w:rsidRPr="0086148A">
        <w:rPr>
          <w:rFonts w:ascii="Times New Roman" w:hAnsi="Times New Roman" w:cs="Times New Roman"/>
          <w:sz w:val="24"/>
          <w:szCs w:val="24"/>
        </w:rPr>
        <w:t xml:space="preserve">of these recommendations </w:t>
      </w:r>
      <w:r w:rsidR="001D590C" w:rsidRPr="0086148A">
        <w:rPr>
          <w:rFonts w:ascii="Times New Roman" w:hAnsi="Times New Roman" w:cs="Times New Roman"/>
          <w:sz w:val="24"/>
          <w:szCs w:val="24"/>
        </w:rPr>
        <w:t>provide specific means to determine the action</w:t>
      </w:r>
      <w:r w:rsidR="00023143" w:rsidRPr="0086148A">
        <w:rPr>
          <w:rFonts w:ascii="Times New Roman" w:hAnsi="Times New Roman" w:cs="Times New Roman"/>
          <w:sz w:val="24"/>
          <w:szCs w:val="24"/>
        </w:rPr>
        <w:t xml:space="preserve"> needed to </w:t>
      </w:r>
      <w:r w:rsidR="00CE6CD9" w:rsidRPr="0086148A">
        <w:rPr>
          <w:rFonts w:ascii="Times New Roman" w:hAnsi="Times New Roman" w:cs="Times New Roman"/>
          <w:sz w:val="24"/>
          <w:szCs w:val="24"/>
        </w:rPr>
        <w:t>implement</w:t>
      </w:r>
      <w:r w:rsidR="00023143" w:rsidRPr="0086148A">
        <w:rPr>
          <w:rFonts w:ascii="Times New Roman" w:hAnsi="Times New Roman" w:cs="Times New Roman"/>
          <w:sz w:val="24"/>
          <w:szCs w:val="24"/>
        </w:rPr>
        <w:t xml:space="preserve"> the recommendation</w:t>
      </w:r>
      <w:r w:rsidR="00856000" w:rsidRPr="0086148A">
        <w:rPr>
          <w:rFonts w:ascii="Times New Roman" w:hAnsi="Times New Roman" w:cs="Times New Roman"/>
          <w:sz w:val="24"/>
          <w:szCs w:val="24"/>
        </w:rPr>
        <w:t>.</w:t>
      </w:r>
      <w:r w:rsidR="002D6407" w:rsidRPr="0086148A">
        <w:rPr>
          <w:rFonts w:ascii="Times New Roman" w:hAnsi="Times New Roman" w:cs="Times New Roman"/>
          <w:sz w:val="24"/>
          <w:szCs w:val="24"/>
        </w:rPr>
        <w:t xml:space="preserve"> </w:t>
      </w:r>
      <w:r w:rsidR="003233B3" w:rsidRPr="0086148A">
        <w:rPr>
          <w:rFonts w:ascii="Times New Roman" w:hAnsi="Times New Roman" w:cs="Times New Roman"/>
          <w:sz w:val="24"/>
          <w:szCs w:val="24"/>
        </w:rPr>
        <w:t>Even though</w:t>
      </w:r>
      <w:r w:rsidR="00D26EFE" w:rsidRPr="0086148A">
        <w:rPr>
          <w:rFonts w:ascii="Times New Roman" w:hAnsi="Times New Roman" w:cs="Times New Roman"/>
          <w:sz w:val="24"/>
          <w:szCs w:val="24"/>
        </w:rPr>
        <w:t xml:space="preserve"> these recommendations are useful and </w:t>
      </w:r>
      <w:r w:rsidR="00A91108" w:rsidRPr="0086148A">
        <w:rPr>
          <w:rFonts w:ascii="Times New Roman" w:hAnsi="Times New Roman" w:cs="Times New Roman"/>
          <w:sz w:val="24"/>
          <w:szCs w:val="24"/>
        </w:rPr>
        <w:t xml:space="preserve">highlight the need for </w:t>
      </w:r>
      <w:r w:rsidR="00B642B5" w:rsidRPr="0086148A">
        <w:rPr>
          <w:rFonts w:ascii="Times New Roman" w:hAnsi="Times New Roman" w:cs="Times New Roman"/>
          <w:sz w:val="24"/>
          <w:szCs w:val="24"/>
        </w:rPr>
        <w:t>refor</w:t>
      </w:r>
      <w:r w:rsidR="00282B53" w:rsidRPr="0086148A">
        <w:rPr>
          <w:rFonts w:ascii="Times New Roman" w:hAnsi="Times New Roman" w:cs="Times New Roman"/>
          <w:sz w:val="24"/>
          <w:szCs w:val="24"/>
        </w:rPr>
        <w:t>ms to be implemented in South Sudan, they</w:t>
      </w:r>
      <w:r w:rsidR="00366498" w:rsidRPr="0086148A">
        <w:rPr>
          <w:rFonts w:ascii="Times New Roman" w:hAnsi="Times New Roman" w:cs="Times New Roman"/>
          <w:sz w:val="24"/>
          <w:szCs w:val="24"/>
        </w:rPr>
        <w:t xml:space="preserve"> do not meet the measurability requirement.</w:t>
      </w:r>
      <w:r w:rsidR="00282B53" w:rsidRPr="0086148A">
        <w:rPr>
          <w:rFonts w:ascii="Times New Roman" w:hAnsi="Times New Roman" w:cs="Times New Roman"/>
          <w:sz w:val="24"/>
          <w:szCs w:val="24"/>
        </w:rPr>
        <w:t xml:space="preserve"> </w:t>
      </w:r>
      <w:r w:rsidR="00B63904" w:rsidRPr="0086148A">
        <w:rPr>
          <w:rFonts w:ascii="Times New Roman" w:hAnsi="Times New Roman" w:cs="Times New Roman"/>
          <w:sz w:val="24"/>
          <w:szCs w:val="24"/>
        </w:rPr>
        <w:t>For recommendations</w:t>
      </w:r>
      <w:r w:rsidR="00282B53" w:rsidRPr="0086148A">
        <w:rPr>
          <w:rFonts w:ascii="Times New Roman" w:hAnsi="Times New Roman" w:cs="Times New Roman"/>
          <w:sz w:val="24"/>
          <w:szCs w:val="24"/>
        </w:rPr>
        <w:t xml:space="preserve"> on transitional justice to </w:t>
      </w:r>
      <w:r w:rsidR="000A58CB" w:rsidRPr="0086148A">
        <w:rPr>
          <w:rFonts w:ascii="Times New Roman" w:hAnsi="Times New Roman" w:cs="Times New Roman"/>
          <w:sz w:val="24"/>
          <w:szCs w:val="24"/>
        </w:rPr>
        <w:t>have the most impact at the domestic level, they hav</w:t>
      </w:r>
      <w:r w:rsidR="00824401" w:rsidRPr="0086148A">
        <w:rPr>
          <w:rFonts w:ascii="Times New Roman" w:hAnsi="Times New Roman" w:cs="Times New Roman"/>
          <w:sz w:val="24"/>
          <w:szCs w:val="24"/>
        </w:rPr>
        <w:t>e to be specific, useful and measurable.</w:t>
      </w:r>
      <w:r w:rsidR="00B63904" w:rsidRPr="0086148A">
        <w:rPr>
          <w:rFonts w:ascii="Times New Roman" w:hAnsi="Times New Roman" w:cs="Times New Roman"/>
          <w:sz w:val="24"/>
          <w:szCs w:val="24"/>
        </w:rPr>
        <w:t xml:space="preserve"> </w:t>
      </w:r>
    </w:p>
    <w:p w14:paraId="4E7360CC" w14:textId="70FDA70A" w:rsidR="00323E83" w:rsidRPr="0086148A" w:rsidRDefault="00323E83" w:rsidP="00A352E7">
      <w:pPr>
        <w:pStyle w:val="ListParagraph"/>
        <w:numPr>
          <w:ilvl w:val="0"/>
          <w:numId w:val="1"/>
        </w:numPr>
        <w:jc w:val="both"/>
        <w:rPr>
          <w:rFonts w:ascii="Times New Roman" w:hAnsi="Times New Roman" w:cs="Times New Roman"/>
          <w:b/>
          <w:sz w:val="24"/>
          <w:szCs w:val="24"/>
        </w:rPr>
      </w:pPr>
      <w:r w:rsidRPr="0086148A">
        <w:rPr>
          <w:rFonts w:ascii="Times New Roman" w:hAnsi="Times New Roman" w:cs="Times New Roman"/>
          <w:b/>
          <w:sz w:val="24"/>
          <w:szCs w:val="24"/>
        </w:rPr>
        <w:t>Conclusion</w:t>
      </w:r>
    </w:p>
    <w:p w14:paraId="2014D90D" w14:textId="2376D9B1" w:rsidR="00811278" w:rsidRPr="0086148A" w:rsidRDefault="008F0E99"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The analysis in this chapter has provided an opportunity to </w:t>
      </w:r>
      <w:r w:rsidR="00F36773" w:rsidRPr="0086148A">
        <w:rPr>
          <w:rFonts w:ascii="Times New Roman" w:hAnsi="Times New Roman" w:cs="Times New Roman"/>
          <w:sz w:val="24"/>
          <w:szCs w:val="24"/>
        </w:rPr>
        <w:t xml:space="preserve">assess the relation between the UPR and transitional justice. </w:t>
      </w:r>
      <w:r w:rsidR="000437F5" w:rsidRPr="0086148A">
        <w:rPr>
          <w:rFonts w:ascii="Times New Roman" w:hAnsi="Times New Roman" w:cs="Times New Roman"/>
          <w:sz w:val="24"/>
          <w:szCs w:val="24"/>
        </w:rPr>
        <w:t xml:space="preserve">The UPR can play an important role in helping </w:t>
      </w:r>
      <w:r w:rsidR="00DB5E9B" w:rsidRPr="0086148A">
        <w:rPr>
          <w:rFonts w:ascii="Times New Roman" w:hAnsi="Times New Roman" w:cs="Times New Roman"/>
          <w:sz w:val="24"/>
          <w:szCs w:val="24"/>
        </w:rPr>
        <w:t xml:space="preserve">post-conflict states </w:t>
      </w:r>
      <w:r w:rsidR="00C17BE6" w:rsidRPr="0086148A">
        <w:rPr>
          <w:rFonts w:ascii="Times New Roman" w:hAnsi="Times New Roman" w:cs="Times New Roman"/>
          <w:sz w:val="24"/>
          <w:szCs w:val="24"/>
        </w:rPr>
        <w:t xml:space="preserve">achieve the goals of transitional justice </w:t>
      </w:r>
      <w:r w:rsidR="009C73C7" w:rsidRPr="0086148A">
        <w:rPr>
          <w:rFonts w:ascii="Times New Roman" w:hAnsi="Times New Roman" w:cs="Times New Roman"/>
          <w:sz w:val="24"/>
          <w:szCs w:val="24"/>
        </w:rPr>
        <w:t xml:space="preserve">by </w:t>
      </w:r>
      <w:r w:rsidR="00D745A1" w:rsidRPr="0086148A">
        <w:rPr>
          <w:rFonts w:ascii="Times New Roman" w:hAnsi="Times New Roman" w:cs="Times New Roman"/>
          <w:sz w:val="24"/>
          <w:szCs w:val="24"/>
        </w:rPr>
        <w:t xml:space="preserve">recommending and </w:t>
      </w:r>
      <w:r w:rsidR="009C73C7" w:rsidRPr="0086148A">
        <w:rPr>
          <w:rFonts w:ascii="Times New Roman" w:hAnsi="Times New Roman" w:cs="Times New Roman"/>
          <w:sz w:val="24"/>
          <w:szCs w:val="24"/>
        </w:rPr>
        <w:t xml:space="preserve">reinforcing </w:t>
      </w:r>
      <w:r w:rsidR="00D745A1" w:rsidRPr="0086148A">
        <w:rPr>
          <w:rFonts w:ascii="Times New Roman" w:hAnsi="Times New Roman" w:cs="Times New Roman"/>
          <w:sz w:val="24"/>
          <w:szCs w:val="24"/>
        </w:rPr>
        <w:t xml:space="preserve">recommendations </w:t>
      </w:r>
      <w:r w:rsidR="00AB3BF9" w:rsidRPr="0086148A">
        <w:rPr>
          <w:rFonts w:ascii="Times New Roman" w:hAnsi="Times New Roman" w:cs="Times New Roman"/>
          <w:sz w:val="24"/>
          <w:szCs w:val="24"/>
        </w:rPr>
        <w:t xml:space="preserve">on </w:t>
      </w:r>
      <w:r w:rsidR="009C73C7" w:rsidRPr="0086148A">
        <w:rPr>
          <w:rFonts w:ascii="Times New Roman" w:hAnsi="Times New Roman" w:cs="Times New Roman"/>
          <w:sz w:val="24"/>
          <w:szCs w:val="24"/>
        </w:rPr>
        <w:t xml:space="preserve">transitional justice measures </w:t>
      </w:r>
      <w:r w:rsidR="00560E7D" w:rsidRPr="0086148A">
        <w:rPr>
          <w:rFonts w:ascii="Times New Roman" w:hAnsi="Times New Roman" w:cs="Times New Roman"/>
          <w:sz w:val="24"/>
          <w:szCs w:val="24"/>
        </w:rPr>
        <w:t xml:space="preserve">needed </w:t>
      </w:r>
      <w:r w:rsidR="00922AFB" w:rsidRPr="0086148A">
        <w:rPr>
          <w:rFonts w:ascii="Times New Roman" w:hAnsi="Times New Roman" w:cs="Times New Roman"/>
          <w:sz w:val="24"/>
          <w:szCs w:val="24"/>
        </w:rPr>
        <w:t>at the domestic level.</w:t>
      </w:r>
      <w:r w:rsidR="006E6E47" w:rsidRPr="0086148A">
        <w:rPr>
          <w:rFonts w:ascii="Times New Roman" w:hAnsi="Times New Roman" w:cs="Times New Roman"/>
          <w:sz w:val="24"/>
          <w:szCs w:val="24"/>
        </w:rPr>
        <w:t xml:space="preserve"> This can contribute </w:t>
      </w:r>
      <w:r w:rsidR="00F55519" w:rsidRPr="0086148A">
        <w:rPr>
          <w:rFonts w:ascii="Times New Roman" w:hAnsi="Times New Roman" w:cs="Times New Roman"/>
          <w:sz w:val="24"/>
          <w:szCs w:val="24"/>
        </w:rPr>
        <w:t xml:space="preserve">to </w:t>
      </w:r>
      <w:r w:rsidR="00B048C1" w:rsidRPr="0086148A">
        <w:rPr>
          <w:rFonts w:ascii="Times New Roman" w:hAnsi="Times New Roman" w:cs="Times New Roman"/>
          <w:sz w:val="24"/>
          <w:szCs w:val="24"/>
        </w:rPr>
        <w:t xml:space="preserve">sustainable peace and to the </w:t>
      </w:r>
      <w:r w:rsidR="00090292" w:rsidRPr="0086148A">
        <w:rPr>
          <w:rFonts w:ascii="Times New Roman" w:hAnsi="Times New Roman" w:cs="Times New Roman"/>
          <w:sz w:val="24"/>
          <w:szCs w:val="24"/>
        </w:rPr>
        <w:t xml:space="preserve">promotion and </w:t>
      </w:r>
      <w:r w:rsidR="00EE3641" w:rsidRPr="0086148A">
        <w:rPr>
          <w:rFonts w:ascii="Times New Roman" w:hAnsi="Times New Roman" w:cs="Times New Roman"/>
          <w:sz w:val="24"/>
          <w:szCs w:val="24"/>
        </w:rPr>
        <w:t xml:space="preserve">protection of human rights </w:t>
      </w:r>
      <w:r w:rsidR="00591C45" w:rsidRPr="0086148A">
        <w:rPr>
          <w:rFonts w:ascii="Times New Roman" w:hAnsi="Times New Roman" w:cs="Times New Roman"/>
          <w:sz w:val="24"/>
          <w:szCs w:val="24"/>
        </w:rPr>
        <w:t xml:space="preserve">in post-conflict societies. </w:t>
      </w:r>
      <w:r w:rsidR="00445579" w:rsidRPr="0086148A">
        <w:rPr>
          <w:rFonts w:ascii="Times New Roman" w:hAnsi="Times New Roman" w:cs="Times New Roman"/>
          <w:sz w:val="24"/>
          <w:szCs w:val="24"/>
        </w:rPr>
        <w:t>Transitional justice has a prominent position in state UPR recommendations</w:t>
      </w:r>
      <w:r w:rsidR="00591BEF" w:rsidRPr="0086148A">
        <w:rPr>
          <w:rFonts w:ascii="Times New Roman" w:hAnsi="Times New Roman" w:cs="Times New Roman"/>
          <w:sz w:val="24"/>
          <w:szCs w:val="24"/>
        </w:rPr>
        <w:t xml:space="preserve">. The UPR </w:t>
      </w:r>
      <w:r w:rsidR="00C94D69" w:rsidRPr="0086148A">
        <w:rPr>
          <w:rFonts w:ascii="Times New Roman" w:hAnsi="Times New Roman" w:cs="Times New Roman"/>
          <w:sz w:val="24"/>
          <w:szCs w:val="24"/>
        </w:rPr>
        <w:t xml:space="preserve">mechanism is therefore valuable to transitional justice and can play a meaningful role to the promotion of transitional justice in post-conflict societies. </w:t>
      </w:r>
      <w:r w:rsidR="00E30D68" w:rsidRPr="0086148A">
        <w:rPr>
          <w:rFonts w:ascii="Times New Roman" w:hAnsi="Times New Roman" w:cs="Times New Roman"/>
          <w:sz w:val="24"/>
          <w:szCs w:val="24"/>
        </w:rPr>
        <w:t xml:space="preserve">However, </w:t>
      </w:r>
      <w:r w:rsidR="006C0925" w:rsidRPr="0086148A">
        <w:rPr>
          <w:rFonts w:ascii="Times New Roman" w:hAnsi="Times New Roman" w:cs="Times New Roman"/>
          <w:sz w:val="24"/>
          <w:szCs w:val="24"/>
        </w:rPr>
        <w:t xml:space="preserve">it was observed that </w:t>
      </w:r>
      <w:r w:rsidR="00CA611F" w:rsidRPr="0086148A">
        <w:rPr>
          <w:rFonts w:ascii="Times New Roman" w:hAnsi="Times New Roman" w:cs="Times New Roman"/>
          <w:sz w:val="24"/>
          <w:szCs w:val="24"/>
        </w:rPr>
        <w:t xml:space="preserve">the prominence of these recommendations </w:t>
      </w:r>
      <w:r w:rsidR="00D73ACA" w:rsidRPr="0086148A">
        <w:rPr>
          <w:rFonts w:ascii="Times New Roman" w:hAnsi="Times New Roman" w:cs="Times New Roman"/>
          <w:sz w:val="24"/>
          <w:szCs w:val="24"/>
        </w:rPr>
        <w:t>appeared</w:t>
      </w:r>
      <w:r w:rsidR="00CA611F" w:rsidRPr="0086148A">
        <w:rPr>
          <w:rFonts w:ascii="Times New Roman" w:hAnsi="Times New Roman" w:cs="Times New Roman"/>
          <w:sz w:val="24"/>
          <w:szCs w:val="24"/>
        </w:rPr>
        <w:t xml:space="preserve"> to be waning over time. </w:t>
      </w:r>
      <w:r w:rsidR="00D73ACA" w:rsidRPr="0086148A">
        <w:rPr>
          <w:rFonts w:ascii="Times New Roman" w:hAnsi="Times New Roman" w:cs="Times New Roman"/>
          <w:sz w:val="24"/>
          <w:szCs w:val="24"/>
        </w:rPr>
        <w:t>Therefore, i</w:t>
      </w:r>
      <w:r w:rsidR="00C52C7E" w:rsidRPr="0086148A">
        <w:rPr>
          <w:rFonts w:ascii="Times New Roman" w:hAnsi="Times New Roman" w:cs="Times New Roman"/>
          <w:sz w:val="24"/>
          <w:szCs w:val="24"/>
        </w:rPr>
        <w:t>ncreasing focus need to be placed on implementation</w:t>
      </w:r>
      <w:r w:rsidR="00F13B98" w:rsidRPr="0086148A">
        <w:rPr>
          <w:rFonts w:ascii="Times New Roman" w:hAnsi="Times New Roman" w:cs="Times New Roman"/>
          <w:sz w:val="24"/>
          <w:szCs w:val="24"/>
        </w:rPr>
        <w:t xml:space="preserve"> and follow-up</w:t>
      </w:r>
      <w:r w:rsidR="00733D67" w:rsidRPr="0086148A">
        <w:rPr>
          <w:rFonts w:ascii="Times New Roman" w:hAnsi="Times New Roman" w:cs="Times New Roman"/>
          <w:sz w:val="24"/>
          <w:szCs w:val="24"/>
        </w:rPr>
        <w:t xml:space="preserve"> of UPR recommendations</w:t>
      </w:r>
      <w:r w:rsidR="008155E9" w:rsidRPr="0086148A">
        <w:rPr>
          <w:rFonts w:ascii="Times New Roman" w:hAnsi="Times New Roman" w:cs="Times New Roman"/>
          <w:sz w:val="24"/>
          <w:szCs w:val="24"/>
        </w:rPr>
        <w:t xml:space="preserve"> without which </w:t>
      </w:r>
      <w:r w:rsidR="005F7EA6" w:rsidRPr="0086148A">
        <w:rPr>
          <w:rFonts w:ascii="Times New Roman" w:hAnsi="Times New Roman" w:cs="Times New Roman"/>
          <w:sz w:val="24"/>
          <w:szCs w:val="24"/>
        </w:rPr>
        <w:t xml:space="preserve">the realisation of transitional justice </w:t>
      </w:r>
      <w:r w:rsidR="00F96A5D" w:rsidRPr="0086148A">
        <w:rPr>
          <w:rFonts w:ascii="Times New Roman" w:hAnsi="Times New Roman" w:cs="Times New Roman"/>
          <w:sz w:val="24"/>
          <w:szCs w:val="24"/>
        </w:rPr>
        <w:t xml:space="preserve">goals </w:t>
      </w:r>
      <w:r w:rsidR="005F7EA6" w:rsidRPr="0086148A">
        <w:rPr>
          <w:rFonts w:ascii="Times New Roman" w:hAnsi="Times New Roman" w:cs="Times New Roman"/>
          <w:sz w:val="24"/>
          <w:szCs w:val="24"/>
        </w:rPr>
        <w:t>will remain elusive in these states.</w:t>
      </w:r>
    </w:p>
    <w:p w14:paraId="5300E9AB" w14:textId="77777777" w:rsidR="000F632D" w:rsidRPr="0086148A" w:rsidRDefault="009A08E6"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UPR </w:t>
      </w:r>
      <w:r w:rsidR="00591F02" w:rsidRPr="0086148A">
        <w:rPr>
          <w:rFonts w:ascii="Times New Roman" w:hAnsi="Times New Roman" w:cs="Times New Roman"/>
          <w:sz w:val="24"/>
          <w:szCs w:val="24"/>
        </w:rPr>
        <w:t>recommendations have given r</w:t>
      </w:r>
      <w:r w:rsidR="00690853" w:rsidRPr="0086148A">
        <w:rPr>
          <w:rFonts w:ascii="Times New Roman" w:hAnsi="Times New Roman" w:cs="Times New Roman"/>
          <w:sz w:val="24"/>
          <w:szCs w:val="24"/>
        </w:rPr>
        <w:t>enewed visibility</w:t>
      </w:r>
      <w:r w:rsidR="00E141B9" w:rsidRPr="0086148A">
        <w:rPr>
          <w:rFonts w:ascii="Times New Roman" w:hAnsi="Times New Roman" w:cs="Times New Roman"/>
          <w:sz w:val="24"/>
          <w:szCs w:val="24"/>
        </w:rPr>
        <w:t xml:space="preserve"> to </w:t>
      </w:r>
      <w:r w:rsidR="00056420" w:rsidRPr="0086148A">
        <w:rPr>
          <w:rFonts w:ascii="Times New Roman" w:hAnsi="Times New Roman" w:cs="Times New Roman"/>
          <w:sz w:val="24"/>
          <w:szCs w:val="24"/>
        </w:rPr>
        <w:t xml:space="preserve">transitional justice measures </w:t>
      </w:r>
      <w:r w:rsidR="00812C47" w:rsidRPr="0086148A">
        <w:rPr>
          <w:rFonts w:ascii="Times New Roman" w:hAnsi="Times New Roman" w:cs="Times New Roman"/>
          <w:sz w:val="24"/>
          <w:szCs w:val="24"/>
        </w:rPr>
        <w:t>enshrined in relevant peace agreements.</w:t>
      </w:r>
      <w:r w:rsidR="006E0F9C" w:rsidRPr="0086148A">
        <w:rPr>
          <w:rFonts w:ascii="Times New Roman" w:hAnsi="Times New Roman" w:cs="Times New Roman"/>
          <w:sz w:val="24"/>
          <w:szCs w:val="24"/>
        </w:rPr>
        <w:t xml:space="preserve"> There was evidence that </w:t>
      </w:r>
      <w:r w:rsidR="00F01F7E" w:rsidRPr="0086148A">
        <w:rPr>
          <w:rFonts w:ascii="Times New Roman" w:hAnsi="Times New Roman" w:cs="Times New Roman"/>
          <w:sz w:val="24"/>
          <w:szCs w:val="24"/>
        </w:rPr>
        <w:t xml:space="preserve">many of the UPR recommendations on transitional justice had previously been made by </w:t>
      </w:r>
      <w:r w:rsidR="004030C0" w:rsidRPr="0086148A">
        <w:rPr>
          <w:rFonts w:ascii="Times New Roman" w:hAnsi="Times New Roman" w:cs="Times New Roman"/>
          <w:sz w:val="24"/>
          <w:szCs w:val="24"/>
        </w:rPr>
        <w:t>other human rights mechanisms. The ability of the UPR to reinforce those recommendations</w:t>
      </w:r>
      <w:r w:rsidR="00A93CDA" w:rsidRPr="0086148A">
        <w:rPr>
          <w:rFonts w:ascii="Times New Roman" w:hAnsi="Times New Roman" w:cs="Times New Roman"/>
          <w:sz w:val="24"/>
          <w:szCs w:val="24"/>
        </w:rPr>
        <w:t xml:space="preserve"> gives the recommendations renewed visibility,</w:t>
      </w:r>
      <w:r w:rsidR="004030C0" w:rsidRPr="0086148A">
        <w:rPr>
          <w:rFonts w:ascii="Times New Roman" w:hAnsi="Times New Roman" w:cs="Times New Roman"/>
          <w:sz w:val="24"/>
          <w:szCs w:val="24"/>
        </w:rPr>
        <w:t xml:space="preserve"> and </w:t>
      </w:r>
      <w:r w:rsidR="00753CD2" w:rsidRPr="0086148A">
        <w:rPr>
          <w:rFonts w:ascii="Times New Roman" w:hAnsi="Times New Roman" w:cs="Times New Roman"/>
          <w:sz w:val="24"/>
          <w:szCs w:val="24"/>
        </w:rPr>
        <w:t xml:space="preserve">provide the state an opportunity to respond to them </w:t>
      </w:r>
      <w:r w:rsidR="005D64BB" w:rsidRPr="0086148A">
        <w:rPr>
          <w:rFonts w:ascii="Times New Roman" w:hAnsi="Times New Roman" w:cs="Times New Roman"/>
          <w:sz w:val="24"/>
          <w:szCs w:val="24"/>
        </w:rPr>
        <w:t xml:space="preserve">is </w:t>
      </w:r>
      <w:r w:rsidR="00164BE9" w:rsidRPr="0086148A">
        <w:rPr>
          <w:rFonts w:ascii="Times New Roman" w:hAnsi="Times New Roman" w:cs="Times New Roman"/>
          <w:sz w:val="24"/>
          <w:szCs w:val="24"/>
        </w:rPr>
        <w:t xml:space="preserve">a positive </w:t>
      </w:r>
      <w:r w:rsidR="00E04089" w:rsidRPr="0086148A">
        <w:rPr>
          <w:rFonts w:ascii="Times New Roman" w:hAnsi="Times New Roman" w:cs="Times New Roman"/>
          <w:sz w:val="24"/>
          <w:szCs w:val="24"/>
        </w:rPr>
        <w:t xml:space="preserve">aspect of the process. </w:t>
      </w:r>
      <w:r w:rsidR="003D604B" w:rsidRPr="0086148A">
        <w:rPr>
          <w:rFonts w:ascii="Times New Roman" w:hAnsi="Times New Roman" w:cs="Times New Roman"/>
          <w:sz w:val="24"/>
          <w:szCs w:val="24"/>
        </w:rPr>
        <w:t xml:space="preserve">This is particularly helpful in cases like Burundi </w:t>
      </w:r>
      <w:r w:rsidR="002871A9" w:rsidRPr="0086148A">
        <w:rPr>
          <w:rFonts w:ascii="Times New Roman" w:hAnsi="Times New Roman" w:cs="Times New Roman"/>
          <w:sz w:val="24"/>
          <w:szCs w:val="24"/>
        </w:rPr>
        <w:t>where</w:t>
      </w:r>
      <w:r w:rsidR="003D604B" w:rsidRPr="0086148A">
        <w:rPr>
          <w:rFonts w:ascii="Times New Roman" w:hAnsi="Times New Roman" w:cs="Times New Roman"/>
          <w:sz w:val="24"/>
          <w:szCs w:val="24"/>
        </w:rPr>
        <w:t xml:space="preserve"> several years have passed </w:t>
      </w:r>
      <w:r w:rsidR="000542BD" w:rsidRPr="0086148A">
        <w:rPr>
          <w:rFonts w:ascii="Times New Roman" w:hAnsi="Times New Roman" w:cs="Times New Roman"/>
          <w:sz w:val="24"/>
          <w:szCs w:val="24"/>
        </w:rPr>
        <w:t xml:space="preserve">since there was a meaningful </w:t>
      </w:r>
      <w:r w:rsidR="00F93FCE" w:rsidRPr="0086148A">
        <w:rPr>
          <w:rFonts w:ascii="Times New Roman" w:hAnsi="Times New Roman" w:cs="Times New Roman"/>
          <w:sz w:val="24"/>
          <w:szCs w:val="24"/>
        </w:rPr>
        <w:t>recommendation on transitional justice by an international human rights mechanism.</w:t>
      </w:r>
      <w:r w:rsidR="007D3387" w:rsidRPr="0086148A">
        <w:rPr>
          <w:rFonts w:ascii="Times New Roman" w:hAnsi="Times New Roman" w:cs="Times New Roman"/>
          <w:sz w:val="24"/>
          <w:szCs w:val="24"/>
        </w:rPr>
        <w:t xml:space="preserve"> </w:t>
      </w:r>
    </w:p>
    <w:p w14:paraId="00692124" w14:textId="5BA5DB32" w:rsidR="00E54951" w:rsidRPr="0086148A" w:rsidRDefault="00DE7131" w:rsidP="00A352E7">
      <w:pPr>
        <w:jc w:val="both"/>
        <w:rPr>
          <w:rFonts w:ascii="Times New Roman" w:hAnsi="Times New Roman" w:cs="Times New Roman"/>
          <w:sz w:val="24"/>
          <w:szCs w:val="24"/>
        </w:rPr>
      </w:pPr>
      <w:r w:rsidRPr="0086148A">
        <w:rPr>
          <w:rFonts w:ascii="Times New Roman" w:hAnsi="Times New Roman" w:cs="Times New Roman"/>
          <w:sz w:val="24"/>
          <w:szCs w:val="24"/>
        </w:rPr>
        <w:t xml:space="preserve">While the transitional justice recommendations have </w:t>
      </w:r>
      <w:r w:rsidR="003C21A9" w:rsidRPr="0086148A">
        <w:rPr>
          <w:rFonts w:ascii="Times New Roman" w:hAnsi="Times New Roman" w:cs="Times New Roman"/>
          <w:sz w:val="24"/>
          <w:szCs w:val="24"/>
        </w:rPr>
        <w:t xml:space="preserve">been relevant and increasing specific, </w:t>
      </w:r>
      <w:r w:rsidR="00F2610E" w:rsidRPr="0086148A">
        <w:rPr>
          <w:rFonts w:ascii="Times New Roman" w:hAnsi="Times New Roman" w:cs="Times New Roman"/>
          <w:sz w:val="24"/>
          <w:szCs w:val="24"/>
        </w:rPr>
        <w:t xml:space="preserve">there are still a significant number of recommendations that are general and therefore </w:t>
      </w:r>
      <w:r w:rsidR="00EC3AB7" w:rsidRPr="0086148A">
        <w:rPr>
          <w:rFonts w:ascii="Times New Roman" w:hAnsi="Times New Roman" w:cs="Times New Roman"/>
          <w:sz w:val="24"/>
          <w:szCs w:val="24"/>
        </w:rPr>
        <w:t>do not satisfy the measurability requirement</w:t>
      </w:r>
      <w:r w:rsidR="001D7A6E" w:rsidRPr="0086148A">
        <w:rPr>
          <w:rFonts w:ascii="Times New Roman" w:hAnsi="Times New Roman" w:cs="Times New Roman"/>
          <w:sz w:val="24"/>
          <w:szCs w:val="24"/>
        </w:rPr>
        <w:t xml:space="preserve">. </w:t>
      </w:r>
      <w:r w:rsidR="00DD7C3E" w:rsidRPr="0086148A">
        <w:rPr>
          <w:rFonts w:ascii="Times New Roman" w:hAnsi="Times New Roman" w:cs="Times New Roman"/>
          <w:sz w:val="24"/>
          <w:szCs w:val="24"/>
        </w:rPr>
        <w:t>In addition, t</w:t>
      </w:r>
      <w:r w:rsidR="00E32117" w:rsidRPr="0086148A">
        <w:rPr>
          <w:rFonts w:ascii="Times New Roman" w:hAnsi="Times New Roman" w:cs="Times New Roman"/>
          <w:sz w:val="24"/>
          <w:szCs w:val="24"/>
        </w:rPr>
        <w:t>he</w:t>
      </w:r>
      <w:r w:rsidR="00DD7C3E" w:rsidRPr="0086148A">
        <w:rPr>
          <w:rFonts w:ascii="Times New Roman" w:hAnsi="Times New Roman" w:cs="Times New Roman"/>
          <w:sz w:val="24"/>
          <w:szCs w:val="24"/>
        </w:rPr>
        <w:t>re is a</w:t>
      </w:r>
      <w:r w:rsidR="00E32117" w:rsidRPr="0086148A">
        <w:rPr>
          <w:rFonts w:ascii="Times New Roman" w:hAnsi="Times New Roman" w:cs="Times New Roman"/>
          <w:sz w:val="24"/>
          <w:szCs w:val="24"/>
        </w:rPr>
        <w:t xml:space="preserve"> need for </w:t>
      </w:r>
      <w:r w:rsidR="00D46DAE" w:rsidRPr="0086148A">
        <w:rPr>
          <w:rFonts w:ascii="Times New Roman" w:hAnsi="Times New Roman" w:cs="Times New Roman"/>
          <w:sz w:val="24"/>
          <w:szCs w:val="24"/>
        </w:rPr>
        <w:t xml:space="preserve">greater focus on </w:t>
      </w:r>
      <w:r w:rsidR="00E32117" w:rsidRPr="0086148A">
        <w:rPr>
          <w:rFonts w:ascii="Times New Roman" w:hAnsi="Times New Roman" w:cs="Times New Roman"/>
          <w:sz w:val="24"/>
          <w:szCs w:val="24"/>
        </w:rPr>
        <w:t xml:space="preserve">implementation given the </w:t>
      </w:r>
      <w:r w:rsidR="001E16BA" w:rsidRPr="0086148A">
        <w:rPr>
          <w:rFonts w:ascii="Times New Roman" w:hAnsi="Times New Roman" w:cs="Times New Roman"/>
          <w:sz w:val="24"/>
          <w:szCs w:val="24"/>
        </w:rPr>
        <w:t>findings</w:t>
      </w:r>
      <w:r w:rsidR="008B454F" w:rsidRPr="0086148A">
        <w:rPr>
          <w:rFonts w:ascii="Times New Roman" w:hAnsi="Times New Roman" w:cs="Times New Roman"/>
          <w:sz w:val="24"/>
          <w:szCs w:val="24"/>
        </w:rPr>
        <w:t xml:space="preserve"> on the usefulness and measurability of many of the UPR recommendations on transitional justice.</w:t>
      </w:r>
      <w:r w:rsidR="00255C36" w:rsidRPr="0086148A">
        <w:rPr>
          <w:rFonts w:ascii="Times New Roman" w:hAnsi="Times New Roman" w:cs="Times New Roman"/>
          <w:sz w:val="24"/>
          <w:szCs w:val="24"/>
        </w:rPr>
        <w:t xml:space="preserve"> However, </w:t>
      </w:r>
      <w:r w:rsidR="00975A41" w:rsidRPr="0086148A">
        <w:rPr>
          <w:rFonts w:ascii="Times New Roman" w:hAnsi="Times New Roman" w:cs="Times New Roman"/>
          <w:sz w:val="24"/>
          <w:szCs w:val="24"/>
        </w:rPr>
        <w:t>the overwhelming focus on criminal accountability and truth commissions undermines the ability of the UPR to promote other transitional justice measures.</w:t>
      </w:r>
      <w:r w:rsidR="00DC75AE" w:rsidRPr="0086148A">
        <w:rPr>
          <w:rFonts w:ascii="Times New Roman" w:hAnsi="Times New Roman" w:cs="Times New Roman"/>
          <w:sz w:val="24"/>
          <w:szCs w:val="24"/>
        </w:rPr>
        <w:t xml:space="preserve"> </w:t>
      </w:r>
      <w:r w:rsidR="00B4579E" w:rsidRPr="0086148A">
        <w:rPr>
          <w:rFonts w:ascii="Times New Roman" w:hAnsi="Times New Roman" w:cs="Times New Roman"/>
          <w:sz w:val="24"/>
          <w:szCs w:val="24"/>
        </w:rPr>
        <w:t>T</w:t>
      </w:r>
      <w:r w:rsidR="00767C2B" w:rsidRPr="0086148A">
        <w:rPr>
          <w:rFonts w:ascii="Times New Roman" w:hAnsi="Times New Roman" w:cs="Times New Roman"/>
          <w:sz w:val="24"/>
          <w:szCs w:val="24"/>
        </w:rPr>
        <w:t xml:space="preserve">he UPR needs to promote </w:t>
      </w:r>
      <w:r w:rsidR="00255C36" w:rsidRPr="0086148A">
        <w:rPr>
          <w:rFonts w:ascii="Times New Roman" w:hAnsi="Times New Roman" w:cs="Times New Roman"/>
          <w:sz w:val="24"/>
          <w:szCs w:val="24"/>
        </w:rPr>
        <w:t xml:space="preserve">a more holistic approach </w:t>
      </w:r>
      <w:r w:rsidR="00767C2B" w:rsidRPr="0086148A">
        <w:rPr>
          <w:rFonts w:ascii="Times New Roman" w:hAnsi="Times New Roman" w:cs="Times New Roman"/>
          <w:sz w:val="24"/>
          <w:szCs w:val="24"/>
        </w:rPr>
        <w:t xml:space="preserve">to </w:t>
      </w:r>
      <w:r w:rsidR="00767C2B" w:rsidRPr="0086148A">
        <w:rPr>
          <w:rFonts w:ascii="Times New Roman" w:hAnsi="Times New Roman" w:cs="Times New Roman"/>
          <w:sz w:val="24"/>
          <w:szCs w:val="24"/>
        </w:rPr>
        <w:lastRenderedPageBreak/>
        <w:t xml:space="preserve">transitional justice </w:t>
      </w:r>
      <w:r w:rsidR="004E26E0" w:rsidRPr="0086148A">
        <w:rPr>
          <w:rFonts w:ascii="Times New Roman" w:hAnsi="Times New Roman" w:cs="Times New Roman"/>
          <w:sz w:val="24"/>
          <w:szCs w:val="24"/>
        </w:rPr>
        <w:t xml:space="preserve">looking beyond </w:t>
      </w:r>
      <w:r w:rsidR="00C50B6B" w:rsidRPr="0086148A">
        <w:rPr>
          <w:rFonts w:ascii="Times New Roman" w:hAnsi="Times New Roman" w:cs="Times New Roman"/>
          <w:sz w:val="24"/>
          <w:szCs w:val="24"/>
        </w:rPr>
        <w:t xml:space="preserve">prosecution and truth commissions, promoting </w:t>
      </w:r>
      <w:r w:rsidR="007E1A97" w:rsidRPr="0086148A">
        <w:rPr>
          <w:rFonts w:ascii="Times New Roman" w:hAnsi="Times New Roman" w:cs="Times New Roman"/>
          <w:sz w:val="24"/>
          <w:szCs w:val="24"/>
        </w:rPr>
        <w:t xml:space="preserve">other measures that address the needs of victims, </w:t>
      </w:r>
      <w:r w:rsidR="00203C1A" w:rsidRPr="0086148A">
        <w:rPr>
          <w:rFonts w:ascii="Times New Roman" w:hAnsi="Times New Roman" w:cs="Times New Roman"/>
          <w:sz w:val="24"/>
          <w:szCs w:val="24"/>
        </w:rPr>
        <w:t>including</w:t>
      </w:r>
      <w:r w:rsidR="007E1A97" w:rsidRPr="0086148A">
        <w:rPr>
          <w:rFonts w:ascii="Times New Roman" w:hAnsi="Times New Roman" w:cs="Times New Roman"/>
          <w:sz w:val="24"/>
          <w:szCs w:val="24"/>
        </w:rPr>
        <w:t xml:space="preserve"> local indigenous reconciliation and justice processes</w:t>
      </w:r>
      <w:r w:rsidR="00065E24" w:rsidRPr="0086148A">
        <w:rPr>
          <w:rFonts w:ascii="Times New Roman" w:hAnsi="Times New Roman" w:cs="Times New Roman"/>
          <w:sz w:val="24"/>
          <w:szCs w:val="24"/>
        </w:rPr>
        <w:t xml:space="preserve">. </w:t>
      </w:r>
    </w:p>
    <w:sectPr w:rsidR="00E54951" w:rsidRPr="0086148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BCD40" w14:textId="77777777" w:rsidR="00966642" w:rsidRDefault="00966642" w:rsidP="007F627A">
      <w:pPr>
        <w:spacing w:after="0" w:line="240" w:lineRule="auto"/>
      </w:pPr>
      <w:r>
        <w:separator/>
      </w:r>
    </w:p>
  </w:endnote>
  <w:endnote w:type="continuationSeparator" w:id="0">
    <w:p w14:paraId="37EA506E" w14:textId="77777777" w:rsidR="00966642" w:rsidRDefault="00966642" w:rsidP="007F627A">
      <w:pPr>
        <w:spacing w:after="0" w:line="240" w:lineRule="auto"/>
      </w:pPr>
      <w:r>
        <w:continuationSeparator/>
      </w:r>
    </w:p>
  </w:endnote>
  <w:endnote w:type="continuationNotice" w:id="1">
    <w:p w14:paraId="63C217E9" w14:textId="77777777" w:rsidR="00966642" w:rsidRDefault="00966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Montserrat">
    <w:charset w:val="00"/>
    <w:family w:val="auto"/>
    <w:pitch w:val="variable"/>
    <w:sig w:usb0="2000020F" w:usb1="00000003" w:usb2="00000000" w:usb3="00000000" w:csb0="00000197" w:csb1="00000000"/>
  </w:font>
  <w:font w:name="Merriweather">
    <w:charset w:val="00"/>
    <w:family w:val="auto"/>
    <w:pitch w:val="variable"/>
    <w:sig w:usb0="20000207" w:usb1="00000002"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2258"/>
      <w:docPartObj>
        <w:docPartGallery w:val="Page Numbers (Bottom of Page)"/>
        <w:docPartUnique/>
      </w:docPartObj>
    </w:sdtPr>
    <w:sdtEndPr>
      <w:rPr>
        <w:noProof/>
      </w:rPr>
    </w:sdtEndPr>
    <w:sdtContent>
      <w:p w14:paraId="0E3FEAA8" w14:textId="1FF7B2FD" w:rsidR="00E33C1F" w:rsidRDefault="00E33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29BD9" w14:textId="77777777" w:rsidR="00E33C1F" w:rsidRDefault="00E33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FD650" w14:textId="77777777" w:rsidR="00966642" w:rsidRDefault="00966642" w:rsidP="007F627A">
      <w:pPr>
        <w:spacing w:after="0" w:line="240" w:lineRule="auto"/>
      </w:pPr>
      <w:r>
        <w:separator/>
      </w:r>
    </w:p>
  </w:footnote>
  <w:footnote w:type="continuationSeparator" w:id="0">
    <w:p w14:paraId="08731DCF" w14:textId="77777777" w:rsidR="00966642" w:rsidRDefault="00966642" w:rsidP="007F627A">
      <w:pPr>
        <w:spacing w:after="0" w:line="240" w:lineRule="auto"/>
      </w:pPr>
      <w:r>
        <w:continuationSeparator/>
      </w:r>
    </w:p>
  </w:footnote>
  <w:footnote w:type="continuationNotice" w:id="1">
    <w:p w14:paraId="3BDDDC18" w14:textId="77777777" w:rsidR="00966642" w:rsidRDefault="00966642">
      <w:pPr>
        <w:spacing w:after="0" w:line="240" w:lineRule="auto"/>
      </w:pPr>
    </w:p>
  </w:footnote>
  <w:footnote w:id="2">
    <w:p w14:paraId="675F4EC6" w14:textId="146D97AE" w:rsidR="001B22C3" w:rsidRPr="00DA7486" w:rsidRDefault="001B22C3"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C17A81" w:rsidRPr="00DA7486">
        <w:rPr>
          <w:rFonts w:ascii="Times New Roman" w:hAnsi="Times New Roman" w:cs="Times New Roman"/>
        </w:rPr>
        <w:t xml:space="preserve">See </w:t>
      </w:r>
      <w:proofErr w:type="spellStart"/>
      <w:r w:rsidR="00C17A81" w:rsidRPr="00DA7486">
        <w:rPr>
          <w:rFonts w:ascii="Times New Roman" w:hAnsi="Times New Roman" w:cs="Times New Roman"/>
        </w:rPr>
        <w:t>Ruti</w:t>
      </w:r>
      <w:proofErr w:type="spellEnd"/>
      <w:r w:rsidR="00C17A81" w:rsidRPr="00DA7486">
        <w:rPr>
          <w:rFonts w:ascii="Times New Roman" w:hAnsi="Times New Roman" w:cs="Times New Roman"/>
        </w:rPr>
        <w:t xml:space="preserve"> </w:t>
      </w:r>
      <w:proofErr w:type="spellStart"/>
      <w:r w:rsidR="00C17A81" w:rsidRPr="00DA7486">
        <w:rPr>
          <w:rFonts w:ascii="Times New Roman" w:hAnsi="Times New Roman" w:cs="Times New Roman"/>
        </w:rPr>
        <w:t>Teitel</w:t>
      </w:r>
      <w:proofErr w:type="spellEnd"/>
      <w:r w:rsidR="00C17A81" w:rsidRPr="00DA7486">
        <w:rPr>
          <w:rFonts w:ascii="Times New Roman" w:hAnsi="Times New Roman" w:cs="Times New Roman"/>
        </w:rPr>
        <w:t xml:space="preserve">, </w:t>
      </w:r>
      <w:r w:rsidR="00023C5B" w:rsidRPr="00DA7486">
        <w:rPr>
          <w:rFonts w:ascii="Times New Roman" w:hAnsi="Times New Roman" w:cs="Times New Roman"/>
        </w:rPr>
        <w:t>‘</w:t>
      </w:r>
      <w:r w:rsidR="00581A4A" w:rsidRPr="00DA7486">
        <w:rPr>
          <w:rFonts w:ascii="Times New Roman" w:hAnsi="Times New Roman" w:cs="Times New Roman"/>
        </w:rPr>
        <w:t>Transitional Justice Genealogy</w:t>
      </w:r>
      <w:r w:rsidR="00023C5B" w:rsidRPr="00DA7486">
        <w:rPr>
          <w:rFonts w:ascii="Times New Roman" w:hAnsi="Times New Roman" w:cs="Times New Roman"/>
        </w:rPr>
        <w:t xml:space="preserve">’ in </w:t>
      </w:r>
      <w:r w:rsidR="00D26EA9" w:rsidRPr="00DA7486">
        <w:rPr>
          <w:rFonts w:ascii="Times New Roman" w:hAnsi="Times New Roman" w:cs="Times New Roman"/>
        </w:rPr>
        <w:t>Ruth Jamieson</w:t>
      </w:r>
      <w:r w:rsidR="00A478AB" w:rsidRPr="00DA7486">
        <w:rPr>
          <w:rFonts w:ascii="Times New Roman" w:hAnsi="Times New Roman" w:cs="Times New Roman"/>
        </w:rPr>
        <w:t xml:space="preserve"> (ed)</w:t>
      </w:r>
      <w:r w:rsidR="009A2994" w:rsidRPr="00DA7486">
        <w:rPr>
          <w:rFonts w:ascii="Times New Roman" w:hAnsi="Times New Roman" w:cs="Times New Roman"/>
        </w:rPr>
        <w:t xml:space="preserve">, </w:t>
      </w:r>
      <w:r w:rsidR="009A2994" w:rsidRPr="00DA7486">
        <w:rPr>
          <w:rFonts w:ascii="Times New Roman" w:hAnsi="Times New Roman" w:cs="Times New Roman"/>
          <w:i/>
          <w:iCs/>
        </w:rPr>
        <w:t>The Criminology of War</w:t>
      </w:r>
      <w:r w:rsidR="003747A1" w:rsidRPr="00DA7486">
        <w:rPr>
          <w:rFonts w:ascii="Times New Roman" w:hAnsi="Times New Roman" w:cs="Times New Roman"/>
        </w:rPr>
        <w:t xml:space="preserve"> (Routledge 2014)</w:t>
      </w:r>
      <w:r w:rsidR="002A147A" w:rsidRPr="00DA7486">
        <w:rPr>
          <w:rFonts w:ascii="Times New Roman" w:hAnsi="Times New Roman" w:cs="Times New Roman"/>
        </w:rPr>
        <w:t xml:space="preserve"> 26</w:t>
      </w:r>
      <w:r w:rsidR="00083A7C" w:rsidRPr="00DA7486">
        <w:rPr>
          <w:rFonts w:ascii="Times New Roman" w:hAnsi="Times New Roman" w:cs="Times New Roman"/>
        </w:rPr>
        <w:t xml:space="preserve">; </w:t>
      </w:r>
      <w:r w:rsidR="007103A9" w:rsidRPr="00DA7486">
        <w:rPr>
          <w:rFonts w:ascii="Times New Roman" w:hAnsi="Times New Roman" w:cs="Times New Roman"/>
        </w:rPr>
        <w:t xml:space="preserve">Padraig McAuliffe, </w:t>
      </w:r>
      <w:r w:rsidR="00284E58" w:rsidRPr="00DA7486">
        <w:rPr>
          <w:rFonts w:ascii="Times New Roman" w:hAnsi="Times New Roman" w:cs="Times New Roman"/>
        </w:rPr>
        <w:t>‘The roots of transitional accountability: interrogating the “justice cascade” (2013)</w:t>
      </w:r>
      <w:r w:rsidR="00B57CE8" w:rsidRPr="00DA7486">
        <w:rPr>
          <w:rFonts w:ascii="Times New Roman" w:hAnsi="Times New Roman" w:cs="Times New Roman"/>
        </w:rPr>
        <w:t xml:space="preserve"> International Journal of Law in Context 106</w:t>
      </w:r>
      <w:r w:rsidR="00D97E8F" w:rsidRPr="00DA7486">
        <w:rPr>
          <w:rFonts w:ascii="Times New Roman" w:hAnsi="Times New Roman" w:cs="Times New Roman"/>
        </w:rPr>
        <w:t>, 109-112;</w:t>
      </w:r>
      <w:r w:rsidR="0037549C" w:rsidRPr="00DA7486">
        <w:rPr>
          <w:rFonts w:ascii="Times New Roman" w:hAnsi="Times New Roman" w:cs="Times New Roman"/>
        </w:rPr>
        <w:t xml:space="preserve"> </w:t>
      </w:r>
      <w:proofErr w:type="spellStart"/>
      <w:r w:rsidR="0037549C" w:rsidRPr="00DA7486">
        <w:rPr>
          <w:rFonts w:ascii="Times New Roman" w:hAnsi="Times New Roman" w:cs="Times New Roman"/>
        </w:rPr>
        <w:t>Iosif</w:t>
      </w:r>
      <w:proofErr w:type="spellEnd"/>
      <w:r w:rsidR="0037549C" w:rsidRPr="00DA7486">
        <w:rPr>
          <w:rFonts w:ascii="Times New Roman" w:hAnsi="Times New Roman" w:cs="Times New Roman"/>
        </w:rPr>
        <w:t xml:space="preserve"> </w:t>
      </w:r>
      <w:proofErr w:type="spellStart"/>
      <w:r w:rsidR="0037549C" w:rsidRPr="00DA7486">
        <w:rPr>
          <w:rFonts w:ascii="Times New Roman" w:hAnsi="Times New Roman" w:cs="Times New Roman"/>
        </w:rPr>
        <w:t>Kovras</w:t>
      </w:r>
      <w:proofErr w:type="spellEnd"/>
      <w:r w:rsidR="0037549C" w:rsidRPr="00DA7486">
        <w:rPr>
          <w:rFonts w:ascii="Times New Roman" w:hAnsi="Times New Roman" w:cs="Times New Roman"/>
        </w:rPr>
        <w:t xml:space="preserve">, </w:t>
      </w:r>
      <w:r w:rsidR="008461D7" w:rsidRPr="00DA7486">
        <w:rPr>
          <w:rFonts w:ascii="Times New Roman" w:hAnsi="Times New Roman" w:cs="Times New Roman"/>
        </w:rPr>
        <w:t>‘The future of transitional justice: Mercy or impunity?’</w:t>
      </w:r>
      <w:r w:rsidR="00A33B23" w:rsidRPr="00DA7486">
        <w:rPr>
          <w:rFonts w:ascii="Times New Roman" w:hAnsi="Times New Roman" w:cs="Times New Roman"/>
        </w:rPr>
        <w:t xml:space="preserve"> in Michael </w:t>
      </w:r>
      <w:proofErr w:type="spellStart"/>
      <w:r w:rsidR="00A33B23" w:rsidRPr="00DA7486">
        <w:rPr>
          <w:rFonts w:ascii="Times New Roman" w:hAnsi="Times New Roman" w:cs="Times New Roman"/>
        </w:rPr>
        <w:t>Stohl</w:t>
      </w:r>
      <w:proofErr w:type="spellEnd"/>
      <w:r w:rsidR="00A33B23" w:rsidRPr="00DA7486">
        <w:rPr>
          <w:rFonts w:ascii="Times New Roman" w:hAnsi="Times New Roman" w:cs="Times New Roman"/>
        </w:rPr>
        <w:t xml:space="preserve"> and Alison </w:t>
      </w:r>
      <w:proofErr w:type="spellStart"/>
      <w:r w:rsidR="00A33B23" w:rsidRPr="00DA7486">
        <w:rPr>
          <w:rFonts w:ascii="Times New Roman" w:hAnsi="Times New Roman" w:cs="Times New Roman"/>
        </w:rPr>
        <w:t>Brysk</w:t>
      </w:r>
      <w:proofErr w:type="spellEnd"/>
      <w:r w:rsidR="00A478AB" w:rsidRPr="00DA7486">
        <w:rPr>
          <w:rFonts w:ascii="Times New Roman" w:hAnsi="Times New Roman" w:cs="Times New Roman"/>
        </w:rPr>
        <w:t xml:space="preserve"> (eds)</w:t>
      </w:r>
      <w:r w:rsidR="0008508B" w:rsidRPr="00DA7486">
        <w:rPr>
          <w:rFonts w:ascii="Times New Roman" w:hAnsi="Times New Roman" w:cs="Times New Roman"/>
        </w:rPr>
        <w:t xml:space="preserve">, </w:t>
      </w:r>
      <w:r w:rsidR="0008508B" w:rsidRPr="00DA7486">
        <w:rPr>
          <w:rFonts w:ascii="Times New Roman" w:hAnsi="Times New Roman" w:cs="Times New Roman"/>
          <w:i/>
          <w:iCs/>
        </w:rPr>
        <w:t>A Research Agenda for Human Rights</w:t>
      </w:r>
      <w:r w:rsidR="008461D7" w:rsidRPr="00DA7486">
        <w:rPr>
          <w:rFonts w:ascii="Times New Roman" w:hAnsi="Times New Roman" w:cs="Times New Roman"/>
        </w:rPr>
        <w:t xml:space="preserve"> </w:t>
      </w:r>
      <w:r w:rsidR="00A30086" w:rsidRPr="00DA7486">
        <w:rPr>
          <w:rFonts w:ascii="Times New Roman" w:hAnsi="Times New Roman" w:cs="Times New Roman"/>
        </w:rPr>
        <w:t>(Elgar</w:t>
      </w:r>
      <w:r w:rsidR="007F0E1D" w:rsidRPr="00DA7486">
        <w:rPr>
          <w:rFonts w:ascii="Times New Roman" w:hAnsi="Times New Roman" w:cs="Times New Roman"/>
        </w:rPr>
        <w:t>, 2020) 75–88</w:t>
      </w:r>
      <w:r w:rsidR="00506625" w:rsidRPr="00DA7486">
        <w:rPr>
          <w:rFonts w:ascii="Times New Roman" w:hAnsi="Times New Roman" w:cs="Times New Roman"/>
        </w:rPr>
        <w:t>; Paige Arthur, ‘How “Transitions” Reshaped Human Rights: A Conceptual History</w:t>
      </w:r>
      <w:r w:rsidR="00FD686B" w:rsidRPr="00DA7486">
        <w:rPr>
          <w:rFonts w:ascii="Times New Roman" w:hAnsi="Times New Roman" w:cs="Times New Roman"/>
        </w:rPr>
        <w:t xml:space="preserve"> </w:t>
      </w:r>
      <w:r w:rsidR="00506625" w:rsidRPr="00DA7486">
        <w:rPr>
          <w:rFonts w:ascii="Times New Roman" w:hAnsi="Times New Roman" w:cs="Times New Roman"/>
        </w:rPr>
        <w:t>of Transitional Justice</w:t>
      </w:r>
      <w:r w:rsidR="00FD686B" w:rsidRPr="00DA7486">
        <w:rPr>
          <w:rFonts w:ascii="Times New Roman" w:hAnsi="Times New Roman" w:cs="Times New Roman"/>
        </w:rPr>
        <w:t xml:space="preserve">’ (2009) 31 (2) </w:t>
      </w:r>
      <w:r w:rsidR="00506625" w:rsidRPr="00DA7486">
        <w:rPr>
          <w:rFonts w:ascii="Times New Roman" w:hAnsi="Times New Roman" w:cs="Times New Roman"/>
        </w:rPr>
        <w:t>Human Rights Quarterly</w:t>
      </w:r>
      <w:r w:rsidR="005C0250" w:rsidRPr="00DA7486">
        <w:rPr>
          <w:rFonts w:ascii="Times New Roman" w:hAnsi="Times New Roman" w:cs="Times New Roman"/>
        </w:rPr>
        <w:t xml:space="preserve"> </w:t>
      </w:r>
      <w:r w:rsidR="00506625" w:rsidRPr="00DA7486">
        <w:rPr>
          <w:rFonts w:ascii="Times New Roman" w:hAnsi="Times New Roman" w:cs="Times New Roman"/>
        </w:rPr>
        <w:t>321-367</w:t>
      </w:r>
      <w:r w:rsidR="005C0250" w:rsidRPr="00DA7486">
        <w:rPr>
          <w:rFonts w:ascii="Times New Roman" w:hAnsi="Times New Roman" w:cs="Times New Roman"/>
        </w:rPr>
        <w:t>.</w:t>
      </w:r>
    </w:p>
  </w:footnote>
  <w:footnote w:id="3">
    <w:p w14:paraId="7FD0E140" w14:textId="1C8DFBB4" w:rsidR="00E43B51" w:rsidRPr="00DA7486" w:rsidRDefault="00E43B5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47608A" w:rsidRPr="00DA7486">
        <w:rPr>
          <w:rFonts w:ascii="Times New Roman" w:hAnsi="Times New Roman" w:cs="Times New Roman"/>
        </w:rPr>
        <w:t xml:space="preserve">See </w:t>
      </w:r>
      <w:r w:rsidRPr="00DA7486">
        <w:rPr>
          <w:rFonts w:ascii="Times New Roman" w:hAnsi="Times New Roman" w:cs="Times New Roman"/>
        </w:rPr>
        <w:t xml:space="preserve">Diane </w:t>
      </w:r>
      <w:proofErr w:type="spellStart"/>
      <w:r w:rsidRPr="00DA7486">
        <w:rPr>
          <w:rFonts w:ascii="Times New Roman" w:hAnsi="Times New Roman" w:cs="Times New Roman"/>
        </w:rPr>
        <w:t>Orentlicher</w:t>
      </w:r>
      <w:proofErr w:type="spellEnd"/>
      <w:r w:rsidRPr="00DA7486">
        <w:rPr>
          <w:rFonts w:ascii="Times New Roman" w:hAnsi="Times New Roman" w:cs="Times New Roman"/>
        </w:rPr>
        <w:t xml:space="preserve">, ‘Settling Accounts: The Duty to Prosecute Human Rights Violations of a Prior Regime’ </w:t>
      </w:r>
      <w:r w:rsidR="008412FE" w:rsidRPr="00DA7486">
        <w:rPr>
          <w:rFonts w:ascii="Times New Roman" w:hAnsi="Times New Roman" w:cs="Times New Roman"/>
        </w:rPr>
        <w:t>(</w:t>
      </w:r>
      <w:r w:rsidRPr="00DA7486">
        <w:rPr>
          <w:rFonts w:ascii="Times New Roman" w:hAnsi="Times New Roman" w:cs="Times New Roman"/>
        </w:rPr>
        <w:t>1991</w:t>
      </w:r>
      <w:r w:rsidR="008412FE" w:rsidRPr="00DA7486">
        <w:rPr>
          <w:rFonts w:ascii="Times New Roman" w:hAnsi="Times New Roman" w:cs="Times New Roman"/>
        </w:rPr>
        <w:t>)</w:t>
      </w:r>
      <w:r w:rsidR="0047608A" w:rsidRPr="00DA7486">
        <w:rPr>
          <w:rFonts w:ascii="Times New Roman" w:hAnsi="Times New Roman" w:cs="Times New Roman"/>
        </w:rPr>
        <w:t xml:space="preserve"> </w:t>
      </w:r>
      <w:r w:rsidR="008412FE" w:rsidRPr="00DA7486">
        <w:rPr>
          <w:rFonts w:ascii="Times New Roman" w:hAnsi="Times New Roman" w:cs="Times New Roman"/>
        </w:rPr>
        <w:t xml:space="preserve">100(8) </w:t>
      </w:r>
      <w:r w:rsidR="0047608A" w:rsidRPr="00DA7486">
        <w:rPr>
          <w:rFonts w:ascii="Times New Roman" w:hAnsi="Times New Roman" w:cs="Times New Roman"/>
        </w:rPr>
        <w:t>Yale Law Journa</w:t>
      </w:r>
      <w:r w:rsidR="008412FE" w:rsidRPr="00DA7486">
        <w:rPr>
          <w:rFonts w:ascii="Times New Roman" w:hAnsi="Times New Roman" w:cs="Times New Roman"/>
        </w:rPr>
        <w:t>l</w:t>
      </w:r>
      <w:r w:rsidR="00587586" w:rsidRPr="00DA7486">
        <w:rPr>
          <w:rFonts w:ascii="Times New Roman" w:hAnsi="Times New Roman" w:cs="Times New Roman"/>
        </w:rPr>
        <w:t xml:space="preserve"> 2537-2615</w:t>
      </w:r>
      <w:r w:rsidRPr="00DA7486">
        <w:rPr>
          <w:rFonts w:ascii="Times New Roman" w:hAnsi="Times New Roman" w:cs="Times New Roman"/>
        </w:rPr>
        <w:t xml:space="preserve">; Naomi </w:t>
      </w:r>
      <w:proofErr w:type="spellStart"/>
      <w:r w:rsidRPr="00DA7486">
        <w:rPr>
          <w:rFonts w:ascii="Times New Roman" w:hAnsi="Times New Roman" w:cs="Times New Roman"/>
        </w:rPr>
        <w:t>Roht-Arriaza</w:t>
      </w:r>
      <w:proofErr w:type="spellEnd"/>
      <w:r w:rsidRPr="00DA7486">
        <w:rPr>
          <w:rFonts w:ascii="Times New Roman" w:hAnsi="Times New Roman" w:cs="Times New Roman"/>
        </w:rPr>
        <w:t xml:space="preserve">, ‘State Responsibility to Investigate and Prosecute Grave Human Rights Violations in International Law’ </w:t>
      </w:r>
      <w:r w:rsidR="00A0550A" w:rsidRPr="00DA7486">
        <w:rPr>
          <w:rFonts w:ascii="Times New Roman" w:hAnsi="Times New Roman" w:cs="Times New Roman"/>
        </w:rPr>
        <w:t xml:space="preserve">(1990) </w:t>
      </w:r>
      <w:r w:rsidR="00EA3806" w:rsidRPr="00DA7486">
        <w:rPr>
          <w:rFonts w:ascii="Times New Roman" w:hAnsi="Times New Roman" w:cs="Times New Roman"/>
        </w:rPr>
        <w:t xml:space="preserve">78(2) </w:t>
      </w:r>
      <w:r w:rsidR="00F95A98" w:rsidRPr="00DA7486">
        <w:rPr>
          <w:rFonts w:ascii="Times New Roman" w:hAnsi="Times New Roman" w:cs="Times New Roman"/>
        </w:rPr>
        <w:t>California Law Review</w:t>
      </w:r>
      <w:r w:rsidR="22650562" w:rsidRPr="00DA7486">
        <w:rPr>
          <w:rFonts w:ascii="Times New Roman" w:hAnsi="Times New Roman" w:cs="Times New Roman"/>
        </w:rPr>
        <w:t xml:space="preserve"> </w:t>
      </w:r>
      <w:r w:rsidR="4BB20A9C" w:rsidRPr="00DA7486">
        <w:rPr>
          <w:rFonts w:ascii="Times New Roman" w:hAnsi="Times New Roman" w:cs="Times New Roman"/>
          <w:color w:val="343332"/>
        </w:rPr>
        <w:t>449-513.</w:t>
      </w:r>
    </w:p>
  </w:footnote>
  <w:footnote w:id="4">
    <w:p w14:paraId="4D753C39" w14:textId="7333E5D9" w:rsidR="007F627A" w:rsidRPr="00DA7486" w:rsidRDefault="007F627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DE3E6D" w:rsidRPr="00DA7486">
        <w:rPr>
          <w:rFonts w:ascii="Times New Roman" w:hAnsi="Times New Roman" w:cs="Times New Roman"/>
        </w:rPr>
        <w:t xml:space="preserve">See </w:t>
      </w:r>
      <w:r w:rsidR="00FC1495" w:rsidRPr="00DA7486">
        <w:rPr>
          <w:rFonts w:ascii="Times New Roman" w:hAnsi="Times New Roman" w:cs="Times New Roman"/>
        </w:rPr>
        <w:t>above</w:t>
      </w:r>
      <w:r w:rsidR="00E45DB3" w:rsidRPr="00DA7486">
        <w:rPr>
          <w:rFonts w:ascii="Times New Roman" w:hAnsi="Times New Roman" w:cs="Times New Roman"/>
        </w:rPr>
        <w:t>, n</w:t>
      </w:r>
      <w:r w:rsidR="00671C3C" w:rsidRPr="00DA7486">
        <w:rPr>
          <w:rFonts w:ascii="Times New Roman" w:hAnsi="Times New Roman" w:cs="Times New Roman"/>
        </w:rPr>
        <w:fldChar w:fldCharType="begin"/>
      </w:r>
      <w:r w:rsidR="00671C3C" w:rsidRPr="00DA7486">
        <w:rPr>
          <w:rFonts w:ascii="Times New Roman" w:hAnsi="Times New Roman" w:cs="Times New Roman"/>
        </w:rPr>
        <w:instrText xml:space="preserve"> NOTEREF _Ref124592349 \h </w:instrText>
      </w:r>
      <w:r w:rsidR="00DA7486" w:rsidRPr="00DA7486">
        <w:rPr>
          <w:rFonts w:ascii="Times New Roman" w:hAnsi="Times New Roman" w:cs="Times New Roman"/>
        </w:rPr>
        <w:instrText xml:space="preserve"> \* MERGEFORMAT </w:instrText>
      </w:r>
      <w:r w:rsidR="00671C3C" w:rsidRPr="00DA7486">
        <w:rPr>
          <w:rFonts w:ascii="Times New Roman" w:hAnsi="Times New Roman" w:cs="Times New Roman"/>
        </w:rPr>
      </w:r>
      <w:r w:rsidR="00671C3C" w:rsidRPr="00DA7486">
        <w:rPr>
          <w:rFonts w:ascii="Times New Roman" w:hAnsi="Times New Roman" w:cs="Times New Roman"/>
        </w:rPr>
        <w:fldChar w:fldCharType="separate"/>
      </w:r>
      <w:r w:rsidR="00671C3C" w:rsidRPr="00DA7486">
        <w:rPr>
          <w:rFonts w:ascii="Times New Roman" w:hAnsi="Times New Roman" w:cs="Times New Roman"/>
        </w:rPr>
        <w:t>1</w:t>
      </w:r>
      <w:r w:rsidR="00671C3C" w:rsidRPr="00DA7486">
        <w:rPr>
          <w:rFonts w:ascii="Times New Roman" w:hAnsi="Times New Roman" w:cs="Times New Roman"/>
        </w:rPr>
        <w:fldChar w:fldCharType="end"/>
      </w:r>
      <w:r w:rsidR="15786EB1" w:rsidRPr="00DA7486">
        <w:rPr>
          <w:rFonts w:ascii="Times New Roman" w:hAnsi="Times New Roman" w:cs="Times New Roman"/>
        </w:rPr>
        <w:t>.</w:t>
      </w:r>
    </w:p>
  </w:footnote>
  <w:footnote w:id="5">
    <w:p w14:paraId="7F249E55" w14:textId="00DEE5B3" w:rsidR="00F63F7B" w:rsidRPr="00DA7486" w:rsidRDefault="00F63F7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CC4E91" w:rsidRPr="00DA7486">
        <w:rPr>
          <w:rFonts w:ascii="Times New Roman" w:hAnsi="Times New Roman" w:cs="Times New Roman"/>
        </w:rPr>
        <w:t xml:space="preserve"> See </w:t>
      </w:r>
      <w:r w:rsidR="004234FC" w:rsidRPr="00DA7486">
        <w:rPr>
          <w:rFonts w:ascii="Times New Roman" w:hAnsi="Times New Roman" w:cs="Times New Roman"/>
        </w:rPr>
        <w:t xml:space="preserve">Hugo van der Merwe and M Brinton </w:t>
      </w:r>
      <w:proofErr w:type="spellStart"/>
      <w:r w:rsidR="004234FC" w:rsidRPr="00DA7486">
        <w:rPr>
          <w:rFonts w:ascii="Times New Roman" w:hAnsi="Times New Roman" w:cs="Times New Roman"/>
        </w:rPr>
        <w:t>Lykes</w:t>
      </w:r>
      <w:proofErr w:type="spellEnd"/>
      <w:r w:rsidR="004234FC" w:rsidRPr="00DA7486">
        <w:rPr>
          <w:rFonts w:ascii="Times New Roman" w:hAnsi="Times New Roman" w:cs="Times New Roman"/>
        </w:rPr>
        <w:t>, ‘Transitional Justice and Corporate Accountability: Introducing New Players and New Theoretical Challenges</w:t>
      </w:r>
      <w:r w:rsidR="00DB56C1" w:rsidRPr="00DA7486">
        <w:rPr>
          <w:rFonts w:ascii="Times New Roman" w:hAnsi="Times New Roman" w:cs="Times New Roman"/>
        </w:rPr>
        <w:t>’</w:t>
      </w:r>
      <w:r w:rsidR="004234FC" w:rsidRPr="00DA7486">
        <w:rPr>
          <w:rFonts w:ascii="Times New Roman" w:hAnsi="Times New Roman" w:cs="Times New Roman"/>
        </w:rPr>
        <w:t xml:space="preserve"> </w:t>
      </w:r>
      <w:r w:rsidR="002D5C5E" w:rsidRPr="00DA7486">
        <w:rPr>
          <w:rFonts w:ascii="Times New Roman" w:hAnsi="Times New Roman" w:cs="Times New Roman"/>
        </w:rPr>
        <w:t>(2022</w:t>
      </w:r>
      <w:r w:rsidR="00D54170" w:rsidRPr="00DA7486">
        <w:rPr>
          <w:rFonts w:ascii="Times New Roman" w:hAnsi="Times New Roman" w:cs="Times New Roman"/>
        </w:rPr>
        <w:t>) 16 (3)</w:t>
      </w:r>
      <w:r w:rsidR="004234FC" w:rsidRPr="00DA7486">
        <w:rPr>
          <w:rFonts w:ascii="Times New Roman" w:hAnsi="Times New Roman" w:cs="Times New Roman"/>
        </w:rPr>
        <w:t xml:space="preserve"> </w:t>
      </w:r>
      <w:r w:rsidR="00DB56C1" w:rsidRPr="00DA7486">
        <w:rPr>
          <w:rFonts w:ascii="Times New Roman" w:hAnsi="Times New Roman" w:cs="Times New Roman"/>
        </w:rPr>
        <w:t>International Journal of Transitional Justice</w:t>
      </w:r>
      <w:r w:rsidR="00B35326" w:rsidRPr="00DA7486">
        <w:rPr>
          <w:rFonts w:ascii="Times New Roman" w:hAnsi="Times New Roman" w:cs="Times New Roman"/>
        </w:rPr>
        <w:t>,</w:t>
      </w:r>
      <w:r w:rsidR="004234FC" w:rsidRPr="00DA7486">
        <w:rPr>
          <w:rFonts w:ascii="Times New Roman" w:hAnsi="Times New Roman" w:cs="Times New Roman"/>
        </w:rPr>
        <w:t xml:space="preserve"> 291–297</w:t>
      </w:r>
      <w:r w:rsidR="008778E8" w:rsidRPr="00DA7486">
        <w:rPr>
          <w:rFonts w:ascii="Times New Roman" w:hAnsi="Times New Roman" w:cs="Times New Roman"/>
        </w:rPr>
        <w:t>;</w:t>
      </w:r>
      <w:r w:rsidR="002371BF" w:rsidRPr="00DA7486">
        <w:rPr>
          <w:rFonts w:ascii="Times New Roman" w:hAnsi="Times New Roman" w:cs="Times New Roman"/>
        </w:rPr>
        <w:t xml:space="preserve"> Sabine Michalowski, </w:t>
      </w:r>
      <w:r w:rsidR="00952376" w:rsidRPr="00DA7486">
        <w:rPr>
          <w:rFonts w:ascii="Times New Roman" w:hAnsi="Times New Roman" w:cs="Times New Roman"/>
          <w:i/>
          <w:iCs/>
        </w:rPr>
        <w:t>Corporate Accountability in the Context of Transitional Justice</w:t>
      </w:r>
      <w:r w:rsidR="00952376" w:rsidRPr="00DA7486">
        <w:rPr>
          <w:rFonts w:ascii="Times New Roman" w:hAnsi="Times New Roman" w:cs="Times New Roman"/>
        </w:rPr>
        <w:t xml:space="preserve"> (Routledge 2013)</w:t>
      </w:r>
      <w:r w:rsidR="008A083B" w:rsidRPr="00DA7486">
        <w:rPr>
          <w:rFonts w:ascii="Times New Roman" w:hAnsi="Times New Roman" w:cs="Times New Roman"/>
        </w:rPr>
        <w:t xml:space="preserve">; Evelyne </w:t>
      </w:r>
      <w:proofErr w:type="spellStart"/>
      <w:r w:rsidR="008A083B" w:rsidRPr="00DA7486">
        <w:rPr>
          <w:rFonts w:ascii="Times New Roman" w:hAnsi="Times New Roman" w:cs="Times New Roman"/>
        </w:rPr>
        <w:t>Owiye</w:t>
      </w:r>
      <w:proofErr w:type="spellEnd"/>
      <w:r w:rsidR="008A083B" w:rsidRPr="00DA7486">
        <w:rPr>
          <w:rFonts w:ascii="Times New Roman" w:hAnsi="Times New Roman" w:cs="Times New Roman"/>
        </w:rPr>
        <w:t xml:space="preserve"> </w:t>
      </w:r>
      <w:proofErr w:type="spellStart"/>
      <w:r w:rsidR="008A083B" w:rsidRPr="00DA7486">
        <w:rPr>
          <w:rFonts w:ascii="Times New Roman" w:hAnsi="Times New Roman" w:cs="Times New Roman"/>
        </w:rPr>
        <w:t>Asaala</w:t>
      </w:r>
      <w:proofErr w:type="spellEnd"/>
      <w:r w:rsidR="008A083B" w:rsidRPr="00DA7486">
        <w:rPr>
          <w:rFonts w:ascii="Times New Roman" w:hAnsi="Times New Roman" w:cs="Times New Roman"/>
        </w:rPr>
        <w:t>, ‘The Politics of Transitional Justice and Corporate Accountability for Atrocities: Options under International Law’ (2022</w:t>
      </w:r>
      <w:r w:rsidR="007B5EAA" w:rsidRPr="00DA7486">
        <w:rPr>
          <w:rFonts w:ascii="Times New Roman" w:hAnsi="Times New Roman" w:cs="Times New Roman"/>
        </w:rPr>
        <w:t>) 16 (3)</w:t>
      </w:r>
      <w:r w:rsidR="008A083B" w:rsidRPr="00DA7486">
        <w:rPr>
          <w:rFonts w:ascii="Times New Roman" w:hAnsi="Times New Roman" w:cs="Times New Roman"/>
        </w:rPr>
        <w:t xml:space="preserve"> International Journal of Transitional Justice 467–477</w:t>
      </w:r>
      <w:r w:rsidR="007B5EAA" w:rsidRPr="00DA7486">
        <w:rPr>
          <w:rFonts w:ascii="Times New Roman" w:hAnsi="Times New Roman" w:cs="Times New Roman"/>
        </w:rPr>
        <w:t>;</w:t>
      </w:r>
      <w:r w:rsidR="00214CA2" w:rsidRPr="00DA7486">
        <w:rPr>
          <w:rFonts w:ascii="Times New Roman" w:hAnsi="Times New Roman" w:cs="Times New Roman"/>
        </w:rPr>
        <w:t xml:space="preserve"> Gabriel Pereira, Leigh A. Payne &amp; Laura Bernal </w:t>
      </w:r>
      <w:proofErr w:type="spellStart"/>
      <w:r w:rsidR="00214CA2" w:rsidRPr="00DA7486">
        <w:rPr>
          <w:rFonts w:ascii="Times New Roman" w:hAnsi="Times New Roman" w:cs="Times New Roman"/>
        </w:rPr>
        <w:t>Bermúdez</w:t>
      </w:r>
      <w:proofErr w:type="spellEnd"/>
      <w:r w:rsidR="00A726D2" w:rsidRPr="00DA7486">
        <w:rPr>
          <w:rFonts w:ascii="Times New Roman" w:hAnsi="Times New Roman" w:cs="Times New Roman"/>
        </w:rPr>
        <w:t>,</w:t>
      </w:r>
      <w:r w:rsidR="00214CA2" w:rsidRPr="00DA7486">
        <w:rPr>
          <w:rFonts w:ascii="Times New Roman" w:hAnsi="Times New Roman" w:cs="Times New Roman"/>
        </w:rPr>
        <w:t xml:space="preserve"> </w:t>
      </w:r>
      <w:r w:rsidR="00A726D2" w:rsidRPr="00DA7486">
        <w:rPr>
          <w:rFonts w:ascii="Times New Roman" w:hAnsi="Times New Roman" w:cs="Times New Roman"/>
        </w:rPr>
        <w:t>‘</w:t>
      </w:r>
      <w:r w:rsidR="00214CA2" w:rsidRPr="00DA7486">
        <w:rPr>
          <w:rFonts w:ascii="Times New Roman" w:hAnsi="Times New Roman" w:cs="Times New Roman"/>
        </w:rPr>
        <w:t>Justice from below: corporate accountability in Argentina</w:t>
      </w:r>
      <w:r w:rsidR="00A726D2" w:rsidRPr="00DA7486">
        <w:rPr>
          <w:rFonts w:ascii="Times New Roman" w:hAnsi="Times New Roman" w:cs="Times New Roman"/>
        </w:rPr>
        <w:t>’ (2022)</w:t>
      </w:r>
      <w:r w:rsidR="00744669" w:rsidRPr="00DA7486">
        <w:rPr>
          <w:rFonts w:ascii="Times New Roman" w:hAnsi="Times New Roman" w:cs="Times New Roman"/>
        </w:rPr>
        <w:t xml:space="preserve"> 26 (8)</w:t>
      </w:r>
      <w:r w:rsidR="00214CA2" w:rsidRPr="00DA7486">
        <w:rPr>
          <w:rFonts w:ascii="Times New Roman" w:hAnsi="Times New Roman" w:cs="Times New Roman"/>
        </w:rPr>
        <w:t xml:space="preserve"> The International Journal of Human Rights 1418-1454</w:t>
      </w:r>
      <w:r w:rsidR="00744669" w:rsidRPr="00DA7486">
        <w:rPr>
          <w:rFonts w:ascii="Times New Roman" w:hAnsi="Times New Roman" w:cs="Times New Roman"/>
        </w:rPr>
        <w:t>.</w:t>
      </w:r>
    </w:p>
  </w:footnote>
  <w:footnote w:id="6">
    <w:p w14:paraId="17073841" w14:textId="16F29E20" w:rsidR="005B135D" w:rsidRPr="00DA7486" w:rsidRDefault="005B135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485495" w:rsidRPr="00DA7486">
        <w:rPr>
          <w:rFonts w:ascii="Times New Roman" w:hAnsi="Times New Roman" w:cs="Times New Roman"/>
        </w:rPr>
        <w:t xml:space="preserve">Naomi </w:t>
      </w:r>
      <w:proofErr w:type="spellStart"/>
      <w:r w:rsidR="00485495" w:rsidRPr="00DA7486">
        <w:rPr>
          <w:rFonts w:ascii="Times New Roman" w:hAnsi="Times New Roman" w:cs="Times New Roman"/>
        </w:rPr>
        <w:t>Roht-Arriaza</w:t>
      </w:r>
      <w:proofErr w:type="spellEnd"/>
      <w:r w:rsidR="00485495" w:rsidRPr="00DA7486">
        <w:rPr>
          <w:rFonts w:ascii="Times New Roman" w:hAnsi="Times New Roman" w:cs="Times New Roman"/>
        </w:rPr>
        <w:t xml:space="preserve"> &amp; Javier </w:t>
      </w:r>
      <w:proofErr w:type="spellStart"/>
      <w:r w:rsidR="00485495" w:rsidRPr="00DA7486">
        <w:rPr>
          <w:rFonts w:ascii="Times New Roman" w:hAnsi="Times New Roman" w:cs="Times New Roman"/>
        </w:rPr>
        <w:t>Mariezcurrena</w:t>
      </w:r>
      <w:proofErr w:type="spellEnd"/>
      <w:r w:rsidR="00485495" w:rsidRPr="00DA7486">
        <w:rPr>
          <w:rFonts w:ascii="Times New Roman" w:hAnsi="Times New Roman" w:cs="Times New Roman"/>
        </w:rPr>
        <w:t xml:space="preserve"> (eds.), </w:t>
      </w:r>
      <w:r w:rsidR="00485495" w:rsidRPr="00DA7486">
        <w:rPr>
          <w:rFonts w:ascii="Times New Roman" w:hAnsi="Times New Roman" w:cs="Times New Roman"/>
          <w:i/>
        </w:rPr>
        <w:t xml:space="preserve">Transitional justice in the twenty-first century: Beyond truth versus </w:t>
      </w:r>
      <w:r w:rsidR="002318BF" w:rsidRPr="00DA7486">
        <w:rPr>
          <w:rFonts w:ascii="Times New Roman" w:hAnsi="Times New Roman" w:cs="Times New Roman"/>
          <w:i/>
        </w:rPr>
        <w:t>justice</w:t>
      </w:r>
      <w:r w:rsidR="00485495" w:rsidRPr="00DA7486">
        <w:rPr>
          <w:rFonts w:ascii="Times New Roman" w:hAnsi="Times New Roman" w:cs="Times New Roman"/>
        </w:rPr>
        <w:t xml:space="preserve"> (C</w:t>
      </w:r>
      <w:r w:rsidR="00F55B17" w:rsidRPr="00DA7486">
        <w:rPr>
          <w:rFonts w:ascii="Times New Roman" w:hAnsi="Times New Roman" w:cs="Times New Roman"/>
        </w:rPr>
        <w:t>UP</w:t>
      </w:r>
      <w:r w:rsidR="00485495" w:rsidRPr="00DA7486">
        <w:rPr>
          <w:rFonts w:ascii="Times New Roman" w:hAnsi="Times New Roman" w:cs="Times New Roman"/>
        </w:rPr>
        <w:t xml:space="preserve"> 2006)</w:t>
      </w:r>
      <w:r w:rsidR="009A1470" w:rsidRPr="00DA7486">
        <w:rPr>
          <w:rFonts w:ascii="Times New Roman" w:hAnsi="Times New Roman" w:cs="Times New Roman"/>
        </w:rPr>
        <w:t xml:space="preserve">; See also Damian Etone, 'The Prospects and Potential Advantages and Disadvantages of a Regional Truth-Seeking Mechanism in the West Balkans' (2016) 2 (2) The International Journal of Conflict and Reconciliation 1-43  </w:t>
      </w:r>
      <w:r w:rsidR="00F6700A" w:rsidRPr="00DA7486">
        <w:rPr>
          <w:rFonts w:ascii="Times New Roman" w:hAnsi="Times New Roman" w:cs="Times New Roman"/>
        </w:rPr>
        <w:t>&lt;</w:t>
      </w:r>
      <w:hyperlink r:id="rId1" w:history="1">
        <w:r w:rsidR="00F6700A" w:rsidRPr="00DA7486">
          <w:rPr>
            <w:rStyle w:val="Hyperlink"/>
            <w:rFonts w:ascii="Times New Roman" w:hAnsi="Times New Roman" w:cs="Times New Roman"/>
          </w:rPr>
          <w:t>https://peacestudies.missouri.edu/articles-4</w:t>
        </w:r>
      </w:hyperlink>
      <w:r w:rsidR="00F6700A" w:rsidRPr="00DA7486">
        <w:rPr>
          <w:rFonts w:ascii="Times New Roman" w:hAnsi="Times New Roman" w:cs="Times New Roman"/>
        </w:rPr>
        <w:t xml:space="preserve">&gt; accessed </w:t>
      </w:r>
      <w:r w:rsidR="00453964" w:rsidRPr="00DA7486">
        <w:rPr>
          <w:rFonts w:ascii="Times New Roman" w:hAnsi="Times New Roman" w:cs="Times New Roman"/>
        </w:rPr>
        <w:t>3 January 2023.</w:t>
      </w:r>
      <w:r w:rsidR="009A1470" w:rsidRPr="00DA7486">
        <w:rPr>
          <w:rFonts w:ascii="Times New Roman" w:hAnsi="Times New Roman" w:cs="Times New Roman"/>
        </w:rPr>
        <w:t xml:space="preserve"> </w:t>
      </w:r>
    </w:p>
  </w:footnote>
  <w:footnote w:id="7">
    <w:p w14:paraId="3551D97B" w14:textId="142EE548" w:rsidR="006A1407" w:rsidRPr="00DA7486" w:rsidRDefault="006A140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5A4118" w:rsidRPr="00DA7486">
        <w:rPr>
          <w:rFonts w:ascii="Times New Roman" w:hAnsi="Times New Roman" w:cs="Times New Roman"/>
        </w:rPr>
        <w:t>UN Security Council ‘The Rule of Law and Transitional Justice in Conflict and Post-Conflict Societies’ (23 August 2004) UN Doc. S/2004/616</w:t>
      </w:r>
      <w:r w:rsidR="35A87F83" w:rsidRPr="00DA7486">
        <w:rPr>
          <w:rFonts w:ascii="Times New Roman" w:hAnsi="Times New Roman" w:cs="Times New Roman"/>
        </w:rPr>
        <w:t>,</w:t>
      </w:r>
      <w:r w:rsidR="005A4118" w:rsidRPr="00DA7486">
        <w:rPr>
          <w:rFonts w:ascii="Times New Roman" w:hAnsi="Times New Roman" w:cs="Times New Roman"/>
        </w:rPr>
        <w:t xml:space="preserve"> para 8.</w:t>
      </w:r>
      <w:r w:rsidR="007967D0" w:rsidRPr="00DA7486">
        <w:rPr>
          <w:rFonts w:ascii="Times New Roman" w:hAnsi="Times New Roman" w:cs="Times New Roman"/>
        </w:rPr>
        <w:t xml:space="preserve"> </w:t>
      </w:r>
    </w:p>
  </w:footnote>
  <w:footnote w:id="8">
    <w:p w14:paraId="149B0DA8" w14:textId="5484344E" w:rsidR="00DF057D" w:rsidRPr="00DA7486" w:rsidRDefault="00DF057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9B79A9" w:rsidRPr="00DA7486">
        <w:rPr>
          <w:rFonts w:ascii="Times New Roman" w:hAnsi="Times New Roman" w:cs="Times New Roman"/>
        </w:rPr>
        <w:t xml:space="preserve"> </w:t>
      </w:r>
      <w:r w:rsidR="009A1EFB" w:rsidRPr="00DA7486">
        <w:rPr>
          <w:rFonts w:ascii="Times New Roman" w:hAnsi="Times New Roman" w:cs="Times New Roman"/>
        </w:rPr>
        <w:t xml:space="preserve">Kirsten </w:t>
      </w:r>
      <w:r w:rsidR="009B79A9" w:rsidRPr="00DA7486">
        <w:rPr>
          <w:rFonts w:ascii="Times New Roman" w:hAnsi="Times New Roman" w:cs="Times New Roman"/>
        </w:rPr>
        <w:t>Ainsley</w:t>
      </w:r>
      <w:r w:rsidR="00507A2F" w:rsidRPr="00DA7486">
        <w:rPr>
          <w:rFonts w:ascii="Times New Roman" w:hAnsi="Times New Roman" w:cs="Times New Roman"/>
        </w:rPr>
        <w:t>,</w:t>
      </w:r>
      <w:r w:rsidR="009A1EFB" w:rsidRPr="00DA7486">
        <w:rPr>
          <w:rFonts w:ascii="Times New Roman" w:hAnsi="Times New Roman" w:cs="Times New Roman"/>
        </w:rPr>
        <w:t xml:space="preserve"> </w:t>
      </w:r>
      <w:r w:rsidR="005E5D9A" w:rsidRPr="00DA7486">
        <w:rPr>
          <w:rFonts w:ascii="Times New Roman" w:hAnsi="Times New Roman" w:cs="Times New Roman"/>
        </w:rPr>
        <w:t>‘</w:t>
      </w:r>
      <w:r w:rsidR="009A1EFB" w:rsidRPr="00DA7486">
        <w:rPr>
          <w:rFonts w:ascii="Times New Roman" w:hAnsi="Times New Roman" w:cs="Times New Roman"/>
        </w:rPr>
        <w:t xml:space="preserve">Evaluating the </w:t>
      </w:r>
      <w:r w:rsidR="00B85583" w:rsidRPr="00DA7486">
        <w:rPr>
          <w:rFonts w:ascii="Times New Roman" w:hAnsi="Times New Roman" w:cs="Times New Roman"/>
        </w:rPr>
        <w:t>S</w:t>
      </w:r>
      <w:r w:rsidR="009A1EFB" w:rsidRPr="00DA7486">
        <w:rPr>
          <w:rFonts w:ascii="Times New Roman" w:hAnsi="Times New Roman" w:cs="Times New Roman"/>
        </w:rPr>
        <w:t xml:space="preserve">uccess of </w:t>
      </w:r>
      <w:r w:rsidR="00B85583" w:rsidRPr="00DA7486">
        <w:rPr>
          <w:rFonts w:ascii="Times New Roman" w:hAnsi="Times New Roman" w:cs="Times New Roman"/>
        </w:rPr>
        <w:t>T</w:t>
      </w:r>
      <w:r w:rsidR="009A1EFB" w:rsidRPr="00DA7486">
        <w:rPr>
          <w:rFonts w:ascii="Times New Roman" w:hAnsi="Times New Roman" w:cs="Times New Roman"/>
        </w:rPr>
        <w:t xml:space="preserve">ransitional </w:t>
      </w:r>
      <w:r w:rsidR="00B85583" w:rsidRPr="00DA7486">
        <w:rPr>
          <w:rFonts w:ascii="Times New Roman" w:hAnsi="Times New Roman" w:cs="Times New Roman"/>
        </w:rPr>
        <w:t>J</w:t>
      </w:r>
      <w:r w:rsidR="009A1EFB" w:rsidRPr="00DA7486">
        <w:rPr>
          <w:rFonts w:ascii="Times New Roman" w:hAnsi="Times New Roman" w:cs="Times New Roman"/>
        </w:rPr>
        <w:t xml:space="preserve">ustice in Sierra Leone and </w:t>
      </w:r>
      <w:r w:rsidR="00B85583" w:rsidRPr="00DA7486">
        <w:rPr>
          <w:rFonts w:ascii="Times New Roman" w:hAnsi="Times New Roman" w:cs="Times New Roman"/>
        </w:rPr>
        <w:t>B</w:t>
      </w:r>
      <w:r w:rsidR="009A1EFB" w:rsidRPr="00DA7486">
        <w:rPr>
          <w:rFonts w:ascii="Times New Roman" w:hAnsi="Times New Roman" w:cs="Times New Roman"/>
        </w:rPr>
        <w:t>eyond</w:t>
      </w:r>
      <w:r w:rsidR="005E5D9A" w:rsidRPr="00DA7486">
        <w:rPr>
          <w:rFonts w:ascii="Times New Roman" w:hAnsi="Times New Roman" w:cs="Times New Roman"/>
        </w:rPr>
        <w:t>’</w:t>
      </w:r>
      <w:r w:rsidR="00672DCE" w:rsidRPr="00DA7486">
        <w:rPr>
          <w:rFonts w:ascii="Times New Roman" w:hAnsi="Times New Roman" w:cs="Times New Roman"/>
        </w:rPr>
        <w:t xml:space="preserve"> </w:t>
      </w:r>
      <w:r w:rsidR="007E4D02" w:rsidRPr="00DA7486">
        <w:rPr>
          <w:rFonts w:ascii="Times New Roman" w:hAnsi="Times New Roman" w:cs="Times New Roman"/>
        </w:rPr>
        <w:t xml:space="preserve">In: </w:t>
      </w:r>
      <w:r w:rsidR="004743CD" w:rsidRPr="00DA7486">
        <w:rPr>
          <w:rFonts w:ascii="Times New Roman" w:hAnsi="Times New Roman" w:cs="Times New Roman"/>
        </w:rPr>
        <w:t xml:space="preserve">Kirsten </w:t>
      </w:r>
      <w:proofErr w:type="spellStart"/>
      <w:r w:rsidR="007E4D02" w:rsidRPr="00DA7486">
        <w:rPr>
          <w:rFonts w:ascii="Times New Roman" w:hAnsi="Times New Roman" w:cs="Times New Roman"/>
        </w:rPr>
        <w:t>Ainley</w:t>
      </w:r>
      <w:proofErr w:type="spellEnd"/>
      <w:r w:rsidR="007E4D02" w:rsidRPr="00DA7486">
        <w:rPr>
          <w:rFonts w:ascii="Times New Roman" w:hAnsi="Times New Roman" w:cs="Times New Roman"/>
        </w:rPr>
        <w:t xml:space="preserve">, </w:t>
      </w:r>
      <w:proofErr w:type="spellStart"/>
      <w:r w:rsidR="004743CD" w:rsidRPr="00DA7486">
        <w:rPr>
          <w:rFonts w:ascii="Times New Roman" w:hAnsi="Times New Roman" w:cs="Times New Roman"/>
        </w:rPr>
        <w:t>Rebekka</w:t>
      </w:r>
      <w:proofErr w:type="spellEnd"/>
      <w:r w:rsidR="004743CD" w:rsidRPr="00DA7486">
        <w:rPr>
          <w:rFonts w:ascii="Times New Roman" w:hAnsi="Times New Roman" w:cs="Times New Roman"/>
        </w:rPr>
        <w:t xml:space="preserve"> </w:t>
      </w:r>
      <w:r w:rsidR="007E4D02" w:rsidRPr="00DA7486">
        <w:rPr>
          <w:rFonts w:ascii="Times New Roman" w:hAnsi="Times New Roman" w:cs="Times New Roman"/>
        </w:rPr>
        <w:t xml:space="preserve">Friedman, and </w:t>
      </w:r>
      <w:r w:rsidR="004743CD" w:rsidRPr="00DA7486">
        <w:rPr>
          <w:rFonts w:ascii="Times New Roman" w:hAnsi="Times New Roman" w:cs="Times New Roman"/>
        </w:rPr>
        <w:t xml:space="preserve">Chris </w:t>
      </w:r>
      <w:r w:rsidR="007E4D02" w:rsidRPr="00DA7486">
        <w:rPr>
          <w:rFonts w:ascii="Times New Roman" w:hAnsi="Times New Roman" w:cs="Times New Roman"/>
        </w:rPr>
        <w:t>Mahony, (eds.)</w:t>
      </w:r>
      <w:r w:rsidR="004743CD" w:rsidRPr="00DA7486">
        <w:rPr>
          <w:rFonts w:ascii="Times New Roman" w:hAnsi="Times New Roman" w:cs="Times New Roman"/>
        </w:rPr>
        <w:t xml:space="preserve"> </w:t>
      </w:r>
      <w:r w:rsidR="00065C04" w:rsidRPr="00DA7486">
        <w:rPr>
          <w:rFonts w:ascii="Times New Roman" w:hAnsi="Times New Roman" w:cs="Times New Roman"/>
          <w:i/>
          <w:iCs/>
        </w:rPr>
        <w:t>Transitional Justice: Accountability and Peacebuilding in Post-Conflict Sierra Leone (</w:t>
      </w:r>
      <w:r w:rsidR="007E4D02" w:rsidRPr="00DA7486">
        <w:rPr>
          <w:rFonts w:ascii="Times New Roman" w:hAnsi="Times New Roman" w:cs="Times New Roman"/>
        </w:rPr>
        <w:t>Palgrave Macmillan</w:t>
      </w:r>
      <w:r w:rsidR="00FA57A4" w:rsidRPr="00DA7486">
        <w:rPr>
          <w:rFonts w:ascii="Times New Roman" w:hAnsi="Times New Roman" w:cs="Times New Roman"/>
        </w:rPr>
        <w:t xml:space="preserve"> 2015)</w:t>
      </w:r>
      <w:r w:rsidR="007E4D02" w:rsidRPr="00DA7486">
        <w:rPr>
          <w:rFonts w:ascii="Times New Roman" w:hAnsi="Times New Roman" w:cs="Times New Roman"/>
        </w:rPr>
        <w:t xml:space="preserve"> 241-264</w:t>
      </w:r>
      <w:r w:rsidR="00306BF9" w:rsidRPr="00DA7486">
        <w:rPr>
          <w:rFonts w:ascii="Times New Roman" w:hAnsi="Times New Roman" w:cs="Times New Roman"/>
        </w:rPr>
        <w:t>; Bronw</w:t>
      </w:r>
      <w:r w:rsidR="000A368C" w:rsidRPr="00DA7486">
        <w:rPr>
          <w:rFonts w:ascii="Times New Roman" w:hAnsi="Times New Roman" w:cs="Times New Roman"/>
        </w:rPr>
        <w:t>y</w:t>
      </w:r>
      <w:r w:rsidR="00306BF9" w:rsidRPr="00DA7486">
        <w:rPr>
          <w:rFonts w:ascii="Times New Roman" w:hAnsi="Times New Roman" w:cs="Times New Roman"/>
        </w:rPr>
        <w:t>n Anne</w:t>
      </w:r>
      <w:r w:rsidR="001B53FB" w:rsidRPr="00DA7486">
        <w:rPr>
          <w:rFonts w:ascii="Times New Roman" w:hAnsi="Times New Roman" w:cs="Times New Roman"/>
        </w:rPr>
        <w:t xml:space="preserve"> </w:t>
      </w:r>
      <w:proofErr w:type="spellStart"/>
      <w:r w:rsidR="00306BF9" w:rsidRPr="00DA7486">
        <w:rPr>
          <w:rFonts w:ascii="Times New Roman" w:hAnsi="Times New Roman" w:cs="Times New Roman"/>
        </w:rPr>
        <w:t>Leebaw</w:t>
      </w:r>
      <w:proofErr w:type="spellEnd"/>
      <w:r w:rsidR="00306BF9" w:rsidRPr="00DA7486">
        <w:rPr>
          <w:rFonts w:ascii="Times New Roman" w:hAnsi="Times New Roman" w:cs="Times New Roman"/>
        </w:rPr>
        <w:t>,</w:t>
      </w:r>
      <w:r w:rsidR="000A368C" w:rsidRPr="00DA7486">
        <w:rPr>
          <w:rFonts w:ascii="Times New Roman" w:hAnsi="Times New Roman" w:cs="Times New Roman"/>
        </w:rPr>
        <w:t xml:space="preserve"> ‘</w:t>
      </w:r>
      <w:r w:rsidR="00306BF9" w:rsidRPr="00DA7486">
        <w:rPr>
          <w:rFonts w:ascii="Times New Roman" w:hAnsi="Times New Roman" w:cs="Times New Roman"/>
        </w:rPr>
        <w:t>The Irreconcilable Goals of Transitional Justice</w:t>
      </w:r>
      <w:r w:rsidR="000A368C" w:rsidRPr="00DA7486">
        <w:rPr>
          <w:rFonts w:ascii="Times New Roman" w:hAnsi="Times New Roman" w:cs="Times New Roman"/>
        </w:rPr>
        <w:t>’ (2008)</w:t>
      </w:r>
      <w:r w:rsidR="00306BF9" w:rsidRPr="00DA7486">
        <w:rPr>
          <w:rFonts w:ascii="Times New Roman" w:hAnsi="Times New Roman" w:cs="Times New Roman"/>
        </w:rPr>
        <w:t> </w:t>
      </w:r>
      <w:r w:rsidR="00B57450" w:rsidRPr="00DA7486">
        <w:rPr>
          <w:rFonts w:ascii="Times New Roman" w:hAnsi="Times New Roman" w:cs="Times New Roman"/>
        </w:rPr>
        <w:t>30(1)</w:t>
      </w:r>
      <w:r w:rsidR="000E3263" w:rsidRPr="00DA7486">
        <w:rPr>
          <w:rFonts w:ascii="Times New Roman" w:hAnsi="Times New Roman" w:cs="Times New Roman"/>
        </w:rPr>
        <w:t xml:space="preserve"> </w:t>
      </w:r>
      <w:r w:rsidR="00306BF9" w:rsidRPr="00DA7486">
        <w:rPr>
          <w:rFonts w:ascii="Times New Roman" w:hAnsi="Times New Roman" w:cs="Times New Roman"/>
        </w:rPr>
        <w:t>Human Rights Quarterly 95–118</w:t>
      </w:r>
      <w:r w:rsidR="000E3263" w:rsidRPr="00DA7486">
        <w:rPr>
          <w:rFonts w:ascii="Times New Roman" w:hAnsi="Times New Roman" w:cs="Times New Roman"/>
        </w:rPr>
        <w:t>;</w:t>
      </w:r>
      <w:r w:rsidR="00306BF9" w:rsidRPr="00DA7486">
        <w:rPr>
          <w:rFonts w:ascii="Times New Roman" w:hAnsi="Times New Roman" w:cs="Times New Roman"/>
        </w:rPr>
        <w:t> </w:t>
      </w:r>
      <w:r w:rsidR="000E3263" w:rsidRPr="00DA7486">
        <w:rPr>
          <w:rFonts w:ascii="Times New Roman" w:hAnsi="Times New Roman" w:cs="Times New Roman"/>
        </w:rPr>
        <w:t xml:space="preserve">Simon Robins, </w:t>
      </w:r>
      <w:r w:rsidR="000B7444" w:rsidRPr="00DA7486">
        <w:rPr>
          <w:rFonts w:ascii="Times New Roman" w:hAnsi="Times New Roman" w:cs="Times New Roman"/>
        </w:rPr>
        <w:t>‘</w:t>
      </w:r>
      <w:r w:rsidR="000E3263" w:rsidRPr="00DA7486">
        <w:rPr>
          <w:rFonts w:ascii="Times New Roman" w:hAnsi="Times New Roman" w:cs="Times New Roman"/>
        </w:rPr>
        <w:t>Failing Victims? The Limits of Transitional Justice in Addressing the Needs of Victims of Violations</w:t>
      </w:r>
      <w:r w:rsidR="000B7444" w:rsidRPr="00DA7486">
        <w:rPr>
          <w:rFonts w:ascii="Times New Roman" w:hAnsi="Times New Roman" w:cs="Times New Roman"/>
        </w:rPr>
        <w:t>’</w:t>
      </w:r>
      <w:r w:rsidR="000E3263" w:rsidRPr="00DA7486">
        <w:rPr>
          <w:rFonts w:ascii="Times New Roman" w:hAnsi="Times New Roman" w:cs="Times New Roman"/>
        </w:rPr>
        <w:t xml:space="preserve"> </w:t>
      </w:r>
      <w:r w:rsidR="004348AC" w:rsidRPr="00DA7486">
        <w:rPr>
          <w:rFonts w:ascii="Times New Roman" w:hAnsi="Times New Roman" w:cs="Times New Roman"/>
        </w:rPr>
        <w:t>(2017)</w:t>
      </w:r>
      <w:r w:rsidR="002D7EEE" w:rsidRPr="00DA7486">
        <w:rPr>
          <w:rFonts w:ascii="Times New Roman" w:hAnsi="Times New Roman" w:cs="Times New Roman"/>
        </w:rPr>
        <w:t xml:space="preserve"> </w:t>
      </w:r>
      <w:r w:rsidR="00452BD6" w:rsidRPr="00DA7486">
        <w:rPr>
          <w:rFonts w:ascii="Times New Roman" w:hAnsi="Times New Roman" w:cs="Times New Roman"/>
        </w:rPr>
        <w:t xml:space="preserve">2 </w:t>
      </w:r>
      <w:r w:rsidR="000E3263" w:rsidRPr="00DA7486">
        <w:rPr>
          <w:rFonts w:ascii="Times New Roman" w:hAnsi="Times New Roman" w:cs="Times New Roman"/>
        </w:rPr>
        <w:t>Human Rights and International Legal Discourse</w:t>
      </w:r>
      <w:r w:rsidR="002D7EEE" w:rsidRPr="00DA7486">
        <w:rPr>
          <w:rFonts w:ascii="Times New Roman" w:hAnsi="Times New Roman" w:cs="Times New Roman"/>
        </w:rPr>
        <w:t xml:space="preserve"> </w:t>
      </w:r>
      <w:r w:rsidR="000E3263" w:rsidRPr="00DA7486">
        <w:rPr>
          <w:rFonts w:ascii="Times New Roman" w:hAnsi="Times New Roman" w:cs="Times New Roman"/>
        </w:rPr>
        <w:t>41-58</w:t>
      </w:r>
      <w:r w:rsidR="001B3BD0" w:rsidRPr="00DA7486">
        <w:rPr>
          <w:rFonts w:ascii="Times New Roman" w:hAnsi="Times New Roman" w:cs="Times New Roman"/>
        </w:rPr>
        <w:t>.</w:t>
      </w:r>
    </w:p>
  </w:footnote>
  <w:footnote w:id="9">
    <w:p w14:paraId="4A08C2B3" w14:textId="2C4A5F39" w:rsidR="00597C44" w:rsidRPr="00DA7486" w:rsidRDefault="00597C4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2D590E27" w:rsidRPr="00DA7486">
        <w:rPr>
          <w:rFonts w:ascii="Times New Roman" w:hAnsi="Times New Roman" w:cs="Times New Roman"/>
        </w:rPr>
        <w:t xml:space="preserve"> Tricia D. Olsen, Leigh A. Payne and Andrew G. Reiter, ‘</w:t>
      </w:r>
      <w:r w:rsidRPr="00DA7486">
        <w:rPr>
          <w:rFonts w:ascii="Times New Roman" w:hAnsi="Times New Roman" w:cs="Times New Roman"/>
        </w:rPr>
        <w:t xml:space="preserve">The Justice Balance: When Transitional Justice Improves Human Rights and </w:t>
      </w:r>
      <w:r w:rsidR="2D590E27" w:rsidRPr="00DA7486">
        <w:rPr>
          <w:rFonts w:ascii="Times New Roman" w:hAnsi="Times New Roman" w:cs="Times New Roman"/>
        </w:rPr>
        <w:t xml:space="preserve">Democracy’ (2010) </w:t>
      </w:r>
      <w:r w:rsidR="007F972B" w:rsidRPr="00DA7486">
        <w:rPr>
          <w:rFonts w:ascii="Times New Roman" w:hAnsi="Times New Roman" w:cs="Times New Roman"/>
        </w:rPr>
        <w:t>32 (4)</w:t>
      </w:r>
      <w:r w:rsidRPr="00DA7486">
        <w:rPr>
          <w:rFonts w:ascii="Times New Roman" w:hAnsi="Times New Roman" w:cs="Times New Roman"/>
        </w:rPr>
        <w:t xml:space="preserve"> Human Rights Quarterly 980-1007</w:t>
      </w:r>
      <w:r w:rsidR="0022423C" w:rsidRPr="00DA7486">
        <w:rPr>
          <w:rFonts w:ascii="Times New Roman" w:hAnsi="Times New Roman" w:cs="Times New Roman"/>
        </w:rPr>
        <w:t xml:space="preserve">; Geoff </w:t>
      </w:r>
      <w:proofErr w:type="spellStart"/>
      <w:r w:rsidR="0022423C" w:rsidRPr="00DA7486">
        <w:rPr>
          <w:rFonts w:ascii="Times New Roman" w:hAnsi="Times New Roman" w:cs="Times New Roman"/>
        </w:rPr>
        <w:t>Da</w:t>
      </w:r>
      <w:r w:rsidR="004F627A" w:rsidRPr="00DA7486">
        <w:rPr>
          <w:rFonts w:ascii="Times New Roman" w:hAnsi="Times New Roman" w:cs="Times New Roman"/>
        </w:rPr>
        <w:t>n</w:t>
      </w:r>
      <w:r w:rsidR="0022423C" w:rsidRPr="00DA7486">
        <w:rPr>
          <w:rFonts w:ascii="Times New Roman" w:hAnsi="Times New Roman" w:cs="Times New Roman"/>
        </w:rPr>
        <w:t>cey</w:t>
      </w:r>
      <w:proofErr w:type="spellEnd"/>
      <w:r w:rsidR="0022423C" w:rsidRPr="00DA7486">
        <w:rPr>
          <w:rFonts w:ascii="Times New Roman" w:hAnsi="Times New Roman" w:cs="Times New Roman"/>
        </w:rPr>
        <w:t xml:space="preserve"> et al</w:t>
      </w:r>
      <w:r w:rsidR="004F627A" w:rsidRPr="00DA7486">
        <w:rPr>
          <w:rFonts w:ascii="Times New Roman" w:hAnsi="Times New Roman" w:cs="Times New Roman"/>
        </w:rPr>
        <w:t xml:space="preserve"> </w:t>
      </w:r>
      <w:r w:rsidR="007E7A6B" w:rsidRPr="00DA7486">
        <w:rPr>
          <w:rFonts w:ascii="Times New Roman" w:hAnsi="Times New Roman" w:cs="Times New Roman"/>
        </w:rPr>
        <w:t>examined the contributions of transitional justice in decreasing violations of human rights</w:t>
      </w:r>
      <w:r w:rsidR="00E24F0C" w:rsidRPr="00DA7486">
        <w:rPr>
          <w:rFonts w:ascii="Times New Roman" w:hAnsi="Times New Roman" w:cs="Times New Roman"/>
        </w:rPr>
        <w:t xml:space="preserve">, see </w:t>
      </w:r>
      <w:r w:rsidR="15DFE5E6" w:rsidRPr="00DA7486">
        <w:rPr>
          <w:rFonts w:ascii="Times New Roman" w:hAnsi="Times New Roman" w:cs="Times New Roman"/>
        </w:rPr>
        <w:t xml:space="preserve">Geoff </w:t>
      </w:r>
      <w:proofErr w:type="spellStart"/>
      <w:r w:rsidR="351CFE0E" w:rsidRPr="00DA7486">
        <w:rPr>
          <w:rFonts w:ascii="Times New Roman" w:hAnsi="Times New Roman" w:cs="Times New Roman"/>
        </w:rPr>
        <w:t>Dangy</w:t>
      </w:r>
      <w:proofErr w:type="spellEnd"/>
      <w:r w:rsidR="15DFE5E6" w:rsidRPr="00DA7486">
        <w:rPr>
          <w:rFonts w:ascii="Times New Roman" w:hAnsi="Times New Roman" w:cs="Times New Roman"/>
        </w:rPr>
        <w:t xml:space="preserve"> et </w:t>
      </w:r>
      <w:r w:rsidR="5991FF99" w:rsidRPr="00DA7486">
        <w:rPr>
          <w:rFonts w:ascii="Times New Roman" w:hAnsi="Times New Roman" w:cs="Times New Roman"/>
        </w:rPr>
        <w:t xml:space="preserve">al, </w:t>
      </w:r>
      <w:r w:rsidR="4F3BB9D7" w:rsidRPr="00DA7486">
        <w:rPr>
          <w:rFonts w:ascii="Times New Roman" w:hAnsi="Times New Roman" w:cs="Times New Roman"/>
        </w:rPr>
        <w:t>‘</w:t>
      </w:r>
      <w:r w:rsidR="5991FF99" w:rsidRPr="00DA7486">
        <w:rPr>
          <w:rFonts w:ascii="Times New Roman" w:hAnsi="Times New Roman" w:cs="Times New Roman"/>
        </w:rPr>
        <w:t>Behind</w:t>
      </w:r>
      <w:r w:rsidR="00E24F0C" w:rsidRPr="00DA7486">
        <w:rPr>
          <w:rFonts w:ascii="Times New Roman" w:hAnsi="Times New Roman" w:cs="Times New Roman"/>
        </w:rPr>
        <w:t xml:space="preserve"> Bars and Bargains: New Findings on Transitional Justice in Emerging </w:t>
      </w:r>
      <w:r w:rsidR="0B74CEE0" w:rsidRPr="00DA7486">
        <w:rPr>
          <w:rFonts w:ascii="Times New Roman" w:hAnsi="Times New Roman" w:cs="Times New Roman"/>
        </w:rPr>
        <w:t>Democracies’</w:t>
      </w:r>
      <w:r w:rsidR="00E24F0C" w:rsidRPr="00DA7486">
        <w:rPr>
          <w:rFonts w:ascii="Times New Roman" w:hAnsi="Times New Roman" w:cs="Times New Roman"/>
        </w:rPr>
        <w:t xml:space="preserve"> </w:t>
      </w:r>
      <w:r w:rsidR="2A3FF297" w:rsidRPr="00DA7486">
        <w:rPr>
          <w:rFonts w:ascii="Times New Roman" w:hAnsi="Times New Roman" w:cs="Times New Roman"/>
        </w:rPr>
        <w:t>(</w:t>
      </w:r>
      <w:r w:rsidR="6EC550D2" w:rsidRPr="00DA7486">
        <w:rPr>
          <w:rFonts w:ascii="Times New Roman" w:hAnsi="Times New Roman" w:cs="Times New Roman"/>
        </w:rPr>
        <w:t xml:space="preserve">2019) </w:t>
      </w:r>
      <w:r w:rsidR="143634AD" w:rsidRPr="00DA7486">
        <w:rPr>
          <w:rFonts w:ascii="Times New Roman" w:hAnsi="Times New Roman" w:cs="Times New Roman"/>
        </w:rPr>
        <w:t>International Studies Quarterly 1–12</w:t>
      </w:r>
      <w:r w:rsidR="4BB831BA" w:rsidRPr="00DA7486">
        <w:rPr>
          <w:rFonts w:ascii="Times New Roman" w:hAnsi="Times New Roman" w:cs="Times New Roman"/>
        </w:rPr>
        <w:t>.</w:t>
      </w:r>
    </w:p>
  </w:footnote>
  <w:footnote w:id="10">
    <w:p w14:paraId="1985F281" w14:textId="2A2DBE54" w:rsidR="007E68B1" w:rsidRPr="00DA7486" w:rsidRDefault="007E68B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714D169" w:rsidRPr="00DA7486">
        <w:rPr>
          <w:rFonts w:ascii="Times New Roman" w:hAnsi="Times New Roman" w:cs="Times New Roman"/>
        </w:rPr>
        <w:t xml:space="preserve"> See</w:t>
      </w:r>
      <w:r w:rsidR="1F284439" w:rsidRPr="00DA7486">
        <w:rPr>
          <w:rFonts w:ascii="Times New Roman" w:hAnsi="Times New Roman" w:cs="Times New Roman"/>
        </w:rPr>
        <w:t xml:space="preserve"> </w:t>
      </w:r>
      <w:r w:rsidR="1F284439" w:rsidRPr="00DA7486">
        <w:rPr>
          <w:rFonts w:ascii="Times New Roman" w:eastAsia="Times New Roman" w:hAnsi="Times New Roman" w:cs="Times New Roman"/>
        </w:rPr>
        <w:t>International Centre for Transitional Justice</w:t>
      </w:r>
      <w:r w:rsidR="6ED2CD03" w:rsidRPr="00DA7486">
        <w:rPr>
          <w:rFonts w:ascii="Times New Roman" w:eastAsia="Times New Roman" w:hAnsi="Times New Roman" w:cs="Times New Roman"/>
        </w:rPr>
        <w:t>,</w:t>
      </w:r>
      <w:r w:rsidR="1F284439" w:rsidRPr="00DA7486">
        <w:rPr>
          <w:rFonts w:ascii="Times New Roman" w:eastAsia="Times New Roman" w:hAnsi="Times New Roman" w:cs="Times New Roman"/>
        </w:rPr>
        <w:t xml:space="preserve"> ‘Transitional Justice and Prevention: Summary Findings </w:t>
      </w:r>
      <w:r w:rsidR="6ED2CD03" w:rsidRPr="00DA7486">
        <w:rPr>
          <w:rFonts w:ascii="Times New Roman" w:eastAsia="Times New Roman" w:hAnsi="Times New Roman" w:cs="Times New Roman"/>
        </w:rPr>
        <w:t>from</w:t>
      </w:r>
      <w:r w:rsidR="1F284439" w:rsidRPr="00DA7486">
        <w:rPr>
          <w:rFonts w:ascii="Times New Roman" w:eastAsia="Times New Roman" w:hAnsi="Times New Roman" w:cs="Times New Roman"/>
        </w:rPr>
        <w:t xml:space="preserve"> Five Country Case Studies’ (June 2021) </w:t>
      </w:r>
      <w:r w:rsidR="5D7CFEEB" w:rsidRPr="00DA7486">
        <w:rPr>
          <w:rFonts w:ascii="Times New Roman" w:eastAsia="Times New Roman" w:hAnsi="Times New Roman" w:cs="Times New Roman"/>
        </w:rPr>
        <w:t>1-</w:t>
      </w:r>
      <w:r w:rsidR="3A2AE8E4" w:rsidRPr="00DA7486">
        <w:rPr>
          <w:rFonts w:ascii="Times New Roman" w:eastAsia="Times New Roman" w:hAnsi="Times New Roman" w:cs="Times New Roman"/>
        </w:rPr>
        <w:t>31</w:t>
      </w:r>
      <w:r w:rsidR="5D7CFEEB" w:rsidRPr="00DA7486">
        <w:rPr>
          <w:rFonts w:ascii="Times New Roman" w:eastAsia="Times New Roman" w:hAnsi="Times New Roman" w:cs="Times New Roman"/>
        </w:rPr>
        <w:t xml:space="preserve"> </w:t>
      </w:r>
      <w:hyperlink r:id="rId2" w:history="1">
        <w:r w:rsidR="00C30350" w:rsidRPr="0059179E">
          <w:rPr>
            <w:rStyle w:val="Hyperlink"/>
            <w:rFonts w:ascii="Times New Roman" w:eastAsia="Times New Roman" w:hAnsi="Times New Roman" w:cs="Times New Roman"/>
          </w:rPr>
          <w:t>https://bit.ly/3Wc4CDs</w:t>
        </w:r>
      </w:hyperlink>
      <w:r w:rsidR="00C30350">
        <w:rPr>
          <w:rFonts w:ascii="Times New Roman" w:eastAsia="Times New Roman" w:hAnsi="Times New Roman" w:cs="Times New Roman"/>
        </w:rPr>
        <w:t xml:space="preserve"> </w:t>
      </w:r>
      <w:r w:rsidR="1F284439" w:rsidRPr="00DA7486">
        <w:rPr>
          <w:rFonts w:ascii="Times New Roman" w:eastAsia="Times New Roman" w:hAnsi="Times New Roman" w:cs="Times New Roman"/>
        </w:rPr>
        <w:t xml:space="preserve"> accessed 3 January 2023</w:t>
      </w:r>
    </w:p>
  </w:footnote>
  <w:footnote w:id="11">
    <w:p w14:paraId="0A4E20E0" w14:textId="5A1390DC" w:rsidR="002A7021" w:rsidRPr="00DA7486" w:rsidRDefault="002A702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Ibid, 1.</w:t>
      </w:r>
    </w:p>
  </w:footnote>
  <w:footnote w:id="12">
    <w:p w14:paraId="5D1645A0" w14:textId="683EE7F5" w:rsidR="0001561A" w:rsidRPr="00DA7486" w:rsidRDefault="0001561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5789C61" w:rsidRPr="00DA7486">
        <w:rPr>
          <w:rFonts w:ascii="Times New Roman" w:hAnsi="Times New Roman" w:cs="Times New Roman"/>
        </w:rPr>
        <w:t>UPR Info, ‘Database of UPR recommendations</w:t>
      </w:r>
      <w:r w:rsidR="00745AAA">
        <w:rPr>
          <w:rFonts w:ascii="Times New Roman" w:hAnsi="Times New Roman" w:cs="Times New Roman"/>
        </w:rPr>
        <w:t>’</w:t>
      </w:r>
      <w:r w:rsidR="65789C61" w:rsidRPr="00DA7486">
        <w:rPr>
          <w:rFonts w:ascii="Times New Roman" w:hAnsi="Times New Roman" w:cs="Times New Roman"/>
        </w:rPr>
        <w:t xml:space="preserve"> at </w:t>
      </w:r>
      <w:hyperlink r:id="rId3" w:history="1">
        <w:r w:rsidR="005E0011" w:rsidRPr="0059179E">
          <w:rPr>
            <w:rStyle w:val="Hyperlink"/>
            <w:rFonts w:ascii="Times New Roman" w:hAnsi="Times New Roman" w:cs="Times New Roman"/>
          </w:rPr>
          <w:t>https://bit.ly/3XvWDC3</w:t>
        </w:r>
      </w:hyperlink>
      <w:r w:rsidR="005E0011">
        <w:rPr>
          <w:rFonts w:ascii="Times New Roman" w:hAnsi="Times New Roman" w:cs="Times New Roman"/>
        </w:rPr>
        <w:t xml:space="preserve"> </w:t>
      </w:r>
      <w:r w:rsidR="426B7D49" w:rsidRPr="00DA7486">
        <w:rPr>
          <w:rFonts w:ascii="Times New Roman" w:hAnsi="Times New Roman" w:cs="Times New Roman"/>
        </w:rPr>
        <w:t xml:space="preserve">accessed 14 January </w:t>
      </w:r>
      <w:r w:rsidR="7BC7513A" w:rsidRPr="00DA7486">
        <w:rPr>
          <w:rFonts w:ascii="Times New Roman" w:hAnsi="Times New Roman" w:cs="Times New Roman"/>
        </w:rPr>
        <w:t>2023</w:t>
      </w:r>
      <w:r w:rsidR="58753B33" w:rsidRPr="00DA7486">
        <w:rPr>
          <w:rFonts w:ascii="Times New Roman" w:hAnsi="Times New Roman" w:cs="Times New Roman"/>
        </w:rPr>
        <w:t>.</w:t>
      </w:r>
      <w:r w:rsidR="65789C61" w:rsidRPr="00DA7486">
        <w:rPr>
          <w:rFonts w:ascii="Times New Roman" w:hAnsi="Times New Roman" w:cs="Times New Roman"/>
        </w:rPr>
        <w:t xml:space="preserve"> </w:t>
      </w:r>
    </w:p>
  </w:footnote>
  <w:footnote w:id="13">
    <w:p w14:paraId="4B816440" w14:textId="7D0D9030" w:rsidR="00D95C17" w:rsidRPr="00DA7486" w:rsidRDefault="00D95C1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EC21B1" w:rsidRPr="00DA7486">
        <w:rPr>
          <w:rFonts w:ascii="Times New Roman" w:hAnsi="Times New Roman" w:cs="Times New Roman"/>
        </w:rPr>
        <w:t>UN General Assembly, ‘Review of the United Nations Peacebuilding Architecture’ (12 May 2016) UN Doc. A/RES/70/262, para 11.</w:t>
      </w:r>
    </w:p>
  </w:footnote>
  <w:footnote w:id="14">
    <w:p w14:paraId="40C83EA3" w14:textId="6E1573E3" w:rsidR="001A30A5" w:rsidRPr="00DA7486" w:rsidRDefault="001A30A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2C6938" w:rsidRPr="00DA7486">
        <w:rPr>
          <w:rFonts w:ascii="Times New Roman" w:hAnsi="Times New Roman" w:cs="Times New Roman"/>
        </w:rPr>
        <w:t xml:space="preserve">UN Office of the High Commissioner for Human Rights, </w:t>
      </w:r>
      <w:r w:rsidR="00CC6F33" w:rsidRPr="00DA7486">
        <w:rPr>
          <w:rFonts w:ascii="Times New Roman" w:hAnsi="Times New Roman" w:cs="Times New Roman"/>
        </w:rPr>
        <w:t>‘</w:t>
      </w:r>
      <w:r w:rsidR="00CD07A7" w:rsidRPr="00DA7486">
        <w:rPr>
          <w:rFonts w:ascii="Times New Roman" w:hAnsi="Times New Roman" w:cs="Times New Roman"/>
        </w:rPr>
        <w:t xml:space="preserve">2020 </w:t>
      </w:r>
      <w:r w:rsidR="00CC6F33" w:rsidRPr="00DA7486">
        <w:rPr>
          <w:rFonts w:ascii="Times New Roman" w:hAnsi="Times New Roman" w:cs="Times New Roman"/>
        </w:rPr>
        <w:t>Review of the UN Peacebuilding Architecture</w:t>
      </w:r>
      <w:r w:rsidR="00CD07A7" w:rsidRPr="00DA7486">
        <w:rPr>
          <w:rFonts w:ascii="Times New Roman" w:hAnsi="Times New Roman" w:cs="Times New Roman"/>
        </w:rPr>
        <w:t xml:space="preserve">: </w:t>
      </w:r>
      <w:r w:rsidR="002C6938" w:rsidRPr="00DA7486">
        <w:rPr>
          <w:rFonts w:ascii="Times New Roman" w:hAnsi="Times New Roman" w:cs="Times New Roman"/>
        </w:rPr>
        <w:t>The Universal Periodic Review and Sustaining Peace’</w:t>
      </w:r>
      <w:r w:rsidR="00CD07A7" w:rsidRPr="00DA7486">
        <w:rPr>
          <w:rFonts w:ascii="Times New Roman" w:hAnsi="Times New Roman" w:cs="Times New Roman"/>
        </w:rPr>
        <w:t xml:space="preserve"> </w:t>
      </w:r>
      <w:r w:rsidR="002C6938" w:rsidRPr="00DA7486">
        <w:rPr>
          <w:rFonts w:ascii="Times New Roman" w:hAnsi="Times New Roman" w:cs="Times New Roman"/>
        </w:rPr>
        <w:t xml:space="preserve">(2020) </w:t>
      </w:r>
      <w:hyperlink r:id="rId4" w:history="1">
        <w:r w:rsidR="000A004A" w:rsidRPr="0059179E">
          <w:rPr>
            <w:rStyle w:val="Hyperlink"/>
            <w:rFonts w:ascii="Times New Roman" w:hAnsi="Times New Roman" w:cs="Times New Roman"/>
          </w:rPr>
          <w:t>https://bit.ly/3W83RLn</w:t>
        </w:r>
      </w:hyperlink>
      <w:r w:rsidR="000A004A">
        <w:rPr>
          <w:rFonts w:ascii="Times New Roman" w:hAnsi="Times New Roman" w:cs="Times New Roman"/>
        </w:rPr>
        <w:t xml:space="preserve"> </w:t>
      </w:r>
      <w:r w:rsidR="002C6938" w:rsidRPr="00DA7486">
        <w:rPr>
          <w:rFonts w:ascii="Times New Roman" w:hAnsi="Times New Roman" w:cs="Times New Roman"/>
        </w:rPr>
        <w:t>accessed on 3 January 2023.</w:t>
      </w:r>
    </w:p>
  </w:footnote>
  <w:footnote w:id="15">
    <w:p w14:paraId="28FAD6E3" w14:textId="3B92FFC7" w:rsidR="00C40A39" w:rsidRPr="00DA7486" w:rsidRDefault="00C40A39" w:rsidP="00DA7486">
      <w:pPr>
        <w:pStyle w:val="FootnoteText"/>
        <w:jc w:val="both"/>
        <w:rPr>
          <w:rFonts w:ascii="Times New Roman" w:hAnsi="Times New Roman" w:cs="Times New Roman"/>
          <w:b/>
          <w:bCs/>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175C66" w:rsidRPr="00DA7486">
        <w:rPr>
          <w:rFonts w:ascii="Times New Roman" w:hAnsi="Times New Roman" w:cs="Times New Roman"/>
        </w:rPr>
        <w:t>Lijiang Zhu, ‘</w:t>
      </w:r>
      <w:r w:rsidR="005311F7" w:rsidRPr="00DA7486">
        <w:rPr>
          <w:rFonts w:ascii="Times New Roman" w:hAnsi="Times New Roman" w:cs="Times New Roman"/>
        </w:rPr>
        <w:t xml:space="preserve">International Humanitarian Law in the Universal Periodic Review of the </w:t>
      </w:r>
      <w:r w:rsidR="00175C66" w:rsidRPr="00DA7486">
        <w:rPr>
          <w:rFonts w:ascii="Times New Roman" w:hAnsi="Times New Roman" w:cs="Times New Roman"/>
        </w:rPr>
        <w:t xml:space="preserve">UN </w:t>
      </w:r>
      <w:r w:rsidR="005311F7" w:rsidRPr="00DA7486">
        <w:rPr>
          <w:rFonts w:ascii="Times New Roman" w:hAnsi="Times New Roman" w:cs="Times New Roman"/>
        </w:rPr>
        <w:t>Human Rights Council</w:t>
      </w:r>
      <w:r w:rsidR="00175C66" w:rsidRPr="00DA7486">
        <w:rPr>
          <w:rFonts w:ascii="Times New Roman" w:hAnsi="Times New Roman" w:cs="Times New Roman"/>
        </w:rPr>
        <w:t xml:space="preserve">’ (2014) </w:t>
      </w:r>
      <w:r w:rsidR="00175C66" w:rsidRPr="00DA7486">
        <w:rPr>
          <w:rFonts w:ascii="Times New Roman" w:hAnsi="Times New Roman" w:cs="Times New Roman"/>
          <w:i/>
          <w:iCs/>
        </w:rPr>
        <w:t>5</w:t>
      </w:r>
      <w:r w:rsidR="00175C66" w:rsidRPr="00DA7486">
        <w:rPr>
          <w:rFonts w:ascii="Times New Roman" w:hAnsi="Times New Roman" w:cs="Times New Roman"/>
        </w:rPr>
        <w:t xml:space="preserve">(1-2) </w:t>
      </w:r>
      <w:r w:rsidR="005311F7" w:rsidRPr="00DA7486">
        <w:rPr>
          <w:rFonts w:ascii="Times New Roman" w:hAnsi="Times New Roman" w:cs="Times New Roman"/>
        </w:rPr>
        <w:t>Journal of International Humanitarian Legal Studies</w:t>
      </w:r>
      <w:r w:rsidR="00175C66" w:rsidRPr="00DA7486">
        <w:rPr>
          <w:rFonts w:ascii="Times New Roman" w:hAnsi="Times New Roman" w:cs="Times New Roman"/>
        </w:rPr>
        <w:t xml:space="preserve"> </w:t>
      </w:r>
      <w:r w:rsidR="005311F7" w:rsidRPr="00DA7486">
        <w:rPr>
          <w:rFonts w:ascii="Times New Roman" w:hAnsi="Times New Roman" w:cs="Times New Roman"/>
        </w:rPr>
        <w:t>186-212.</w:t>
      </w:r>
    </w:p>
  </w:footnote>
  <w:footnote w:id="16">
    <w:p w14:paraId="349DAD1B" w14:textId="5DD03903" w:rsidR="004069D1" w:rsidRPr="00DA7486" w:rsidRDefault="004069D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285A3DB1" w:rsidRPr="00DA7486">
        <w:rPr>
          <w:rFonts w:ascii="Times New Roman" w:hAnsi="Times New Roman" w:cs="Times New Roman"/>
        </w:rPr>
        <w:t xml:space="preserve"> Nadia </w:t>
      </w:r>
      <w:proofErr w:type="spellStart"/>
      <w:r w:rsidR="285A3DB1" w:rsidRPr="00DA7486">
        <w:rPr>
          <w:rFonts w:ascii="Times New Roman" w:hAnsi="Times New Roman" w:cs="Times New Roman"/>
        </w:rPr>
        <w:t>Bernaz</w:t>
      </w:r>
      <w:proofErr w:type="spellEnd"/>
      <w:r w:rsidR="285A3DB1" w:rsidRPr="00DA7486">
        <w:rPr>
          <w:rFonts w:ascii="Times New Roman" w:hAnsi="Times New Roman" w:cs="Times New Roman"/>
        </w:rPr>
        <w:t xml:space="preserve">, ‘Reforming the UN Human Rights Protection Procedures: A Legal Perspective on the Establishment of the Universal Periodic Review’ in Kevin Boyle (ed), </w:t>
      </w:r>
      <w:r w:rsidR="285A3DB1" w:rsidRPr="00DA7486">
        <w:rPr>
          <w:rFonts w:ascii="Times New Roman" w:hAnsi="Times New Roman" w:cs="Times New Roman"/>
          <w:i/>
          <w:iCs/>
        </w:rPr>
        <w:t>New Institutions for Human Rights Protection</w:t>
      </w:r>
      <w:r w:rsidR="285A3DB1" w:rsidRPr="00DA7486">
        <w:rPr>
          <w:rFonts w:ascii="Times New Roman" w:hAnsi="Times New Roman" w:cs="Times New Roman"/>
        </w:rPr>
        <w:t xml:space="preserve"> (Oxford University Press 2009) 78 and 88</w:t>
      </w:r>
      <w:r w:rsidR="5428C296" w:rsidRPr="00DA7486">
        <w:rPr>
          <w:rFonts w:ascii="Times New Roman" w:hAnsi="Times New Roman" w:cs="Times New Roman"/>
        </w:rPr>
        <w:t>.</w:t>
      </w:r>
    </w:p>
  </w:footnote>
  <w:footnote w:id="17">
    <w:p w14:paraId="4DFCD89A" w14:textId="69B051E4" w:rsidR="004069D1" w:rsidRPr="00DA7486" w:rsidRDefault="004069D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F17B87" w:rsidRPr="00DA7486">
        <w:rPr>
          <w:rFonts w:ascii="Times New Roman" w:hAnsi="Times New Roman" w:cs="Times New Roman"/>
        </w:rPr>
        <w:t xml:space="preserve">Sir Nigel S </w:t>
      </w:r>
      <w:proofErr w:type="spellStart"/>
      <w:r w:rsidR="00F17B87" w:rsidRPr="00DA7486">
        <w:rPr>
          <w:rFonts w:ascii="Times New Roman" w:hAnsi="Times New Roman" w:cs="Times New Roman"/>
        </w:rPr>
        <w:t>Rodley</w:t>
      </w:r>
      <w:proofErr w:type="spellEnd"/>
      <w:r w:rsidR="00F17B87" w:rsidRPr="00DA7486">
        <w:rPr>
          <w:rFonts w:ascii="Times New Roman" w:hAnsi="Times New Roman" w:cs="Times New Roman"/>
        </w:rPr>
        <w:t xml:space="preserve">, ‘UN Treaty Bodies and the Human Rights Council’ in Helen Keller and </w:t>
      </w:r>
      <w:proofErr w:type="spellStart"/>
      <w:r w:rsidR="00F17B87" w:rsidRPr="00DA7486">
        <w:rPr>
          <w:rFonts w:ascii="Times New Roman" w:hAnsi="Times New Roman" w:cs="Times New Roman"/>
        </w:rPr>
        <w:t>Geir</w:t>
      </w:r>
      <w:proofErr w:type="spellEnd"/>
      <w:r w:rsidR="00F17B87" w:rsidRPr="00DA7486">
        <w:rPr>
          <w:rFonts w:ascii="Times New Roman" w:hAnsi="Times New Roman" w:cs="Times New Roman"/>
        </w:rPr>
        <w:t xml:space="preserve"> </w:t>
      </w:r>
      <w:proofErr w:type="spellStart"/>
      <w:r w:rsidR="00F17B87" w:rsidRPr="00DA7486">
        <w:rPr>
          <w:rFonts w:ascii="Times New Roman" w:hAnsi="Times New Roman" w:cs="Times New Roman"/>
        </w:rPr>
        <w:t>Ulfstein</w:t>
      </w:r>
      <w:proofErr w:type="spellEnd"/>
      <w:r w:rsidR="00F17B87" w:rsidRPr="00DA7486">
        <w:rPr>
          <w:rFonts w:ascii="Times New Roman" w:hAnsi="Times New Roman" w:cs="Times New Roman"/>
        </w:rPr>
        <w:t xml:space="preserve"> (eds), </w:t>
      </w:r>
      <w:r w:rsidR="00F17B87" w:rsidRPr="00DA7486">
        <w:rPr>
          <w:rFonts w:ascii="Times New Roman" w:hAnsi="Times New Roman" w:cs="Times New Roman"/>
          <w:i/>
          <w:iCs/>
        </w:rPr>
        <w:t xml:space="preserve">UN Human Rights Treaty Bodies: Law and Legitimacy </w:t>
      </w:r>
      <w:r w:rsidR="00F17B87" w:rsidRPr="00DA7486">
        <w:rPr>
          <w:rFonts w:ascii="Times New Roman" w:hAnsi="Times New Roman" w:cs="Times New Roman"/>
        </w:rPr>
        <w:t xml:space="preserve">(Cambridge University Press, 2012) </w:t>
      </w:r>
      <w:r w:rsidR="32DD80F5" w:rsidRPr="00DA7486">
        <w:rPr>
          <w:rFonts w:ascii="Times New Roman" w:hAnsi="Times New Roman" w:cs="Times New Roman"/>
        </w:rPr>
        <w:t>329</w:t>
      </w:r>
      <w:r w:rsidR="00F17B87" w:rsidRPr="00DA7486">
        <w:rPr>
          <w:rFonts w:ascii="Times New Roman" w:hAnsi="Times New Roman" w:cs="Times New Roman"/>
        </w:rPr>
        <w:t xml:space="preserve">.  </w:t>
      </w:r>
      <w:r w:rsidR="00977EF4" w:rsidRPr="00DA7486">
        <w:rPr>
          <w:rFonts w:ascii="Times New Roman" w:hAnsi="Times New Roman" w:cs="Times New Roman"/>
        </w:rPr>
        <w:t xml:space="preserve">See also Heather </w:t>
      </w:r>
      <w:proofErr w:type="spellStart"/>
      <w:r w:rsidR="00977EF4" w:rsidRPr="00DA7486">
        <w:rPr>
          <w:rFonts w:ascii="Times New Roman" w:hAnsi="Times New Roman" w:cs="Times New Roman"/>
        </w:rPr>
        <w:t>Collister</w:t>
      </w:r>
      <w:proofErr w:type="spellEnd"/>
      <w:r w:rsidR="00977EF4" w:rsidRPr="00DA7486">
        <w:rPr>
          <w:rFonts w:ascii="Times New Roman" w:hAnsi="Times New Roman" w:cs="Times New Roman"/>
        </w:rPr>
        <w:t xml:space="preserve">, ‘Rituals and Implementation in the Universal Periodic Review’ in </w:t>
      </w:r>
      <w:r w:rsidR="00060D9C" w:rsidRPr="00DA7486">
        <w:rPr>
          <w:rFonts w:ascii="Times New Roman" w:hAnsi="Times New Roman" w:cs="Times New Roman"/>
        </w:rPr>
        <w:t xml:space="preserve">Hilary Charlesworth and Emma Larking (eds), </w:t>
      </w:r>
      <w:r w:rsidR="00060D9C" w:rsidRPr="00DA7486">
        <w:rPr>
          <w:rFonts w:ascii="Times New Roman" w:hAnsi="Times New Roman" w:cs="Times New Roman"/>
          <w:i/>
          <w:iCs/>
        </w:rPr>
        <w:t xml:space="preserve">Human Rights and the Universal Periodic Review: Rituals and Ritualism </w:t>
      </w:r>
      <w:r w:rsidR="00060D9C" w:rsidRPr="00DA7486">
        <w:rPr>
          <w:rFonts w:ascii="Times New Roman" w:hAnsi="Times New Roman" w:cs="Times New Roman"/>
        </w:rPr>
        <w:t>(Cambridge University Press, 2015)</w:t>
      </w:r>
      <w:r w:rsidR="00977EF4" w:rsidRPr="00DA7486">
        <w:rPr>
          <w:rFonts w:ascii="Times New Roman" w:hAnsi="Times New Roman" w:cs="Times New Roman"/>
        </w:rPr>
        <w:t>, 11</w:t>
      </w:r>
      <w:r w:rsidR="00A70742" w:rsidRPr="00DA7486">
        <w:rPr>
          <w:rFonts w:ascii="Times New Roman" w:hAnsi="Times New Roman" w:cs="Times New Roman"/>
        </w:rPr>
        <w:t>6</w:t>
      </w:r>
      <w:r w:rsidR="00977EF4" w:rsidRPr="00DA7486">
        <w:rPr>
          <w:rFonts w:ascii="Times New Roman" w:hAnsi="Times New Roman" w:cs="Times New Roman"/>
        </w:rPr>
        <w:t>-</w:t>
      </w:r>
      <w:r w:rsidR="00A70742" w:rsidRPr="00DA7486">
        <w:rPr>
          <w:rFonts w:ascii="Times New Roman" w:hAnsi="Times New Roman" w:cs="Times New Roman"/>
        </w:rPr>
        <w:t>19</w:t>
      </w:r>
      <w:r w:rsidR="00977EF4" w:rsidRPr="00DA7486">
        <w:rPr>
          <w:rFonts w:ascii="Times New Roman" w:hAnsi="Times New Roman" w:cs="Times New Roman"/>
        </w:rPr>
        <w:t xml:space="preserve">.  </w:t>
      </w:r>
    </w:p>
  </w:footnote>
  <w:footnote w:id="18">
    <w:p w14:paraId="1BCC58B7" w14:textId="284ECF9F" w:rsidR="001479A3" w:rsidRPr="00DA7486" w:rsidRDefault="001479A3"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A838322" w:rsidRPr="00DA7486">
        <w:rPr>
          <w:rFonts w:ascii="Times New Roman" w:hAnsi="Times New Roman" w:cs="Times New Roman"/>
        </w:rPr>
        <w:t xml:space="preserve"> Olivier de </w:t>
      </w:r>
      <w:proofErr w:type="spellStart"/>
      <w:r w:rsidR="3A838322" w:rsidRPr="00DA7486">
        <w:rPr>
          <w:rFonts w:ascii="Times New Roman" w:hAnsi="Times New Roman" w:cs="Times New Roman"/>
        </w:rPr>
        <w:t>Frouville</w:t>
      </w:r>
      <w:proofErr w:type="spellEnd"/>
      <w:r w:rsidR="3A838322" w:rsidRPr="00DA7486">
        <w:rPr>
          <w:rFonts w:ascii="Times New Roman" w:hAnsi="Times New Roman" w:cs="Times New Roman"/>
        </w:rPr>
        <w:t xml:space="preserve">, ‘Building a Universal System for the Protection of Human Rights: The Way Forward’ in M </w:t>
      </w:r>
      <w:proofErr w:type="spellStart"/>
      <w:r w:rsidR="3A838322" w:rsidRPr="00DA7486">
        <w:rPr>
          <w:rFonts w:ascii="Times New Roman" w:hAnsi="Times New Roman" w:cs="Times New Roman"/>
        </w:rPr>
        <w:t>Cherif</w:t>
      </w:r>
      <w:proofErr w:type="spellEnd"/>
      <w:r w:rsidR="3A838322" w:rsidRPr="00DA7486">
        <w:rPr>
          <w:rFonts w:ascii="Times New Roman" w:hAnsi="Times New Roman" w:cs="Times New Roman"/>
        </w:rPr>
        <w:t xml:space="preserve"> </w:t>
      </w:r>
      <w:proofErr w:type="spellStart"/>
      <w:r w:rsidR="3A838322" w:rsidRPr="00DA7486">
        <w:rPr>
          <w:rFonts w:ascii="Times New Roman" w:hAnsi="Times New Roman" w:cs="Times New Roman"/>
        </w:rPr>
        <w:t>Bassiouni</w:t>
      </w:r>
      <w:proofErr w:type="spellEnd"/>
      <w:r w:rsidR="3A838322" w:rsidRPr="00DA7486">
        <w:rPr>
          <w:rFonts w:ascii="Times New Roman" w:hAnsi="Times New Roman" w:cs="Times New Roman"/>
        </w:rPr>
        <w:t xml:space="preserve"> and William A Schabas (eds), </w:t>
      </w:r>
      <w:r w:rsidR="3A838322" w:rsidRPr="00DA7486">
        <w:rPr>
          <w:rFonts w:ascii="Times New Roman" w:hAnsi="Times New Roman" w:cs="Times New Roman"/>
          <w:i/>
        </w:rPr>
        <w:t>New Challenges for the UN Human Rights Machinery</w:t>
      </w:r>
      <w:r w:rsidR="3A838322" w:rsidRPr="00DA7486">
        <w:rPr>
          <w:rFonts w:ascii="Times New Roman" w:hAnsi="Times New Roman" w:cs="Times New Roman"/>
        </w:rPr>
        <w:t xml:space="preserve"> (</w:t>
      </w:r>
      <w:proofErr w:type="spellStart"/>
      <w:r w:rsidR="3A838322" w:rsidRPr="00DA7486">
        <w:rPr>
          <w:rFonts w:ascii="Times New Roman" w:hAnsi="Times New Roman" w:cs="Times New Roman"/>
        </w:rPr>
        <w:t>Intersentia</w:t>
      </w:r>
      <w:proofErr w:type="spellEnd"/>
      <w:r w:rsidR="3A838322" w:rsidRPr="00DA7486">
        <w:rPr>
          <w:rFonts w:ascii="Times New Roman" w:hAnsi="Times New Roman" w:cs="Times New Roman"/>
        </w:rPr>
        <w:t xml:space="preserve">, 2011) 250-251. </w:t>
      </w:r>
    </w:p>
  </w:footnote>
  <w:footnote w:id="19">
    <w:p w14:paraId="472BF24B" w14:textId="3A40CAD5" w:rsidR="00295F14" w:rsidRPr="00DA7486" w:rsidRDefault="00295F1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1A53A521" w:rsidRPr="00DA7486">
        <w:rPr>
          <w:rFonts w:ascii="Times New Roman" w:hAnsi="Times New Roman" w:cs="Times New Roman"/>
        </w:rPr>
        <w:t xml:space="preserve"> See Lijiang Zhu, ‘International Humanitarian Law in the Universal Periodic Review of the UN Human Rights Council’ (2014) 5 </w:t>
      </w:r>
      <w:r w:rsidR="1A53A521" w:rsidRPr="00DA7486">
        <w:rPr>
          <w:rFonts w:ascii="Times New Roman" w:hAnsi="Times New Roman" w:cs="Times New Roman"/>
          <w:i/>
          <w:iCs/>
        </w:rPr>
        <w:t xml:space="preserve">Journal of International Humanitarian Legal Studies </w:t>
      </w:r>
      <w:r w:rsidR="1A53A521" w:rsidRPr="00DA7486">
        <w:rPr>
          <w:rFonts w:ascii="Times New Roman" w:hAnsi="Times New Roman" w:cs="Times New Roman"/>
        </w:rPr>
        <w:t>186-</w:t>
      </w:r>
      <w:r w:rsidR="77018F19" w:rsidRPr="00DA7486">
        <w:rPr>
          <w:rFonts w:ascii="Times New Roman" w:hAnsi="Times New Roman" w:cs="Times New Roman"/>
        </w:rPr>
        <w:t>212</w:t>
      </w:r>
      <w:r w:rsidR="1A53A521" w:rsidRPr="00DA7486">
        <w:rPr>
          <w:rFonts w:ascii="Times New Roman" w:hAnsi="Times New Roman" w:cs="Times New Roman"/>
        </w:rPr>
        <w:t xml:space="preserve">.  </w:t>
      </w:r>
    </w:p>
  </w:footnote>
  <w:footnote w:id="20">
    <w:p w14:paraId="17787AAA" w14:textId="5B5698A9" w:rsidR="008D7A63" w:rsidRPr="00DA7486" w:rsidRDefault="008D7A63"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20F66FEC" w:rsidRPr="00DA7486">
        <w:rPr>
          <w:rFonts w:ascii="Times New Roman" w:hAnsi="Times New Roman" w:cs="Times New Roman"/>
        </w:rPr>
        <w:t xml:space="preserve">  See Lijiang Zhu, ibid 193.</w:t>
      </w:r>
    </w:p>
  </w:footnote>
  <w:footnote w:id="21">
    <w:p w14:paraId="5F9F8EC0" w14:textId="00C2FEDD" w:rsidR="008A130A" w:rsidRPr="00DA7486" w:rsidRDefault="008A130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4D74F1" w:rsidRPr="00DA7486">
        <w:rPr>
          <w:rFonts w:ascii="Times New Roman" w:hAnsi="Times New Roman" w:cs="Times New Roman"/>
        </w:rPr>
        <w:t xml:space="preserve">See Claire Callejon, ‘Developments at the Human Rights Council in 2007: A Reflection of its Ambivalence’ (2008) 8 (2) Human Rights Law Review </w:t>
      </w:r>
      <w:r w:rsidR="65F93D3C" w:rsidRPr="00DA7486">
        <w:rPr>
          <w:rFonts w:ascii="Times New Roman" w:hAnsi="Times New Roman" w:cs="Times New Roman"/>
        </w:rPr>
        <w:t xml:space="preserve">323, </w:t>
      </w:r>
      <w:r w:rsidR="004D74F1" w:rsidRPr="00DA7486">
        <w:rPr>
          <w:rFonts w:ascii="Times New Roman" w:hAnsi="Times New Roman" w:cs="Times New Roman"/>
        </w:rPr>
        <w:t>336.</w:t>
      </w:r>
    </w:p>
  </w:footnote>
  <w:footnote w:id="22">
    <w:p w14:paraId="21F77DA4" w14:textId="608D7922" w:rsidR="00D80DE1" w:rsidRPr="00DA7486" w:rsidRDefault="00D80DE1" w:rsidP="00DA7486">
      <w:pPr>
        <w:pStyle w:val="FootnoteText"/>
        <w:jc w:val="both"/>
        <w:rPr>
          <w:rFonts w:ascii="Times New Roman" w:hAnsi="Times New Roman" w:cs="Times New Roman"/>
          <w:i/>
          <w:iCs/>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62752E" w:rsidRPr="00DA7486">
        <w:rPr>
          <w:rFonts w:ascii="Times New Roman" w:hAnsi="Times New Roman" w:cs="Times New Roman"/>
        </w:rPr>
        <w:t xml:space="preserve">Helen Quane, ‘The Significance of an Evolving Relationship: Asian States and the Global Human Rights Mechanisms’ (2015) 15 </w:t>
      </w:r>
      <w:r w:rsidR="0062752E" w:rsidRPr="00DA7486">
        <w:rPr>
          <w:rFonts w:ascii="Times New Roman" w:hAnsi="Times New Roman" w:cs="Times New Roman"/>
          <w:i/>
          <w:iCs/>
        </w:rPr>
        <w:t>Human Rights Law Review</w:t>
      </w:r>
      <w:r w:rsidR="0034578D" w:rsidRPr="00DA7486">
        <w:rPr>
          <w:rFonts w:ascii="Times New Roman" w:hAnsi="Times New Roman" w:cs="Times New Roman"/>
          <w:i/>
          <w:iCs/>
        </w:rPr>
        <w:t xml:space="preserve"> 28</w:t>
      </w:r>
      <w:r w:rsidR="00C84E9F" w:rsidRPr="00DA7486">
        <w:rPr>
          <w:rFonts w:ascii="Times New Roman" w:hAnsi="Times New Roman" w:cs="Times New Roman"/>
          <w:i/>
          <w:iCs/>
        </w:rPr>
        <w:t>3,</w:t>
      </w:r>
      <w:r w:rsidR="0062752E" w:rsidRPr="00DA7486">
        <w:rPr>
          <w:rFonts w:ascii="Times New Roman" w:hAnsi="Times New Roman" w:cs="Times New Roman"/>
          <w:i/>
          <w:iCs/>
        </w:rPr>
        <w:t xml:space="preserve"> </w:t>
      </w:r>
      <w:r w:rsidR="0062752E" w:rsidRPr="00DA7486">
        <w:rPr>
          <w:rFonts w:ascii="Times New Roman" w:hAnsi="Times New Roman" w:cs="Times New Roman"/>
        </w:rPr>
        <w:t>289</w:t>
      </w:r>
      <w:r w:rsidR="003D68CB" w:rsidRPr="00DA7486">
        <w:rPr>
          <w:rFonts w:ascii="Times New Roman" w:hAnsi="Times New Roman" w:cs="Times New Roman"/>
        </w:rPr>
        <w:t>.</w:t>
      </w:r>
    </w:p>
  </w:footnote>
  <w:footnote w:id="23">
    <w:p w14:paraId="57CB6DA0" w14:textId="3BAB57A9" w:rsidR="00E8150E" w:rsidRPr="00DA7486" w:rsidRDefault="00E8150E"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273282" w:rsidRPr="00DA7486">
        <w:rPr>
          <w:rFonts w:ascii="Times New Roman" w:hAnsi="Times New Roman" w:cs="Times New Roman"/>
        </w:rPr>
        <w:t xml:space="preserve">For Kenya and South Africa, see Damian Etone, </w:t>
      </w:r>
      <w:r w:rsidR="00273282" w:rsidRPr="00DA7486">
        <w:rPr>
          <w:rFonts w:ascii="Times New Roman" w:hAnsi="Times New Roman" w:cs="Times New Roman"/>
          <w:i/>
        </w:rPr>
        <w:t>The Human Rights Council: The Impact of the Universal Periodic Review in Africa</w:t>
      </w:r>
      <w:r w:rsidR="00273282" w:rsidRPr="00DA7486">
        <w:rPr>
          <w:rFonts w:ascii="Times New Roman" w:hAnsi="Times New Roman" w:cs="Times New Roman"/>
        </w:rPr>
        <w:t xml:space="preserve"> (Routledge 2021) 104 &amp; 156</w:t>
      </w:r>
      <w:r w:rsidR="5909E2BB" w:rsidRPr="00DA7486">
        <w:rPr>
          <w:rFonts w:ascii="Times New Roman" w:hAnsi="Times New Roman" w:cs="Times New Roman"/>
        </w:rPr>
        <w:t>.</w:t>
      </w:r>
    </w:p>
  </w:footnote>
  <w:footnote w:id="24">
    <w:p w14:paraId="7D40D49B" w14:textId="2905A04F" w:rsidR="009C41E6" w:rsidRPr="00DA7486" w:rsidRDefault="009C41E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665BFB2" w:rsidRPr="00DA7486">
        <w:rPr>
          <w:rFonts w:ascii="Times New Roman" w:hAnsi="Times New Roman" w:cs="Times New Roman"/>
        </w:rPr>
        <w:t xml:space="preserve">Lijiang </w:t>
      </w:r>
      <w:r w:rsidR="4A17D965" w:rsidRPr="00DA7486">
        <w:rPr>
          <w:rFonts w:ascii="Times New Roman" w:hAnsi="Times New Roman" w:cs="Times New Roman"/>
        </w:rPr>
        <w:t xml:space="preserve">Zhu, </w:t>
      </w:r>
      <w:r w:rsidR="1C6F7D9C" w:rsidRPr="00DA7486">
        <w:rPr>
          <w:rFonts w:ascii="Times New Roman" w:hAnsi="Times New Roman" w:cs="Times New Roman"/>
        </w:rPr>
        <w:t>above n</w:t>
      </w:r>
      <w:r w:rsidR="008F3ABA" w:rsidRPr="00DA7486">
        <w:rPr>
          <w:rFonts w:ascii="Times New Roman" w:hAnsi="Times New Roman" w:cs="Times New Roman"/>
        </w:rPr>
        <w:fldChar w:fldCharType="begin"/>
      </w:r>
      <w:r w:rsidR="008F3ABA" w:rsidRPr="00DA7486">
        <w:rPr>
          <w:rFonts w:ascii="Times New Roman" w:hAnsi="Times New Roman" w:cs="Times New Roman"/>
        </w:rPr>
        <w:instrText xml:space="preserve"> NOTEREF _Ref124608353 \h </w:instrText>
      </w:r>
      <w:r w:rsidR="00DA7486" w:rsidRPr="00DA7486">
        <w:rPr>
          <w:rFonts w:ascii="Times New Roman" w:hAnsi="Times New Roman" w:cs="Times New Roman"/>
        </w:rPr>
        <w:instrText xml:space="preserve"> \* MERGEFORMAT </w:instrText>
      </w:r>
      <w:r w:rsidR="008F3ABA" w:rsidRPr="00DA7486">
        <w:rPr>
          <w:rFonts w:ascii="Times New Roman" w:hAnsi="Times New Roman" w:cs="Times New Roman"/>
        </w:rPr>
      </w:r>
      <w:r w:rsidR="008F3ABA" w:rsidRPr="00DA7486">
        <w:rPr>
          <w:rFonts w:ascii="Times New Roman" w:hAnsi="Times New Roman" w:cs="Times New Roman"/>
        </w:rPr>
        <w:fldChar w:fldCharType="separate"/>
      </w:r>
      <w:r w:rsidR="008F3ABA" w:rsidRPr="00DA7486">
        <w:rPr>
          <w:rFonts w:ascii="Times New Roman" w:hAnsi="Times New Roman" w:cs="Times New Roman"/>
        </w:rPr>
        <w:t>18</w:t>
      </w:r>
      <w:r w:rsidR="008F3ABA" w:rsidRPr="00DA7486">
        <w:rPr>
          <w:rFonts w:ascii="Times New Roman" w:hAnsi="Times New Roman" w:cs="Times New Roman"/>
        </w:rPr>
        <w:fldChar w:fldCharType="end"/>
      </w:r>
      <w:r w:rsidR="7044085A" w:rsidRPr="00DA7486">
        <w:rPr>
          <w:rFonts w:ascii="Times New Roman" w:hAnsi="Times New Roman" w:cs="Times New Roman"/>
        </w:rPr>
        <w:t>.</w:t>
      </w:r>
    </w:p>
  </w:footnote>
  <w:footnote w:id="25">
    <w:p w14:paraId="7A52BE7A" w14:textId="13872AE5" w:rsidR="009C41E6" w:rsidRPr="00DA7486" w:rsidRDefault="009C41E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5C391A35" w:rsidRPr="00DA7486">
        <w:rPr>
          <w:rFonts w:ascii="Times New Roman" w:hAnsi="Times New Roman" w:cs="Times New Roman"/>
        </w:rPr>
        <w:t xml:space="preserve"> See UPR Info, ‘Database on Recommendations</w:t>
      </w:r>
      <w:r w:rsidR="009262DB" w:rsidRPr="00DA7486">
        <w:rPr>
          <w:rFonts w:ascii="Times New Roman" w:hAnsi="Times New Roman" w:cs="Times New Roman"/>
        </w:rPr>
        <w:t>’</w:t>
      </w:r>
      <w:r w:rsidR="5C391A35" w:rsidRPr="00DA7486">
        <w:rPr>
          <w:rFonts w:ascii="Times New Roman" w:hAnsi="Times New Roman" w:cs="Times New Roman"/>
        </w:rPr>
        <w:t xml:space="preserve"> at </w:t>
      </w:r>
      <w:r w:rsidR="7C0824DC" w:rsidRPr="00DA7486">
        <w:rPr>
          <w:rFonts w:ascii="Times New Roman" w:hAnsi="Times New Roman" w:cs="Times New Roman"/>
        </w:rPr>
        <w:t>&lt;</w:t>
      </w:r>
      <w:hyperlink r:id="rId5">
        <w:r w:rsidR="7C0824DC" w:rsidRPr="00DA7486">
          <w:rPr>
            <w:rStyle w:val="Hyperlink"/>
            <w:rFonts w:ascii="Times New Roman" w:hAnsi="Times New Roman" w:cs="Times New Roman"/>
          </w:rPr>
          <w:t>https://bit.ly/3GIr8xL</w:t>
        </w:r>
      </w:hyperlink>
      <w:r w:rsidR="7C0824DC" w:rsidRPr="00DA7486">
        <w:rPr>
          <w:rFonts w:ascii="Times New Roman" w:hAnsi="Times New Roman" w:cs="Times New Roman"/>
        </w:rPr>
        <w:t xml:space="preserve">&gt; </w:t>
      </w:r>
      <w:r w:rsidR="5C391A35" w:rsidRPr="00DA7486">
        <w:rPr>
          <w:rFonts w:ascii="Times New Roman" w:hAnsi="Times New Roman" w:cs="Times New Roman"/>
        </w:rPr>
        <w:t xml:space="preserve">accessed 14 January 2023. </w:t>
      </w:r>
    </w:p>
  </w:footnote>
  <w:footnote w:id="26">
    <w:p w14:paraId="325C6D4B" w14:textId="7D8A5196" w:rsidR="0057691B" w:rsidRPr="00DA7486" w:rsidRDefault="0057691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482BFD61" w:rsidRPr="00DA7486">
        <w:rPr>
          <w:rFonts w:ascii="Times New Roman" w:hAnsi="Times New Roman" w:cs="Times New Roman"/>
        </w:rPr>
        <w:t xml:space="preserve"> </w:t>
      </w:r>
      <w:r w:rsidR="00E305BF" w:rsidRPr="00DA7486">
        <w:rPr>
          <w:rFonts w:ascii="Times New Roman" w:hAnsi="Times New Roman" w:cs="Times New Roman"/>
        </w:rPr>
        <w:t xml:space="preserve">See Valentina Carraro, ‘The More the Better? The Complementarity of United Nations Institutions in the Fight Against Torture’ (2022) 40 (4) Netherlands Quarterly of Human Rights </w:t>
      </w:r>
      <w:r w:rsidR="00D20BDE" w:rsidRPr="00DA7486">
        <w:rPr>
          <w:rFonts w:ascii="Times New Roman" w:hAnsi="Times New Roman" w:cs="Times New Roman"/>
        </w:rPr>
        <w:t>354-378</w:t>
      </w:r>
      <w:r w:rsidR="482BFD61" w:rsidRPr="00DA7486">
        <w:rPr>
          <w:rFonts w:ascii="Times New Roman" w:hAnsi="Times New Roman" w:cs="Times New Roman"/>
        </w:rPr>
        <w:t>.</w:t>
      </w:r>
    </w:p>
  </w:footnote>
  <w:footnote w:id="27">
    <w:p w14:paraId="672B5AB7" w14:textId="21927A15" w:rsidR="00A64654" w:rsidRPr="00DA7486" w:rsidRDefault="00A6465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B97D4D" w:rsidRPr="00DA7486">
        <w:rPr>
          <w:rFonts w:ascii="Times New Roman" w:hAnsi="Times New Roman" w:cs="Times New Roman"/>
        </w:rPr>
        <w:t>See Judith Bueno De Mesquita, ‘The Universal Periodic Review: A Valuable New Procedure for the Right to Health?’ (2019) 21(2) Health Hum Rights 263-277.</w:t>
      </w:r>
    </w:p>
  </w:footnote>
  <w:footnote w:id="28">
    <w:p w14:paraId="19C43C99" w14:textId="36B42AC2" w:rsidR="00B262A0" w:rsidRPr="00DA7486" w:rsidRDefault="00B262A0"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5202DD19" w:rsidRPr="00DA7486">
        <w:rPr>
          <w:rFonts w:ascii="Times New Roman" w:hAnsi="Times New Roman" w:cs="Times New Roman"/>
        </w:rPr>
        <w:t xml:space="preserve"> See </w:t>
      </w:r>
      <w:r w:rsidR="5202DD19" w:rsidRPr="00DA7486">
        <w:rPr>
          <w:rFonts w:ascii="Times New Roman" w:eastAsia="Open Sans" w:hAnsi="Times New Roman" w:cs="Times New Roman"/>
          <w:color w:val="333333"/>
        </w:rPr>
        <w:t>Noelle Higgins</w:t>
      </w:r>
      <w:r w:rsidR="003761D2" w:rsidRPr="00DA7486">
        <w:rPr>
          <w:rFonts w:ascii="Times New Roman" w:eastAsia="Open Sans" w:hAnsi="Times New Roman" w:cs="Times New Roman"/>
          <w:color w:val="333333"/>
        </w:rPr>
        <w:t>,</w:t>
      </w:r>
      <w:r w:rsidR="5202DD19" w:rsidRPr="00DA7486">
        <w:rPr>
          <w:rFonts w:ascii="Times New Roman" w:eastAsia="Open Sans" w:hAnsi="Times New Roman" w:cs="Times New Roman"/>
          <w:color w:val="333333"/>
        </w:rPr>
        <w:t xml:space="preserve"> </w:t>
      </w:r>
      <w:r w:rsidR="003761D2" w:rsidRPr="00DA7486">
        <w:rPr>
          <w:rFonts w:ascii="Times New Roman" w:eastAsia="Open Sans" w:hAnsi="Times New Roman" w:cs="Times New Roman"/>
          <w:color w:val="333333"/>
        </w:rPr>
        <w:t>‘</w:t>
      </w:r>
      <w:r w:rsidR="5202DD19" w:rsidRPr="00DA7486">
        <w:rPr>
          <w:rFonts w:ascii="Times New Roman" w:eastAsia="Open Sans" w:hAnsi="Times New Roman" w:cs="Times New Roman"/>
          <w:color w:val="333333"/>
        </w:rPr>
        <w:t>Creating a space for indigenous rights: the Universal Periodic Review as a mechanism for promoting the rights of indigenous peoples</w:t>
      </w:r>
      <w:r w:rsidR="003761D2" w:rsidRPr="00DA7486">
        <w:rPr>
          <w:rFonts w:ascii="Times New Roman" w:eastAsia="Open Sans" w:hAnsi="Times New Roman" w:cs="Times New Roman"/>
          <w:color w:val="333333"/>
        </w:rPr>
        <w:t>’</w:t>
      </w:r>
      <w:r w:rsidR="5202DD19" w:rsidRPr="00DA7486">
        <w:rPr>
          <w:rFonts w:ascii="Times New Roman" w:eastAsia="Open Sans" w:hAnsi="Times New Roman" w:cs="Times New Roman"/>
          <w:color w:val="333333"/>
        </w:rPr>
        <w:t xml:space="preserve"> </w:t>
      </w:r>
      <w:r w:rsidR="003761D2" w:rsidRPr="00DA7486">
        <w:rPr>
          <w:rFonts w:ascii="Times New Roman" w:eastAsia="Open Sans" w:hAnsi="Times New Roman" w:cs="Times New Roman"/>
          <w:color w:val="333333"/>
        </w:rPr>
        <w:t>(2019</w:t>
      </w:r>
      <w:r w:rsidR="00AB31C5" w:rsidRPr="00DA7486">
        <w:rPr>
          <w:rFonts w:ascii="Times New Roman" w:eastAsia="Open Sans" w:hAnsi="Times New Roman" w:cs="Times New Roman"/>
          <w:color w:val="333333"/>
        </w:rPr>
        <w:t xml:space="preserve">) </w:t>
      </w:r>
      <w:r w:rsidR="003761D2" w:rsidRPr="00DA7486">
        <w:rPr>
          <w:rFonts w:ascii="Times New Roman" w:eastAsia="Open Sans" w:hAnsi="Times New Roman" w:cs="Times New Roman"/>
          <w:color w:val="333333"/>
        </w:rPr>
        <w:t xml:space="preserve">23:1-2 </w:t>
      </w:r>
      <w:r w:rsidR="5202DD19" w:rsidRPr="00DA7486">
        <w:rPr>
          <w:rFonts w:ascii="Times New Roman" w:eastAsia="Open Sans" w:hAnsi="Times New Roman" w:cs="Times New Roman"/>
          <w:color w:val="333333"/>
        </w:rPr>
        <w:t>The International Journal of Human Rights</w:t>
      </w:r>
      <w:r w:rsidR="003761D2" w:rsidRPr="00DA7486">
        <w:rPr>
          <w:rFonts w:ascii="Times New Roman" w:eastAsia="Open Sans" w:hAnsi="Times New Roman" w:cs="Times New Roman"/>
          <w:color w:val="333333"/>
        </w:rPr>
        <w:t xml:space="preserve"> </w:t>
      </w:r>
      <w:r w:rsidR="5202DD19" w:rsidRPr="00DA7486">
        <w:rPr>
          <w:rFonts w:ascii="Times New Roman" w:eastAsia="Open Sans" w:hAnsi="Times New Roman" w:cs="Times New Roman"/>
          <w:color w:val="333333"/>
        </w:rPr>
        <w:t xml:space="preserve">125-148; </w:t>
      </w:r>
      <w:r w:rsidR="00EB3582" w:rsidRPr="00DA7486">
        <w:rPr>
          <w:rFonts w:ascii="Times New Roman" w:eastAsia="Open Sans" w:hAnsi="Times New Roman" w:cs="Times New Roman"/>
          <w:color w:val="333333"/>
        </w:rPr>
        <w:t xml:space="preserve">Jonathan </w:t>
      </w:r>
      <w:proofErr w:type="spellStart"/>
      <w:r w:rsidR="1523810B" w:rsidRPr="00DA7486">
        <w:rPr>
          <w:rFonts w:ascii="Times New Roman" w:hAnsi="Times New Roman" w:cs="Times New Roman"/>
          <w:color w:val="333333"/>
        </w:rPr>
        <w:t>Liljeblad</w:t>
      </w:r>
      <w:proofErr w:type="spellEnd"/>
      <w:r w:rsidR="1523810B" w:rsidRPr="00DA7486">
        <w:rPr>
          <w:rFonts w:ascii="Times New Roman" w:hAnsi="Times New Roman" w:cs="Times New Roman"/>
          <w:color w:val="333333"/>
        </w:rPr>
        <w:t xml:space="preserve"> </w:t>
      </w:r>
      <w:r w:rsidR="00EB3582" w:rsidRPr="00DA7486">
        <w:rPr>
          <w:rFonts w:ascii="Times New Roman" w:hAnsi="Times New Roman" w:cs="Times New Roman"/>
          <w:color w:val="333333"/>
        </w:rPr>
        <w:t>‘</w:t>
      </w:r>
      <w:r w:rsidR="1523810B" w:rsidRPr="00DA7486">
        <w:rPr>
          <w:rFonts w:ascii="Times New Roman" w:hAnsi="Times New Roman" w:cs="Times New Roman"/>
          <w:color w:val="333333"/>
        </w:rPr>
        <w:t>Indigenous Rights and Universal Periodic Review: A Confluence of Human Rights and Environmental Issues</w:t>
      </w:r>
      <w:r w:rsidR="00EB3582" w:rsidRPr="00DA7486">
        <w:rPr>
          <w:rFonts w:ascii="Times New Roman" w:hAnsi="Times New Roman" w:cs="Times New Roman"/>
          <w:color w:val="333333"/>
        </w:rPr>
        <w:t xml:space="preserve">’ </w:t>
      </w:r>
      <w:r w:rsidR="1523810B" w:rsidRPr="00DA7486">
        <w:rPr>
          <w:rFonts w:ascii="Times New Roman" w:hAnsi="Times New Roman" w:cs="Times New Roman"/>
          <w:color w:val="333333"/>
        </w:rPr>
        <w:t xml:space="preserve">In: </w:t>
      </w:r>
      <w:r w:rsidR="00EB3582" w:rsidRPr="00DA7486">
        <w:rPr>
          <w:rFonts w:ascii="Times New Roman" w:hAnsi="Times New Roman" w:cs="Times New Roman"/>
          <w:color w:val="333333"/>
        </w:rPr>
        <w:t xml:space="preserve">Michelle </w:t>
      </w:r>
      <w:r w:rsidR="1523810B" w:rsidRPr="00DA7486">
        <w:rPr>
          <w:rFonts w:ascii="Times New Roman" w:hAnsi="Times New Roman" w:cs="Times New Roman"/>
          <w:color w:val="333333"/>
        </w:rPr>
        <w:t>Lim</w:t>
      </w:r>
      <w:r w:rsidR="00EB3582" w:rsidRPr="00DA7486">
        <w:rPr>
          <w:rFonts w:ascii="Times New Roman" w:hAnsi="Times New Roman" w:cs="Times New Roman"/>
          <w:color w:val="333333"/>
        </w:rPr>
        <w:t xml:space="preserve"> </w:t>
      </w:r>
      <w:r w:rsidR="1523810B" w:rsidRPr="00DA7486">
        <w:rPr>
          <w:rFonts w:ascii="Times New Roman" w:hAnsi="Times New Roman" w:cs="Times New Roman"/>
          <w:color w:val="333333"/>
        </w:rPr>
        <w:t>(ed) Charting Environmental Law Futures in the Anthropocene</w:t>
      </w:r>
      <w:r w:rsidR="00EB3582" w:rsidRPr="00DA7486">
        <w:rPr>
          <w:rFonts w:ascii="Times New Roman" w:hAnsi="Times New Roman" w:cs="Times New Roman"/>
          <w:color w:val="333333"/>
        </w:rPr>
        <w:t xml:space="preserve"> (</w:t>
      </w:r>
      <w:r w:rsidR="1523810B" w:rsidRPr="00DA7486">
        <w:rPr>
          <w:rFonts w:ascii="Times New Roman" w:hAnsi="Times New Roman" w:cs="Times New Roman"/>
          <w:color w:val="333333"/>
        </w:rPr>
        <w:t>Springer</w:t>
      </w:r>
      <w:r w:rsidR="00EB3582" w:rsidRPr="00DA7486">
        <w:rPr>
          <w:rFonts w:ascii="Times New Roman" w:hAnsi="Times New Roman" w:cs="Times New Roman"/>
          <w:color w:val="333333"/>
        </w:rPr>
        <w:t xml:space="preserve"> 2019)</w:t>
      </w:r>
      <w:r w:rsidR="1523810B" w:rsidRPr="00DA7486">
        <w:rPr>
          <w:rFonts w:ascii="Times New Roman" w:hAnsi="Times New Roman" w:cs="Times New Roman"/>
          <w:color w:val="333333"/>
        </w:rPr>
        <w:t xml:space="preserve"> </w:t>
      </w:r>
      <w:r w:rsidR="00F426B1" w:rsidRPr="00DA7486">
        <w:rPr>
          <w:rFonts w:ascii="Times New Roman" w:hAnsi="Times New Roman" w:cs="Times New Roman"/>
          <w:color w:val="333333"/>
        </w:rPr>
        <w:t>151-157</w:t>
      </w:r>
      <w:r w:rsidR="002138E7" w:rsidRPr="00DA7486">
        <w:rPr>
          <w:rFonts w:ascii="Times New Roman" w:hAnsi="Times New Roman" w:cs="Times New Roman"/>
          <w:color w:val="333333"/>
        </w:rPr>
        <w:t>.</w:t>
      </w:r>
    </w:p>
  </w:footnote>
  <w:footnote w:id="29">
    <w:p w14:paraId="7E8E3F8D" w14:textId="0F3090AC" w:rsidR="00B262A0" w:rsidRPr="00DA7486" w:rsidRDefault="00B262A0" w:rsidP="00DA7486">
      <w:pPr>
        <w:jc w:val="both"/>
        <w:rPr>
          <w:rFonts w:ascii="Times New Roman" w:eastAsia="Times New Roman" w:hAnsi="Times New Roman" w:cs="Times New Roman"/>
          <w:sz w:val="20"/>
          <w:szCs w:val="20"/>
          <w:lang w:eastAsia="en-GB"/>
        </w:rPr>
      </w:pPr>
      <w:r w:rsidRPr="00DA7486">
        <w:rPr>
          <w:rStyle w:val="FootnoteReference"/>
          <w:rFonts w:ascii="Times New Roman" w:hAnsi="Times New Roman" w:cs="Times New Roman"/>
          <w:sz w:val="20"/>
          <w:szCs w:val="20"/>
        </w:rPr>
        <w:footnoteRef/>
      </w:r>
      <w:r w:rsidR="2E35E9F7" w:rsidRPr="00DA7486">
        <w:rPr>
          <w:rFonts w:ascii="Times New Roman" w:hAnsi="Times New Roman" w:cs="Times New Roman"/>
          <w:sz w:val="20"/>
          <w:szCs w:val="20"/>
        </w:rPr>
        <w:t xml:space="preserve"> </w:t>
      </w:r>
      <w:r w:rsidR="2E35E9F7" w:rsidRPr="00DA7486">
        <w:rPr>
          <w:rFonts w:ascii="Times New Roman" w:eastAsia="Source Sans Pro" w:hAnsi="Times New Roman" w:cs="Times New Roman"/>
          <w:color w:val="2A2A2A"/>
          <w:sz w:val="20"/>
          <w:szCs w:val="20"/>
        </w:rPr>
        <w:t>Frederick Cowell</w:t>
      </w:r>
      <w:r w:rsidR="00146842" w:rsidRPr="00DA7486">
        <w:rPr>
          <w:rFonts w:ascii="Times New Roman" w:eastAsia="Source Sans Pro" w:hAnsi="Times New Roman" w:cs="Times New Roman"/>
          <w:color w:val="2A2A2A"/>
          <w:sz w:val="20"/>
          <w:szCs w:val="20"/>
        </w:rPr>
        <w:t xml:space="preserve"> and </w:t>
      </w:r>
      <w:r w:rsidR="2E35E9F7" w:rsidRPr="00DA7486">
        <w:rPr>
          <w:rFonts w:ascii="Times New Roman" w:eastAsia="Source Sans Pro" w:hAnsi="Times New Roman" w:cs="Times New Roman"/>
          <w:color w:val="2A2A2A"/>
          <w:sz w:val="20"/>
          <w:szCs w:val="20"/>
        </w:rPr>
        <w:t xml:space="preserve">Angelina </w:t>
      </w:r>
      <w:proofErr w:type="spellStart"/>
      <w:r w:rsidR="2E35E9F7" w:rsidRPr="00DA7486">
        <w:rPr>
          <w:rFonts w:ascii="Times New Roman" w:eastAsia="Source Sans Pro" w:hAnsi="Times New Roman" w:cs="Times New Roman"/>
          <w:color w:val="2A2A2A"/>
          <w:sz w:val="20"/>
          <w:szCs w:val="20"/>
        </w:rPr>
        <w:t>Milon</w:t>
      </w:r>
      <w:proofErr w:type="spellEnd"/>
      <w:r w:rsidR="2E35E9F7" w:rsidRPr="00DA7486">
        <w:rPr>
          <w:rFonts w:ascii="Times New Roman" w:eastAsia="Source Sans Pro" w:hAnsi="Times New Roman" w:cs="Times New Roman"/>
          <w:color w:val="2A2A2A"/>
          <w:sz w:val="20"/>
          <w:szCs w:val="20"/>
        </w:rPr>
        <w:t xml:space="preserve">, </w:t>
      </w:r>
      <w:r w:rsidR="00146842" w:rsidRPr="00DA7486">
        <w:rPr>
          <w:rFonts w:ascii="Times New Roman" w:eastAsia="Source Sans Pro" w:hAnsi="Times New Roman" w:cs="Times New Roman"/>
          <w:color w:val="2A2A2A"/>
          <w:sz w:val="20"/>
          <w:szCs w:val="20"/>
        </w:rPr>
        <w:t>‘</w:t>
      </w:r>
      <w:r w:rsidR="2E35E9F7" w:rsidRPr="00DA7486">
        <w:rPr>
          <w:rFonts w:ascii="Times New Roman" w:eastAsia="Source Sans Pro" w:hAnsi="Times New Roman" w:cs="Times New Roman"/>
          <w:color w:val="2A2A2A"/>
          <w:sz w:val="20"/>
          <w:szCs w:val="20"/>
        </w:rPr>
        <w:t>Decriminalisation of Sexual Orientation through the Universal Periodic Review</w:t>
      </w:r>
      <w:r w:rsidR="00146842" w:rsidRPr="00DA7486">
        <w:rPr>
          <w:rFonts w:ascii="Times New Roman" w:eastAsia="Source Sans Pro" w:hAnsi="Times New Roman" w:cs="Times New Roman"/>
          <w:color w:val="2A2A2A"/>
          <w:sz w:val="20"/>
          <w:szCs w:val="20"/>
        </w:rPr>
        <w:t>’ (2012) 12(2)</w:t>
      </w:r>
      <w:r w:rsidR="2E35E9F7" w:rsidRPr="00DA7486">
        <w:rPr>
          <w:rFonts w:ascii="Times New Roman" w:eastAsia="Source Sans Pro" w:hAnsi="Times New Roman" w:cs="Times New Roman"/>
          <w:color w:val="2A2A2A"/>
          <w:sz w:val="20"/>
          <w:szCs w:val="20"/>
        </w:rPr>
        <w:t xml:space="preserve"> </w:t>
      </w:r>
      <w:r w:rsidR="2E35E9F7" w:rsidRPr="00DA7486">
        <w:rPr>
          <w:rFonts w:ascii="Times New Roman" w:eastAsia="Source Sans Pro" w:hAnsi="Times New Roman" w:cs="Times New Roman"/>
          <w:i/>
          <w:iCs/>
          <w:color w:val="2A2A2A"/>
          <w:sz w:val="20"/>
          <w:szCs w:val="20"/>
        </w:rPr>
        <w:t>Human Rights Law Review</w:t>
      </w:r>
      <w:r w:rsidR="00146842" w:rsidRPr="00DA7486">
        <w:rPr>
          <w:rFonts w:ascii="Times New Roman" w:eastAsia="Source Sans Pro" w:hAnsi="Times New Roman" w:cs="Times New Roman"/>
          <w:color w:val="2A2A2A"/>
          <w:sz w:val="20"/>
          <w:szCs w:val="20"/>
        </w:rPr>
        <w:t xml:space="preserve"> </w:t>
      </w:r>
      <w:r w:rsidR="2E35E9F7" w:rsidRPr="00DA7486">
        <w:rPr>
          <w:rFonts w:ascii="Times New Roman" w:eastAsia="Source Sans Pro" w:hAnsi="Times New Roman" w:cs="Times New Roman"/>
          <w:color w:val="2A2A2A"/>
          <w:sz w:val="20"/>
          <w:szCs w:val="20"/>
        </w:rPr>
        <w:t xml:space="preserve">341–352; </w:t>
      </w:r>
      <w:r w:rsidR="0005341C" w:rsidRPr="00DA7486">
        <w:rPr>
          <w:rFonts w:ascii="Times New Roman" w:eastAsia="Source Sans Pro" w:hAnsi="Times New Roman" w:cs="Times New Roman"/>
          <w:color w:val="2A2A2A"/>
          <w:sz w:val="20"/>
          <w:szCs w:val="20"/>
        </w:rPr>
        <w:t xml:space="preserve">Kate Gilmore, Luis Mora, Alfonso </w:t>
      </w:r>
      <w:proofErr w:type="spellStart"/>
      <w:r w:rsidR="0005341C" w:rsidRPr="00DA7486">
        <w:rPr>
          <w:rFonts w:ascii="Times New Roman" w:eastAsia="Source Sans Pro" w:hAnsi="Times New Roman" w:cs="Times New Roman"/>
          <w:color w:val="2A2A2A"/>
          <w:sz w:val="20"/>
          <w:szCs w:val="20"/>
        </w:rPr>
        <w:t>Barragues</w:t>
      </w:r>
      <w:proofErr w:type="spellEnd"/>
      <w:r w:rsidR="0005341C" w:rsidRPr="00DA7486">
        <w:rPr>
          <w:rFonts w:ascii="Times New Roman" w:eastAsia="Source Sans Pro" w:hAnsi="Times New Roman" w:cs="Times New Roman"/>
          <w:color w:val="2A2A2A"/>
          <w:sz w:val="20"/>
          <w:szCs w:val="20"/>
        </w:rPr>
        <w:t>, and Ida Krogh Mikkelsen</w:t>
      </w:r>
      <w:r w:rsidR="00901BBA" w:rsidRPr="00DA7486">
        <w:rPr>
          <w:rFonts w:ascii="Times New Roman" w:eastAsia="Source Sans Pro" w:hAnsi="Times New Roman" w:cs="Times New Roman"/>
          <w:color w:val="2A2A2A"/>
          <w:sz w:val="20"/>
          <w:szCs w:val="20"/>
        </w:rPr>
        <w:t>, ‘</w:t>
      </w:r>
      <w:r w:rsidR="2E35E9F7" w:rsidRPr="00DA7486">
        <w:rPr>
          <w:rFonts w:ascii="Times New Roman" w:eastAsia="Source Sans Pro" w:hAnsi="Times New Roman" w:cs="Times New Roman"/>
          <w:color w:val="2A2A2A"/>
          <w:sz w:val="20"/>
          <w:szCs w:val="20"/>
        </w:rPr>
        <w:t>The Universal Periodic Review: A Platform for Dialogue, Accountability, and Change on Sexual and Reproductive Health and Rights</w:t>
      </w:r>
      <w:r w:rsidR="00901BBA" w:rsidRPr="00DA7486">
        <w:rPr>
          <w:rFonts w:ascii="Times New Roman" w:eastAsia="Source Sans Pro" w:hAnsi="Times New Roman" w:cs="Times New Roman"/>
          <w:color w:val="2A2A2A"/>
          <w:sz w:val="20"/>
          <w:szCs w:val="20"/>
        </w:rPr>
        <w:t>’</w:t>
      </w:r>
      <w:r w:rsidR="2E35E9F7" w:rsidRPr="00DA7486">
        <w:rPr>
          <w:rFonts w:ascii="Times New Roman" w:eastAsia="Source Sans Pro" w:hAnsi="Times New Roman" w:cs="Times New Roman"/>
          <w:color w:val="2A2A2A"/>
          <w:sz w:val="20"/>
          <w:szCs w:val="20"/>
        </w:rPr>
        <w:t xml:space="preserve"> (2015) 17 (2) Health and Human Rights Journal</w:t>
      </w:r>
      <w:r w:rsidR="002138E7" w:rsidRPr="00DA7486">
        <w:rPr>
          <w:rFonts w:ascii="Times New Roman" w:eastAsia="Source Sans Pro" w:hAnsi="Times New Roman" w:cs="Times New Roman"/>
          <w:color w:val="2A2A2A"/>
          <w:sz w:val="20"/>
          <w:szCs w:val="20"/>
        </w:rPr>
        <w:t xml:space="preserve"> </w:t>
      </w:r>
      <w:r w:rsidR="002138E7" w:rsidRPr="00DA7486">
        <w:rPr>
          <w:rFonts w:ascii="Times New Roman" w:eastAsia="Times New Roman" w:hAnsi="Times New Roman" w:cs="Times New Roman"/>
          <w:color w:val="212121"/>
          <w:sz w:val="20"/>
          <w:szCs w:val="20"/>
          <w:shd w:val="clear" w:color="auto" w:fill="FFFFFF"/>
          <w:lang w:eastAsia="en-GB"/>
        </w:rPr>
        <w:t>167-79.</w:t>
      </w:r>
    </w:p>
  </w:footnote>
  <w:footnote w:id="30">
    <w:p w14:paraId="6FEF4753" w14:textId="50133F79" w:rsidR="00B262A0" w:rsidRPr="00DA7486" w:rsidRDefault="00B262A0" w:rsidP="00DA7486">
      <w:pPr>
        <w:pStyle w:val="FootnoteText"/>
        <w:jc w:val="both"/>
        <w:rPr>
          <w:rFonts w:ascii="Times New Roman" w:hAnsi="Times New Roman" w:cs="Times New Roman"/>
          <w:color w:val="000000" w:themeColor="text1"/>
        </w:rPr>
      </w:pPr>
      <w:r w:rsidRPr="00DA7486">
        <w:rPr>
          <w:rStyle w:val="FootnoteReference"/>
          <w:rFonts w:ascii="Times New Roman" w:hAnsi="Times New Roman" w:cs="Times New Roman"/>
        </w:rPr>
        <w:footnoteRef/>
      </w:r>
      <w:r w:rsidR="5E5D5A84" w:rsidRPr="00DA7486">
        <w:rPr>
          <w:rFonts w:ascii="Times New Roman" w:hAnsi="Times New Roman" w:cs="Times New Roman"/>
        </w:rPr>
        <w:t xml:space="preserve"> </w:t>
      </w:r>
      <w:r w:rsidR="00F554E0" w:rsidRPr="00DA7486">
        <w:rPr>
          <w:rFonts w:ascii="Times New Roman" w:hAnsi="Times New Roman" w:cs="Times New Roman"/>
        </w:rPr>
        <w:t xml:space="preserve">See Amna </w:t>
      </w:r>
      <w:r w:rsidR="5E5D5A84" w:rsidRPr="00DA7486">
        <w:rPr>
          <w:rFonts w:ascii="Times New Roman" w:hAnsi="Times New Roman" w:cs="Times New Roman"/>
          <w:color w:val="000000" w:themeColor="text1"/>
        </w:rPr>
        <w:t xml:space="preserve">Nazir,  </w:t>
      </w:r>
      <w:r w:rsidR="00F554E0" w:rsidRPr="00DA7486">
        <w:rPr>
          <w:rFonts w:ascii="Times New Roman" w:hAnsi="Times New Roman" w:cs="Times New Roman"/>
          <w:color w:val="000000" w:themeColor="text1"/>
        </w:rPr>
        <w:t>‘</w:t>
      </w:r>
      <w:r w:rsidR="5E5D5A84" w:rsidRPr="00DA7486">
        <w:rPr>
          <w:rFonts w:ascii="Times New Roman" w:hAnsi="Times New Roman" w:cs="Times New Roman"/>
          <w:color w:val="000000" w:themeColor="text1"/>
        </w:rPr>
        <w:t>The Universal Periodic Review and the Death Penalty: A Case Study of Pakistan</w:t>
      </w:r>
      <w:r w:rsidR="00F554E0" w:rsidRPr="00DA7486">
        <w:rPr>
          <w:rFonts w:ascii="Times New Roman" w:hAnsi="Times New Roman" w:cs="Times New Roman"/>
          <w:color w:val="000000" w:themeColor="text1"/>
        </w:rPr>
        <w:t xml:space="preserve">’ </w:t>
      </w:r>
      <w:r w:rsidR="00306ACF" w:rsidRPr="00DA7486">
        <w:rPr>
          <w:rFonts w:ascii="Times New Roman" w:hAnsi="Times New Roman" w:cs="Times New Roman"/>
          <w:color w:val="000000" w:themeColor="text1"/>
        </w:rPr>
        <w:t xml:space="preserve">(2020) </w:t>
      </w:r>
      <w:r w:rsidR="006C43A8" w:rsidRPr="00DA7486">
        <w:rPr>
          <w:rFonts w:ascii="Times New Roman" w:hAnsi="Times New Roman" w:cs="Times New Roman"/>
          <w:color w:val="000000" w:themeColor="text1"/>
        </w:rPr>
        <w:t>1</w:t>
      </w:r>
      <w:r w:rsidR="00E75988" w:rsidRPr="00DA7486">
        <w:rPr>
          <w:rFonts w:ascii="Times New Roman" w:hAnsi="Times New Roman" w:cs="Times New Roman"/>
          <w:color w:val="000000" w:themeColor="text1"/>
        </w:rPr>
        <w:t xml:space="preserve"> </w:t>
      </w:r>
      <w:r w:rsidR="5E5D5A84" w:rsidRPr="00DA7486">
        <w:rPr>
          <w:rFonts w:ascii="Times New Roman" w:hAnsi="Times New Roman" w:cs="Times New Roman"/>
          <w:color w:val="000000" w:themeColor="text1"/>
        </w:rPr>
        <w:t>RSIL Law Revie</w:t>
      </w:r>
      <w:r w:rsidR="00E75988" w:rsidRPr="00DA7486">
        <w:rPr>
          <w:rFonts w:ascii="Times New Roman" w:hAnsi="Times New Roman" w:cs="Times New Roman"/>
          <w:color w:val="000000" w:themeColor="text1"/>
        </w:rPr>
        <w:t>w</w:t>
      </w:r>
      <w:r w:rsidR="5E5D5A84" w:rsidRPr="00DA7486">
        <w:rPr>
          <w:rFonts w:ascii="Times New Roman" w:hAnsi="Times New Roman" w:cs="Times New Roman"/>
          <w:color w:val="000000" w:themeColor="text1"/>
        </w:rPr>
        <w:t xml:space="preserve"> 126-155; </w:t>
      </w:r>
      <w:r w:rsidR="00E75988" w:rsidRPr="00DA7486">
        <w:rPr>
          <w:rFonts w:ascii="Times New Roman" w:hAnsi="Times New Roman" w:cs="Times New Roman"/>
          <w:color w:val="000000" w:themeColor="text1"/>
        </w:rPr>
        <w:t xml:space="preserve">Amna </w:t>
      </w:r>
      <w:r w:rsidR="5E5D5A84" w:rsidRPr="00DA7486">
        <w:rPr>
          <w:rFonts w:ascii="Times New Roman" w:eastAsia="Montserrat" w:hAnsi="Times New Roman" w:cs="Times New Roman"/>
          <w:color w:val="3B3D3F"/>
        </w:rPr>
        <w:t xml:space="preserve">Nazir, </w:t>
      </w:r>
      <w:r w:rsidR="00E75988" w:rsidRPr="00DA7486">
        <w:rPr>
          <w:rFonts w:ascii="Times New Roman" w:eastAsia="Montserrat" w:hAnsi="Times New Roman" w:cs="Times New Roman"/>
          <w:color w:val="3B3D3F"/>
        </w:rPr>
        <w:t>‘</w:t>
      </w:r>
      <w:r w:rsidR="5E5D5A84" w:rsidRPr="00DA7486">
        <w:rPr>
          <w:rFonts w:ascii="Times New Roman" w:eastAsia="Montserrat" w:hAnsi="Times New Roman" w:cs="Times New Roman"/>
          <w:color w:val="3B3D3F"/>
        </w:rPr>
        <w:t>A UPR Perspective on Capital Punishment and the Kingdom of Saudi Arabia</w:t>
      </w:r>
      <w:r w:rsidR="00E75988" w:rsidRPr="00DA7486">
        <w:rPr>
          <w:rFonts w:ascii="Times New Roman" w:eastAsia="Montserrat" w:hAnsi="Times New Roman" w:cs="Times New Roman"/>
          <w:color w:val="3B3D3F"/>
        </w:rPr>
        <w:t xml:space="preserve">’ (2022) 19(1) </w:t>
      </w:r>
      <w:r w:rsidR="5E5D5A84" w:rsidRPr="00DA7486">
        <w:rPr>
          <w:rFonts w:ascii="Times New Roman" w:eastAsia="Montserrat" w:hAnsi="Times New Roman" w:cs="Times New Roman"/>
          <w:color w:val="3B3D3F"/>
        </w:rPr>
        <w:t xml:space="preserve">Muslim World Journal of Human Rights 77-94; </w:t>
      </w:r>
      <w:r w:rsidR="00196B93" w:rsidRPr="00DA7486">
        <w:rPr>
          <w:rFonts w:ascii="Times New Roman" w:eastAsia="Montserrat" w:hAnsi="Times New Roman" w:cs="Times New Roman"/>
          <w:color w:val="3B3D3F"/>
        </w:rPr>
        <w:t xml:space="preserve">Alice </w:t>
      </w:r>
      <w:r w:rsidR="5E5D5A84" w:rsidRPr="00DA7486">
        <w:rPr>
          <w:rFonts w:ascii="Times New Roman" w:hAnsi="Times New Roman" w:cs="Times New Roman"/>
          <w:color w:val="000000" w:themeColor="text1"/>
        </w:rPr>
        <w:t>Storey</w:t>
      </w:r>
      <w:r w:rsidR="00196B93" w:rsidRPr="00DA7486">
        <w:rPr>
          <w:rFonts w:ascii="Times New Roman" w:hAnsi="Times New Roman" w:cs="Times New Roman"/>
          <w:color w:val="000000" w:themeColor="text1"/>
        </w:rPr>
        <w:t>, ‘</w:t>
      </w:r>
      <w:r w:rsidR="5E5D5A84" w:rsidRPr="00DA7486">
        <w:rPr>
          <w:rFonts w:ascii="Times New Roman" w:hAnsi="Times New Roman" w:cs="Times New Roman"/>
          <w:color w:val="000000" w:themeColor="text1"/>
        </w:rPr>
        <w:t xml:space="preserve">Challenges and Opportunities for the United Nations’ </w:t>
      </w:r>
      <w:r w:rsidR="00196B93" w:rsidRPr="00DA7486">
        <w:rPr>
          <w:rFonts w:ascii="Times New Roman" w:hAnsi="Times New Roman" w:cs="Times New Roman"/>
          <w:color w:val="000000" w:themeColor="text1"/>
        </w:rPr>
        <w:t xml:space="preserve">(2021) 90(1) </w:t>
      </w:r>
      <w:r w:rsidR="5E5D5A84" w:rsidRPr="00DA7486">
        <w:rPr>
          <w:rFonts w:ascii="Times New Roman" w:hAnsi="Times New Roman" w:cs="Times New Roman"/>
          <w:color w:val="000000" w:themeColor="text1"/>
        </w:rPr>
        <w:t xml:space="preserve"> UMKC Law Review</w:t>
      </w:r>
      <w:r w:rsidR="007210E5" w:rsidRPr="00DA7486">
        <w:rPr>
          <w:rFonts w:ascii="Times New Roman" w:hAnsi="Times New Roman" w:cs="Times New Roman"/>
          <w:color w:val="000000" w:themeColor="text1"/>
        </w:rPr>
        <w:t xml:space="preserve"> </w:t>
      </w:r>
      <w:r w:rsidR="5E5D5A84" w:rsidRPr="00DA7486">
        <w:rPr>
          <w:rFonts w:ascii="Times New Roman" w:hAnsi="Times New Roman" w:cs="Times New Roman"/>
          <w:color w:val="000000" w:themeColor="text1"/>
        </w:rPr>
        <w:t>129-152.</w:t>
      </w:r>
    </w:p>
  </w:footnote>
  <w:footnote w:id="31">
    <w:p w14:paraId="4577AE2E" w14:textId="63408D63" w:rsidR="00FB1EF3" w:rsidRPr="00DA7486" w:rsidRDefault="00E97D98" w:rsidP="00DA7486">
      <w:pPr>
        <w:pStyle w:val="FootnoteText"/>
        <w:tabs>
          <w:tab w:val="left" w:pos="3569"/>
        </w:tabs>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FB1EF3" w:rsidRPr="00DA7486">
        <w:rPr>
          <w:rFonts w:ascii="Times New Roman" w:hAnsi="Times New Roman" w:cs="Times New Roman"/>
        </w:rPr>
        <w:t>UN General Assembly, above n</w:t>
      </w:r>
      <w:r w:rsidR="00734124" w:rsidRPr="00DA7486">
        <w:rPr>
          <w:rFonts w:ascii="Times New Roman" w:hAnsi="Times New Roman" w:cs="Times New Roman"/>
        </w:rPr>
        <w:fldChar w:fldCharType="begin"/>
      </w:r>
      <w:r w:rsidR="00734124" w:rsidRPr="00DA7486">
        <w:rPr>
          <w:rFonts w:ascii="Times New Roman" w:hAnsi="Times New Roman" w:cs="Times New Roman"/>
        </w:rPr>
        <w:instrText xml:space="preserve"> NOTEREF _Ref124608230 \h </w:instrText>
      </w:r>
      <w:r w:rsidR="0036445E" w:rsidRPr="00DA7486">
        <w:rPr>
          <w:rFonts w:ascii="Times New Roman" w:hAnsi="Times New Roman" w:cs="Times New Roman"/>
        </w:rPr>
        <w:instrText xml:space="preserve"> \* MERGEFORMAT </w:instrText>
      </w:r>
      <w:r w:rsidR="00734124" w:rsidRPr="00DA7486">
        <w:rPr>
          <w:rFonts w:ascii="Times New Roman" w:hAnsi="Times New Roman" w:cs="Times New Roman"/>
        </w:rPr>
      </w:r>
      <w:r w:rsidR="00734124" w:rsidRPr="00DA7486">
        <w:rPr>
          <w:rFonts w:ascii="Times New Roman" w:hAnsi="Times New Roman" w:cs="Times New Roman"/>
        </w:rPr>
        <w:fldChar w:fldCharType="separate"/>
      </w:r>
      <w:r w:rsidR="00734124" w:rsidRPr="00DA7486">
        <w:rPr>
          <w:rFonts w:ascii="Times New Roman" w:hAnsi="Times New Roman" w:cs="Times New Roman"/>
        </w:rPr>
        <w:t>12</w:t>
      </w:r>
      <w:r w:rsidR="00734124" w:rsidRPr="00DA7486">
        <w:rPr>
          <w:rFonts w:ascii="Times New Roman" w:hAnsi="Times New Roman" w:cs="Times New Roman"/>
        </w:rPr>
        <w:fldChar w:fldCharType="end"/>
      </w:r>
      <w:r w:rsidR="027B3A37" w:rsidRPr="00DA7486">
        <w:rPr>
          <w:rFonts w:ascii="Times New Roman" w:hAnsi="Times New Roman" w:cs="Times New Roman"/>
        </w:rPr>
        <w:t>;</w:t>
      </w:r>
      <w:r w:rsidR="00AB63D8" w:rsidRPr="00DA7486">
        <w:rPr>
          <w:rFonts w:ascii="Times New Roman" w:hAnsi="Times New Roman" w:cs="Times New Roman"/>
        </w:rPr>
        <w:t xml:space="preserve"> Mie </w:t>
      </w:r>
      <w:proofErr w:type="spellStart"/>
      <w:r w:rsidR="00AB63D8" w:rsidRPr="00DA7486">
        <w:rPr>
          <w:rFonts w:ascii="Times New Roman" w:hAnsi="Times New Roman" w:cs="Times New Roman"/>
        </w:rPr>
        <w:t>Roesdahl</w:t>
      </w:r>
      <w:proofErr w:type="spellEnd"/>
      <w:r w:rsidR="00AB63D8" w:rsidRPr="00DA7486">
        <w:rPr>
          <w:rFonts w:ascii="Times New Roman" w:hAnsi="Times New Roman" w:cs="Times New Roman"/>
        </w:rPr>
        <w:t>, ‘Universal Periodic Review and its Limited Change Potential: Tracking the Complexity of Multiple Actors and Approaches to Human Rights Change through the Lens of the UPR Process of Nepal’ (2017) 9 (3) Journal of Human Rights Practice 401–423</w:t>
      </w:r>
      <w:r w:rsidR="027B3A37" w:rsidRPr="00DA7486">
        <w:rPr>
          <w:rFonts w:ascii="Times New Roman" w:hAnsi="Times New Roman" w:cs="Times New Roman"/>
        </w:rPr>
        <w:t>.</w:t>
      </w:r>
    </w:p>
    <w:p w14:paraId="51D3943A" w14:textId="7DB0C594" w:rsidR="00E97D98" w:rsidRPr="00DA7486" w:rsidRDefault="00E97D98" w:rsidP="00DA7486">
      <w:pPr>
        <w:pStyle w:val="FootnoteText"/>
        <w:jc w:val="both"/>
        <w:rPr>
          <w:rFonts w:ascii="Times New Roman" w:hAnsi="Times New Roman" w:cs="Times New Roman"/>
        </w:rPr>
      </w:pPr>
    </w:p>
  </w:footnote>
  <w:footnote w:id="32">
    <w:p w14:paraId="192B79BF" w14:textId="4EAE8D17" w:rsidR="000D40EE" w:rsidRPr="00DA7486" w:rsidRDefault="000D40EE"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10FD7B26" w:rsidRPr="00DA7486">
        <w:rPr>
          <w:rFonts w:ascii="Times New Roman" w:hAnsi="Times New Roman" w:cs="Times New Roman"/>
        </w:rPr>
        <w:t xml:space="preserve"> Office of the High Commission for </w:t>
      </w:r>
      <w:r w:rsidR="00F12A62" w:rsidRPr="00DA7486">
        <w:rPr>
          <w:rFonts w:ascii="Times New Roman" w:hAnsi="Times New Roman" w:cs="Times New Roman"/>
        </w:rPr>
        <w:t>Human</w:t>
      </w:r>
      <w:r w:rsidR="10FD7B26" w:rsidRPr="00DA7486">
        <w:rPr>
          <w:rFonts w:ascii="Times New Roman" w:hAnsi="Times New Roman" w:cs="Times New Roman"/>
        </w:rPr>
        <w:t xml:space="preserve"> Rights, </w:t>
      </w:r>
      <w:r w:rsidR="00AB1511" w:rsidRPr="00DA7486">
        <w:rPr>
          <w:rFonts w:ascii="Times New Roman" w:hAnsi="Times New Roman" w:cs="Times New Roman"/>
        </w:rPr>
        <w:t>‘</w:t>
      </w:r>
      <w:r w:rsidR="10FD7B26" w:rsidRPr="00DA7486">
        <w:rPr>
          <w:rFonts w:ascii="Times New Roman" w:hAnsi="Times New Roman" w:cs="Times New Roman"/>
        </w:rPr>
        <w:t xml:space="preserve">Transitional </w:t>
      </w:r>
      <w:r w:rsidR="00AB1511" w:rsidRPr="00DA7486">
        <w:rPr>
          <w:rFonts w:ascii="Times New Roman" w:hAnsi="Times New Roman" w:cs="Times New Roman"/>
        </w:rPr>
        <w:t>J</w:t>
      </w:r>
      <w:r w:rsidR="10FD7B26" w:rsidRPr="00DA7486">
        <w:rPr>
          <w:rFonts w:ascii="Times New Roman" w:hAnsi="Times New Roman" w:cs="Times New Roman"/>
        </w:rPr>
        <w:t xml:space="preserve">ustice and </w:t>
      </w:r>
      <w:r w:rsidR="00AB1511" w:rsidRPr="00DA7486">
        <w:rPr>
          <w:rFonts w:ascii="Times New Roman" w:hAnsi="Times New Roman" w:cs="Times New Roman"/>
        </w:rPr>
        <w:t>H</w:t>
      </w:r>
      <w:r w:rsidR="10FD7B26" w:rsidRPr="00DA7486">
        <w:rPr>
          <w:rFonts w:ascii="Times New Roman" w:hAnsi="Times New Roman" w:cs="Times New Roman"/>
        </w:rPr>
        <w:t xml:space="preserve">uman </w:t>
      </w:r>
      <w:r w:rsidR="00AB1511" w:rsidRPr="00DA7486">
        <w:rPr>
          <w:rFonts w:ascii="Times New Roman" w:hAnsi="Times New Roman" w:cs="Times New Roman"/>
        </w:rPr>
        <w:t>R</w:t>
      </w:r>
      <w:r w:rsidR="10FD7B26" w:rsidRPr="00DA7486">
        <w:rPr>
          <w:rFonts w:ascii="Times New Roman" w:hAnsi="Times New Roman" w:cs="Times New Roman"/>
        </w:rPr>
        <w:t xml:space="preserve">ights’ at </w:t>
      </w:r>
      <w:hyperlink r:id="rId6">
        <w:r w:rsidR="10FD7B26" w:rsidRPr="00DA7486">
          <w:rPr>
            <w:rStyle w:val="Hyperlink"/>
            <w:rFonts w:ascii="Times New Roman" w:hAnsi="Times New Roman" w:cs="Times New Roman"/>
          </w:rPr>
          <w:t>https://www.ohchr.org/en/transitional-justice</w:t>
        </w:r>
      </w:hyperlink>
      <w:r w:rsidR="10FD7B26" w:rsidRPr="00DA7486">
        <w:rPr>
          <w:rFonts w:ascii="Times New Roman" w:hAnsi="Times New Roman" w:cs="Times New Roman"/>
        </w:rPr>
        <w:t xml:space="preserve"> accessed 14 January 2023.</w:t>
      </w:r>
    </w:p>
  </w:footnote>
  <w:footnote w:id="33">
    <w:p w14:paraId="26E88EB7" w14:textId="587667AA" w:rsidR="000D40EE" w:rsidRPr="00DA7486" w:rsidRDefault="000D40EE"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4A191D85" w:rsidRPr="00DA7486">
        <w:rPr>
          <w:rFonts w:ascii="Times New Roman" w:hAnsi="Times New Roman" w:cs="Times New Roman"/>
        </w:rPr>
        <w:t xml:space="preserve"> Report of the Secretary-General, </w:t>
      </w:r>
      <w:r w:rsidR="483F46A1" w:rsidRPr="00DA7486">
        <w:rPr>
          <w:rFonts w:ascii="Times New Roman" w:hAnsi="Times New Roman" w:cs="Times New Roman"/>
        </w:rPr>
        <w:t>’The</w:t>
      </w:r>
      <w:r w:rsidR="4A191D85" w:rsidRPr="00DA7486">
        <w:rPr>
          <w:rFonts w:ascii="Times New Roman" w:hAnsi="Times New Roman" w:cs="Times New Roman"/>
        </w:rPr>
        <w:t xml:space="preserve"> rule of law and transitional justice in conflict and </w:t>
      </w:r>
      <w:r w:rsidR="483F46A1" w:rsidRPr="00DA7486">
        <w:rPr>
          <w:rFonts w:ascii="Times New Roman" w:hAnsi="Times New Roman" w:cs="Times New Roman"/>
        </w:rPr>
        <w:t xml:space="preserve">post conflict societies’ </w:t>
      </w:r>
      <w:r w:rsidR="359CB7AC" w:rsidRPr="00DA7486">
        <w:rPr>
          <w:rFonts w:ascii="Times New Roman" w:hAnsi="Times New Roman" w:cs="Times New Roman"/>
        </w:rPr>
        <w:t>(23 August 2004) UN Doc S/2004/616</w:t>
      </w:r>
      <w:r w:rsidR="4A191D85" w:rsidRPr="00DA7486">
        <w:rPr>
          <w:rFonts w:ascii="Times New Roman" w:hAnsi="Times New Roman" w:cs="Times New Roman"/>
        </w:rPr>
        <w:t>, para 8</w:t>
      </w:r>
      <w:r w:rsidR="359CB7AC" w:rsidRPr="00DA7486">
        <w:rPr>
          <w:rFonts w:ascii="Times New Roman" w:hAnsi="Times New Roman" w:cs="Times New Roman"/>
        </w:rPr>
        <w:t>.</w:t>
      </w:r>
    </w:p>
  </w:footnote>
  <w:footnote w:id="34">
    <w:p w14:paraId="63368950" w14:textId="550E67B2" w:rsidR="000D40EE" w:rsidRPr="00DA7486" w:rsidRDefault="000D40EE"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8F478BB" w:rsidRPr="00DA7486">
        <w:rPr>
          <w:rFonts w:ascii="Times New Roman" w:hAnsi="Times New Roman" w:cs="Times New Roman"/>
        </w:rPr>
        <w:t xml:space="preserve"> The International Centre for Transitional Justice (ICTJ), ‘What Is Transitional Justice?’ at </w:t>
      </w:r>
      <w:hyperlink r:id="rId7">
        <w:r w:rsidR="38F478BB" w:rsidRPr="00DA7486">
          <w:rPr>
            <w:rStyle w:val="Hyperlink"/>
            <w:rFonts w:ascii="Times New Roman" w:hAnsi="Times New Roman" w:cs="Times New Roman"/>
          </w:rPr>
          <w:t>https://www.ictj.org/what-transitional-justice</w:t>
        </w:r>
      </w:hyperlink>
      <w:r w:rsidR="38F478BB" w:rsidRPr="00DA7486">
        <w:rPr>
          <w:rFonts w:ascii="Times New Roman" w:hAnsi="Times New Roman" w:cs="Times New Roman"/>
        </w:rPr>
        <w:t xml:space="preserve"> accessed 14 January 2023.</w:t>
      </w:r>
    </w:p>
  </w:footnote>
  <w:footnote w:id="35">
    <w:p w14:paraId="0C5201CA" w14:textId="2ACA32AF" w:rsidR="007E16AF" w:rsidRPr="00DA7486" w:rsidRDefault="007E16AF"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FB6EB04" w:rsidRPr="00DA7486">
        <w:rPr>
          <w:rFonts w:ascii="Times New Roman" w:hAnsi="Times New Roman" w:cs="Times New Roman"/>
        </w:rPr>
        <w:t xml:space="preserve"> Daniel Sullivan, ‘T</w:t>
      </w:r>
      <w:r w:rsidR="0FB6EB04" w:rsidRPr="00DA7486">
        <w:rPr>
          <w:rFonts w:ascii="Times New Roman" w:eastAsia="Arial" w:hAnsi="Times New Roman" w:cs="Times New Roman"/>
          <w:color w:val="4D5156"/>
        </w:rPr>
        <w:t xml:space="preserve">he Missing Pillars: A look at the Failure of Peace in Burundi Through the </w:t>
      </w:r>
      <w:proofErr w:type="spellStart"/>
      <w:r w:rsidR="0FB6EB04" w:rsidRPr="00DA7486">
        <w:rPr>
          <w:rFonts w:ascii="Times New Roman" w:eastAsia="Arial" w:hAnsi="Times New Roman" w:cs="Times New Roman"/>
          <w:color w:val="4D5156"/>
        </w:rPr>
        <w:t>the</w:t>
      </w:r>
      <w:proofErr w:type="spellEnd"/>
      <w:r w:rsidR="0FB6EB04" w:rsidRPr="00DA7486">
        <w:rPr>
          <w:rFonts w:ascii="Times New Roman" w:eastAsia="Arial" w:hAnsi="Times New Roman" w:cs="Times New Roman"/>
          <w:color w:val="4D5156"/>
        </w:rPr>
        <w:t xml:space="preserve"> Lens of </w:t>
      </w:r>
      <w:proofErr w:type="spellStart"/>
      <w:r w:rsidR="0FB6EB04" w:rsidRPr="00DA7486">
        <w:rPr>
          <w:rFonts w:ascii="Times New Roman" w:eastAsia="Arial" w:hAnsi="Times New Roman" w:cs="Times New Roman"/>
          <w:color w:val="4D5156"/>
        </w:rPr>
        <w:t>Arend</w:t>
      </w:r>
      <w:proofErr w:type="spellEnd"/>
      <w:r w:rsidR="0FB6EB04" w:rsidRPr="00DA7486">
        <w:rPr>
          <w:rFonts w:ascii="Times New Roman" w:eastAsia="Arial" w:hAnsi="Times New Roman" w:cs="Times New Roman"/>
          <w:color w:val="4D5156"/>
        </w:rPr>
        <w:t xml:space="preserve"> </w:t>
      </w:r>
      <w:proofErr w:type="spellStart"/>
      <w:r w:rsidR="0FB6EB04" w:rsidRPr="00DA7486">
        <w:rPr>
          <w:rFonts w:ascii="Times New Roman" w:eastAsia="Arial" w:hAnsi="Times New Roman" w:cs="Times New Roman"/>
          <w:color w:val="4D5156"/>
        </w:rPr>
        <w:t>Lijphart's</w:t>
      </w:r>
      <w:proofErr w:type="spellEnd"/>
      <w:r w:rsidR="0FB6EB04" w:rsidRPr="00DA7486">
        <w:rPr>
          <w:rFonts w:ascii="Times New Roman" w:eastAsia="Arial" w:hAnsi="Times New Roman" w:cs="Times New Roman"/>
          <w:color w:val="4D5156"/>
        </w:rPr>
        <w:t xml:space="preserve"> Theory of </w:t>
      </w:r>
      <w:proofErr w:type="spellStart"/>
      <w:r w:rsidR="0FB6EB04" w:rsidRPr="00DA7486">
        <w:rPr>
          <w:rFonts w:ascii="Times New Roman" w:eastAsia="Arial" w:hAnsi="Times New Roman" w:cs="Times New Roman"/>
          <w:color w:val="4D5156"/>
        </w:rPr>
        <w:t>Consociational</w:t>
      </w:r>
      <w:proofErr w:type="spellEnd"/>
      <w:r w:rsidR="0FB6EB04" w:rsidRPr="00DA7486">
        <w:rPr>
          <w:rFonts w:ascii="Times New Roman" w:eastAsia="Arial" w:hAnsi="Times New Roman" w:cs="Times New Roman"/>
          <w:color w:val="4D5156"/>
        </w:rPr>
        <w:t xml:space="preserve"> Democracy’ (2005) 43 (1) Journal of Modern African Studies 75, 76.</w:t>
      </w:r>
    </w:p>
  </w:footnote>
  <w:footnote w:id="36">
    <w:p w14:paraId="4BFB55A6" w14:textId="39EDA518" w:rsidR="00AB383F" w:rsidRPr="00DA7486" w:rsidRDefault="00AB383F" w:rsidP="00DA7486">
      <w:pPr>
        <w:autoSpaceDE w:val="0"/>
        <w:autoSpaceDN w:val="0"/>
        <w:adjustRightInd w:val="0"/>
        <w:spacing w:after="0" w:line="240" w:lineRule="auto"/>
        <w:jc w:val="both"/>
        <w:rPr>
          <w:rFonts w:ascii="Times New Roman" w:hAnsi="Times New Roman" w:cs="Times New Roman"/>
          <w:sz w:val="20"/>
          <w:szCs w:val="20"/>
        </w:rPr>
      </w:pPr>
      <w:r w:rsidRPr="00DA7486">
        <w:rPr>
          <w:rStyle w:val="FootnoteReference"/>
          <w:rFonts w:ascii="Times New Roman" w:hAnsi="Times New Roman" w:cs="Times New Roman"/>
          <w:sz w:val="20"/>
          <w:szCs w:val="20"/>
        </w:rPr>
        <w:footnoteRef/>
      </w:r>
      <w:r w:rsidR="0FB6EB04" w:rsidRPr="00DA7486">
        <w:rPr>
          <w:rFonts w:ascii="Times New Roman" w:hAnsi="Times New Roman" w:cs="Times New Roman"/>
          <w:sz w:val="20"/>
          <w:szCs w:val="20"/>
        </w:rPr>
        <w:t xml:space="preserve"> Ibid, 75-82;</w:t>
      </w:r>
      <w:r w:rsidRPr="00DA7486">
        <w:rPr>
          <w:rFonts w:ascii="Times New Roman" w:hAnsi="Times New Roman" w:cs="Times New Roman"/>
          <w:sz w:val="20"/>
          <w:szCs w:val="20"/>
        </w:rPr>
        <w:t xml:space="preserve"> </w:t>
      </w:r>
      <w:r w:rsidR="007E23B3" w:rsidRPr="00DA7486">
        <w:rPr>
          <w:rFonts w:ascii="Times New Roman" w:hAnsi="Times New Roman" w:cs="Times New Roman"/>
          <w:sz w:val="20"/>
          <w:szCs w:val="20"/>
        </w:rPr>
        <w:t xml:space="preserve">President </w:t>
      </w:r>
      <w:proofErr w:type="spellStart"/>
      <w:r w:rsidR="007E23B3" w:rsidRPr="00DA7486">
        <w:rPr>
          <w:rFonts w:ascii="Times New Roman" w:hAnsi="Times New Roman" w:cs="Times New Roman"/>
          <w:sz w:val="20"/>
          <w:szCs w:val="20"/>
        </w:rPr>
        <w:t>Ndadaye</w:t>
      </w:r>
      <w:proofErr w:type="spellEnd"/>
      <w:r w:rsidR="007E23B3" w:rsidRPr="00DA7486">
        <w:rPr>
          <w:rFonts w:ascii="Times New Roman" w:hAnsi="Times New Roman" w:cs="Times New Roman"/>
          <w:sz w:val="20"/>
          <w:szCs w:val="20"/>
        </w:rPr>
        <w:t xml:space="preserve"> was assassinated on 21 October 1993; </w:t>
      </w:r>
      <w:r w:rsidRPr="00DA7486">
        <w:rPr>
          <w:rFonts w:ascii="Times New Roman" w:hAnsi="Times New Roman" w:cs="Times New Roman"/>
          <w:sz w:val="20"/>
          <w:szCs w:val="20"/>
        </w:rPr>
        <w:t xml:space="preserve">Pierre' </w:t>
      </w:r>
      <w:proofErr w:type="spellStart"/>
      <w:r w:rsidRPr="00DA7486">
        <w:rPr>
          <w:rFonts w:ascii="Times New Roman" w:hAnsi="Times New Roman" w:cs="Times New Roman"/>
          <w:sz w:val="20"/>
          <w:szCs w:val="20"/>
        </w:rPr>
        <w:t>Ngendandumwe</w:t>
      </w:r>
      <w:proofErr w:type="spellEnd"/>
      <w:r w:rsidRPr="00DA7486">
        <w:rPr>
          <w:rFonts w:ascii="Times New Roman" w:hAnsi="Times New Roman" w:cs="Times New Roman"/>
          <w:sz w:val="20"/>
          <w:szCs w:val="20"/>
        </w:rPr>
        <w:t xml:space="preserve">, a </w:t>
      </w:r>
      <w:r w:rsidRPr="00DA7486">
        <w:rPr>
          <w:rFonts w:ascii="Times New Roman" w:hAnsi="Times New Roman" w:cs="Times New Roman"/>
          <w:i/>
          <w:iCs/>
          <w:sz w:val="20"/>
          <w:szCs w:val="20"/>
        </w:rPr>
        <w:t xml:space="preserve">Hutu </w:t>
      </w:r>
      <w:r w:rsidRPr="00DA7486">
        <w:rPr>
          <w:rFonts w:ascii="Times New Roman" w:hAnsi="Times New Roman" w:cs="Times New Roman"/>
          <w:sz w:val="20"/>
          <w:szCs w:val="20"/>
        </w:rPr>
        <w:t>Prime Minister elected in</w:t>
      </w:r>
      <w:r w:rsidR="005F29F5" w:rsidRPr="00DA7486">
        <w:rPr>
          <w:rFonts w:ascii="Times New Roman" w:hAnsi="Times New Roman" w:cs="Times New Roman"/>
          <w:sz w:val="20"/>
          <w:szCs w:val="20"/>
        </w:rPr>
        <w:t xml:space="preserve"> </w:t>
      </w:r>
      <w:r w:rsidRPr="00DA7486">
        <w:rPr>
          <w:rFonts w:ascii="Times New Roman" w:hAnsi="Times New Roman" w:cs="Times New Roman"/>
          <w:sz w:val="20"/>
          <w:szCs w:val="20"/>
        </w:rPr>
        <w:t>1963</w:t>
      </w:r>
      <w:r w:rsidR="00C60036" w:rsidRPr="00DA7486">
        <w:rPr>
          <w:rFonts w:ascii="Times New Roman" w:hAnsi="Times New Roman" w:cs="Times New Roman"/>
          <w:sz w:val="20"/>
          <w:szCs w:val="20"/>
        </w:rPr>
        <w:t xml:space="preserve"> </w:t>
      </w:r>
      <w:r w:rsidR="005F29F5" w:rsidRPr="00DA7486">
        <w:rPr>
          <w:rFonts w:ascii="Times New Roman" w:hAnsi="Times New Roman" w:cs="Times New Roman"/>
          <w:sz w:val="20"/>
          <w:szCs w:val="20"/>
        </w:rPr>
        <w:t xml:space="preserve">was </w:t>
      </w:r>
      <w:r w:rsidRPr="00DA7486">
        <w:rPr>
          <w:rFonts w:ascii="Times New Roman" w:hAnsi="Times New Roman" w:cs="Times New Roman"/>
          <w:sz w:val="20"/>
          <w:szCs w:val="20"/>
        </w:rPr>
        <w:t>assassinated on 15 January 1965</w:t>
      </w:r>
      <w:r w:rsidR="007E23B3" w:rsidRPr="00DA7486">
        <w:rPr>
          <w:rFonts w:ascii="Times New Roman" w:hAnsi="Times New Roman" w:cs="Times New Roman"/>
          <w:sz w:val="20"/>
          <w:szCs w:val="20"/>
        </w:rPr>
        <w:t>.</w:t>
      </w:r>
      <w:r w:rsidR="00C60036" w:rsidRPr="00DA7486">
        <w:rPr>
          <w:rFonts w:ascii="Times New Roman" w:hAnsi="Times New Roman" w:cs="Times New Roman"/>
          <w:sz w:val="20"/>
          <w:szCs w:val="20"/>
        </w:rPr>
        <w:t xml:space="preserve"> </w:t>
      </w:r>
    </w:p>
  </w:footnote>
  <w:footnote w:id="37">
    <w:p w14:paraId="3146623B" w14:textId="4895AC7F" w:rsidR="00C60036" w:rsidRPr="00DA7486" w:rsidRDefault="00C6003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CA0D1A" w:rsidRPr="00DA7486">
        <w:rPr>
          <w:rFonts w:ascii="Times New Roman" w:hAnsi="Times New Roman" w:cs="Times New Roman"/>
        </w:rPr>
        <w:t xml:space="preserve">President </w:t>
      </w:r>
      <w:proofErr w:type="spellStart"/>
      <w:r w:rsidR="00EF56CF" w:rsidRPr="00DA7486">
        <w:rPr>
          <w:rFonts w:ascii="Times New Roman" w:hAnsi="Times New Roman" w:cs="Times New Roman"/>
        </w:rPr>
        <w:t>Ndadaye</w:t>
      </w:r>
      <w:proofErr w:type="spellEnd"/>
      <w:r w:rsidR="00EF56CF" w:rsidRPr="00DA7486">
        <w:rPr>
          <w:rFonts w:ascii="Times New Roman" w:hAnsi="Times New Roman" w:cs="Times New Roman"/>
        </w:rPr>
        <w:t xml:space="preserve"> was overthrown in October 1993</w:t>
      </w:r>
      <w:r w:rsidR="00CA0D1A" w:rsidRPr="00DA7486">
        <w:rPr>
          <w:rFonts w:ascii="Times New Roman" w:hAnsi="Times New Roman" w:cs="Times New Roman"/>
        </w:rPr>
        <w:t xml:space="preserve">; </w:t>
      </w:r>
      <w:r w:rsidR="007A4549" w:rsidRPr="00DA7486">
        <w:rPr>
          <w:rFonts w:ascii="Times New Roman" w:hAnsi="Times New Roman" w:cs="Times New Roman"/>
        </w:rPr>
        <w:t xml:space="preserve">Major Pierre </w:t>
      </w:r>
      <w:proofErr w:type="spellStart"/>
      <w:r w:rsidR="007A4549" w:rsidRPr="00DA7486">
        <w:rPr>
          <w:rFonts w:ascii="Times New Roman" w:hAnsi="Times New Roman" w:cs="Times New Roman"/>
        </w:rPr>
        <w:t>Buyoya</w:t>
      </w:r>
      <w:proofErr w:type="spellEnd"/>
      <w:r w:rsidR="007A4549" w:rsidRPr="00DA7486">
        <w:rPr>
          <w:rFonts w:ascii="Times New Roman" w:hAnsi="Times New Roman" w:cs="Times New Roman"/>
        </w:rPr>
        <w:t xml:space="preserve"> </w:t>
      </w:r>
      <w:r w:rsidR="00B05523" w:rsidRPr="00DA7486">
        <w:rPr>
          <w:rFonts w:ascii="Times New Roman" w:hAnsi="Times New Roman" w:cs="Times New Roman"/>
        </w:rPr>
        <w:t xml:space="preserve">led a </w:t>
      </w:r>
      <w:r w:rsidR="007A4549" w:rsidRPr="00DA7486">
        <w:rPr>
          <w:rFonts w:ascii="Times New Roman" w:hAnsi="Times New Roman" w:cs="Times New Roman"/>
        </w:rPr>
        <w:t>coup on 25 July 1996</w:t>
      </w:r>
      <w:r w:rsidR="00B05523" w:rsidRPr="00DA7486">
        <w:rPr>
          <w:rFonts w:ascii="Times New Roman" w:hAnsi="Times New Roman" w:cs="Times New Roman"/>
        </w:rPr>
        <w:t xml:space="preserve"> to</w:t>
      </w:r>
      <w:r w:rsidR="007A4549" w:rsidRPr="00DA7486">
        <w:rPr>
          <w:rFonts w:ascii="Times New Roman" w:hAnsi="Times New Roman" w:cs="Times New Roman"/>
        </w:rPr>
        <w:t xml:space="preserve"> bec</w:t>
      </w:r>
      <w:r w:rsidR="00B05523" w:rsidRPr="00DA7486">
        <w:rPr>
          <w:rFonts w:ascii="Times New Roman" w:hAnsi="Times New Roman" w:cs="Times New Roman"/>
        </w:rPr>
        <w:t>ome</w:t>
      </w:r>
      <w:r w:rsidR="007A4549" w:rsidRPr="00DA7486">
        <w:rPr>
          <w:rFonts w:ascii="Times New Roman" w:hAnsi="Times New Roman" w:cs="Times New Roman"/>
        </w:rPr>
        <w:t xml:space="preserve"> Acting President</w:t>
      </w:r>
      <w:r w:rsidR="00B05523" w:rsidRPr="00DA7486">
        <w:rPr>
          <w:rFonts w:ascii="Times New Roman" w:hAnsi="Times New Roman" w:cs="Times New Roman"/>
        </w:rPr>
        <w:t>;</w:t>
      </w:r>
      <w:r w:rsidR="000E1E11" w:rsidRPr="00DA7486">
        <w:rPr>
          <w:rFonts w:ascii="Times New Roman" w:hAnsi="Times New Roman" w:cs="Times New Roman"/>
        </w:rPr>
        <w:t xml:space="preserve"> see </w:t>
      </w:r>
      <w:r w:rsidR="0FB6EB04" w:rsidRPr="00DA7486">
        <w:rPr>
          <w:rFonts w:ascii="Times New Roman" w:hAnsi="Times New Roman" w:cs="Times New Roman"/>
        </w:rPr>
        <w:t>UN Commission on Human Rights, ’Report</w:t>
      </w:r>
      <w:r w:rsidR="000E1E11" w:rsidRPr="00DA7486">
        <w:rPr>
          <w:rFonts w:ascii="Times New Roman" w:hAnsi="Times New Roman" w:cs="Times New Roman"/>
        </w:rPr>
        <w:t xml:space="preserve"> on the human rights situation in Burundi submitted by the</w:t>
      </w:r>
      <w:r w:rsidR="0FB6EB04" w:rsidRPr="00DA7486">
        <w:rPr>
          <w:rFonts w:ascii="Times New Roman" w:hAnsi="Times New Roman" w:cs="Times New Roman"/>
        </w:rPr>
        <w:t xml:space="preserve"> </w:t>
      </w:r>
      <w:r w:rsidR="000E1E11" w:rsidRPr="00DA7486">
        <w:rPr>
          <w:rFonts w:ascii="Times New Roman" w:hAnsi="Times New Roman" w:cs="Times New Roman"/>
        </w:rPr>
        <w:t xml:space="preserve">Special Rapporteur, Mrs. Marie-Thérèse A. Keita </w:t>
      </w:r>
      <w:proofErr w:type="spellStart"/>
      <w:r w:rsidR="000E1E11" w:rsidRPr="00DA7486">
        <w:rPr>
          <w:rFonts w:ascii="Times New Roman" w:hAnsi="Times New Roman" w:cs="Times New Roman"/>
        </w:rPr>
        <w:t>Bocoum</w:t>
      </w:r>
      <w:proofErr w:type="spellEnd"/>
      <w:r w:rsidR="000E1E11" w:rsidRPr="00DA7486">
        <w:rPr>
          <w:rFonts w:ascii="Times New Roman" w:hAnsi="Times New Roman" w:cs="Times New Roman"/>
        </w:rPr>
        <w:t>, in accordance with Commission resolution 1999/10</w:t>
      </w:r>
      <w:r w:rsidR="008C3799" w:rsidRPr="00DA7486">
        <w:rPr>
          <w:rFonts w:ascii="Times New Roman" w:hAnsi="Times New Roman" w:cs="Times New Roman"/>
        </w:rPr>
        <w:t xml:space="preserve"> (</w:t>
      </w:r>
      <w:r w:rsidR="0FB6EB04" w:rsidRPr="00DA7486">
        <w:rPr>
          <w:rFonts w:ascii="Times New Roman" w:hAnsi="Times New Roman" w:cs="Times New Roman"/>
        </w:rPr>
        <w:t>25 February 2000) UN Doc E/CN.4/2000/34, para 31-32.</w:t>
      </w:r>
    </w:p>
  </w:footnote>
  <w:footnote w:id="38">
    <w:p w14:paraId="65E71A21" w14:textId="39365E9A" w:rsidR="007E21B1" w:rsidRPr="00DA7486" w:rsidRDefault="007E21B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FB6EB04" w:rsidRPr="00DA7486">
        <w:rPr>
          <w:rFonts w:ascii="Times New Roman" w:hAnsi="Times New Roman" w:cs="Times New Roman"/>
        </w:rPr>
        <w:t xml:space="preserve"> ibid, para 21.</w:t>
      </w:r>
    </w:p>
  </w:footnote>
  <w:footnote w:id="39">
    <w:p w14:paraId="6071C39D" w14:textId="0B7BFB90" w:rsidR="002B38A8" w:rsidRPr="00DA7486" w:rsidRDefault="002B38A8"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FB6EB04" w:rsidRPr="00DA7486">
        <w:rPr>
          <w:rFonts w:ascii="Times New Roman" w:hAnsi="Times New Roman" w:cs="Times New Roman"/>
        </w:rPr>
        <w:t xml:space="preserve"> Ibid, 55-56; </w:t>
      </w:r>
      <w:r w:rsidR="00962AD4" w:rsidRPr="00DA7486">
        <w:rPr>
          <w:rFonts w:ascii="Times New Roman" w:hAnsi="Times New Roman" w:cs="Times New Roman"/>
        </w:rPr>
        <w:t>See also</w:t>
      </w:r>
      <w:r w:rsidR="008B1930" w:rsidRPr="00DA7486">
        <w:rPr>
          <w:rFonts w:ascii="Times New Roman" w:hAnsi="Times New Roman" w:cs="Times New Roman"/>
        </w:rPr>
        <w:t xml:space="preserve"> Internal Displacement Monitoring Centre ‘Burundi: Still No End to Displacement, Despite Political Progress – A Profile of the Internal Displacement Situation’ (2006) &lt;</w:t>
      </w:r>
      <w:hyperlink r:id="rId8" w:history="1">
        <w:r w:rsidR="0FB6EB04" w:rsidRPr="00DA7486">
          <w:rPr>
            <w:rStyle w:val="Hyperlink"/>
            <w:rFonts w:ascii="Times New Roman" w:hAnsi="Times New Roman" w:cs="Times New Roman"/>
          </w:rPr>
          <w:t>https://www.refworld.org/pdfid/4455cc524.pdf</w:t>
        </w:r>
      </w:hyperlink>
      <w:r w:rsidR="008B1930" w:rsidRPr="00DA7486">
        <w:rPr>
          <w:rFonts w:ascii="Times New Roman" w:hAnsi="Times New Roman" w:cs="Times New Roman"/>
        </w:rPr>
        <w:t>&gt; accessed 3 January 2023</w:t>
      </w:r>
      <w:r w:rsidR="0FB6EB04" w:rsidRPr="00DA7486">
        <w:rPr>
          <w:rFonts w:ascii="Times New Roman" w:hAnsi="Times New Roman" w:cs="Times New Roman"/>
        </w:rPr>
        <w:t>.</w:t>
      </w:r>
    </w:p>
  </w:footnote>
  <w:footnote w:id="40">
    <w:p w14:paraId="09013571" w14:textId="4AE5A55B" w:rsidR="003B117C" w:rsidRPr="00DA7486" w:rsidRDefault="003B117C"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7F782A6D" w:rsidRPr="00DA7486">
        <w:rPr>
          <w:rFonts w:ascii="Times New Roman" w:hAnsi="Times New Roman" w:cs="Times New Roman"/>
        </w:rPr>
        <w:t xml:space="preserve"> for more details on the death casualty, see Robert Krueger and Kathleen Krueger, </w:t>
      </w:r>
      <w:r w:rsidR="7F782A6D" w:rsidRPr="00DA7486">
        <w:rPr>
          <w:rFonts w:ascii="Times New Roman" w:hAnsi="Times New Roman" w:cs="Times New Roman"/>
          <w:i/>
          <w:iCs/>
        </w:rPr>
        <w:t>From Bloodshed to Hope in Burundi: Our Embassy Years during Genocide</w:t>
      </w:r>
      <w:r w:rsidR="7F782A6D" w:rsidRPr="00DA7486">
        <w:rPr>
          <w:rFonts w:ascii="Times New Roman" w:hAnsi="Times New Roman" w:cs="Times New Roman"/>
        </w:rPr>
        <w:t xml:space="preserve"> (University of Texas Press 2007) 3, </w:t>
      </w:r>
      <w:r w:rsidR="741E15D1" w:rsidRPr="00DA7486">
        <w:rPr>
          <w:rFonts w:ascii="Times New Roman" w:hAnsi="Times New Roman" w:cs="Times New Roman"/>
        </w:rPr>
        <w:t>23 and</w:t>
      </w:r>
      <w:r w:rsidR="7F782A6D" w:rsidRPr="00DA7486">
        <w:rPr>
          <w:rFonts w:ascii="Times New Roman" w:hAnsi="Times New Roman" w:cs="Times New Roman"/>
        </w:rPr>
        <w:t xml:space="preserve"> 31.</w:t>
      </w:r>
    </w:p>
  </w:footnote>
  <w:footnote w:id="41">
    <w:p w14:paraId="7B9A82F6" w14:textId="583C77AE" w:rsidR="007D65A6" w:rsidRPr="00DA7486" w:rsidRDefault="007D65A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23CDAA0" w:rsidRPr="00DA7486">
        <w:rPr>
          <w:rFonts w:ascii="Times New Roman" w:hAnsi="Times New Roman" w:cs="Times New Roman"/>
        </w:rPr>
        <w:t xml:space="preserve"> </w:t>
      </w:r>
      <w:r w:rsidR="023CDAA0" w:rsidRPr="00DA7486">
        <w:rPr>
          <w:rFonts w:ascii="Times New Roman" w:hAnsi="Times New Roman" w:cs="Times New Roman"/>
          <w:i/>
          <w:iCs/>
        </w:rPr>
        <w:t>Final Report of the UN Commission of Inquiry Report for Burundi,</w:t>
      </w:r>
      <w:r w:rsidR="023CDAA0" w:rsidRPr="00DA7486">
        <w:rPr>
          <w:rFonts w:ascii="Times New Roman" w:hAnsi="Times New Roman" w:cs="Times New Roman"/>
        </w:rPr>
        <w:t xml:space="preserve"> 1993 </w:t>
      </w:r>
      <w:r w:rsidR="17702BD9" w:rsidRPr="00DA7486">
        <w:rPr>
          <w:rFonts w:ascii="Times New Roman" w:hAnsi="Times New Roman" w:cs="Times New Roman"/>
        </w:rPr>
        <w:t>para 496 - 499 at</w:t>
      </w:r>
      <w:r w:rsidR="00E13BF9">
        <w:t xml:space="preserve"> </w:t>
      </w:r>
      <w:hyperlink r:id="rId9" w:history="1">
        <w:r w:rsidR="00E13BF9" w:rsidRPr="0059179E">
          <w:rPr>
            <w:rStyle w:val="Hyperlink"/>
          </w:rPr>
          <w:t>https://bit.ly/3XbE5al</w:t>
        </w:r>
      </w:hyperlink>
      <w:r w:rsidR="00E13BF9">
        <w:t xml:space="preserve"> </w:t>
      </w:r>
      <w:r w:rsidR="023CDAA0" w:rsidRPr="00DA7486">
        <w:rPr>
          <w:rFonts w:ascii="Times New Roman" w:hAnsi="Times New Roman" w:cs="Times New Roman"/>
        </w:rPr>
        <w:t xml:space="preserve">  </w:t>
      </w:r>
      <w:r w:rsidR="47072FCA" w:rsidRPr="00DA7486">
        <w:rPr>
          <w:rFonts w:ascii="Times New Roman" w:hAnsi="Times New Roman" w:cs="Times New Roman"/>
        </w:rPr>
        <w:t xml:space="preserve">accessed </w:t>
      </w:r>
      <w:r w:rsidR="452D58E6" w:rsidRPr="00DA7486">
        <w:rPr>
          <w:rFonts w:ascii="Times New Roman" w:hAnsi="Times New Roman" w:cs="Times New Roman"/>
        </w:rPr>
        <w:t>14 January 2023.</w:t>
      </w:r>
    </w:p>
  </w:footnote>
  <w:footnote w:id="42">
    <w:p w14:paraId="31B0A3B2" w14:textId="36D68215" w:rsidR="00695F1A" w:rsidRPr="00DA7486" w:rsidRDefault="00695F1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 </w:t>
      </w:r>
      <w:r w:rsidR="004256FB" w:rsidRPr="00DA7486">
        <w:rPr>
          <w:rFonts w:ascii="Times New Roman" w:hAnsi="Times New Roman" w:cs="Times New Roman"/>
        </w:rPr>
        <w:t xml:space="preserve">Internal Displacement Monitoring Centre and </w:t>
      </w:r>
      <w:r w:rsidR="00E13BF9" w:rsidRPr="00DA7486">
        <w:rPr>
          <w:rFonts w:ascii="Times New Roman" w:hAnsi="Times New Roman" w:cs="Times New Roman"/>
        </w:rPr>
        <w:t>Norwegian</w:t>
      </w:r>
      <w:r w:rsidR="004256FB" w:rsidRPr="00DA7486">
        <w:rPr>
          <w:rFonts w:ascii="Times New Roman" w:hAnsi="Times New Roman" w:cs="Times New Roman"/>
        </w:rPr>
        <w:t xml:space="preserve"> Refugee </w:t>
      </w:r>
      <w:r w:rsidR="002A2DBB" w:rsidRPr="00DA7486">
        <w:rPr>
          <w:rFonts w:ascii="Times New Roman" w:hAnsi="Times New Roman" w:cs="Times New Roman"/>
        </w:rPr>
        <w:t>Council</w:t>
      </w:r>
      <w:r w:rsidR="004256FB" w:rsidRPr="00DA7486">
        <w:rPr>
          <w:rFonts w:ascii="Times New Roman" w:hAnsi="Times New Roman" w:cs="Times New Roman"/>
        </w:rPr>
        <w:t>, ‘Burundi: still no end to displacement, despite political progress’ (</w:t>
      </w:r>
      <w:r w:rsidR="002A2DBB" w:rsidRPr="00DA7486">
        <w:rPr>
          <w:rFonts w:ascii="Times New Roman" w:hAnsi="Times New Roman" w:cs="Times New Roman"/>
        </w:rPr>
        <w:t xml:space="preserve">11 April </w:t>
      </w:r>
      <w:r w:rsidR="004256FB" w:rsidRPr="00DA7486">
        <w:rPr>
          <w:rFonts w:ascii="Times New Roman" w:hAnsi="Times New Roman" w:cs="Times New Roman"/>
        </w:rPr>
        <w:t>2006)</w:t>
      </w:r>
      <w:r w:rsidR="002A2DBB" w:rsidRPr="00DA7486">
        <w:rPr>
          <w:rFonts w:ascii="Times New Roman" w:hAnsi="Times New Roman" w:cs="Times New Roman"/>
        </w:rPr>
        <w:t xml:space="preserve"> available at </w:t>
      </w:r>
      <w:hyperlink r:id="rId10" w:history="1">
        <w:r w:rsidR="008739CE" w:rsidRPr="0059179E">
          <w:rPr>
            <w:rStyle w:val="Hyperlink"/>
            <w:rFonts w:ascii="Times New Roman" w:hAnsi="Times New Roman" w:cs="Times New Roman"/>
          </w:rPr>
          <w:t>https://bit.ly/3XdcAxn</w:t>
        </w:r>
      </w:hyperlink>
      <w:r w:rsidR="008739CE">
        <w:rPr>
          <w:rFonts w:ascii="Times New Roman" w:hAnsi="Times New Roman" w:cs="Times New Roman"/>
        </w:rPr>
        <w:t xml:space="preserve"> </w:t>
      </w:r>
      <w:r w:rsidR="00341115" w:rsidRPr="00DA7486">
        <w:rPr>
          <w:rFonts w:ascii="Times New Roman" w:hAnsi="Times New Roman" w:cs="Times New Roman"/>
        </w:rPr>
        <w:t>accessed 30/12/2022.</w:t>
      </w:r>
    </w:p>
  </w:footnote>
  <w:footnote w:id="43">
    <w:p w14:paraId="76F6503B" w14:textId="06ACFE5C" w:rsidR="00607ECF" w:rsidRPr="00DA7486" w:rsidRDefault="00607ECF" w:rsidP="00DA7486">
      <w:pPr>
        <w:autoSpaceDE w:val="0"/>
        <w:autoSpaceDN w:val="0"/>
        <w:adjustRightInd w:val="0"/>
        <w:spacing w:after="0" w:line="240" w:lineRule="auto"/>
        <w:jc w:val="both"/>
        <w:rPr>
          <w:rFonts w:ascii="Times New Roman" w:hAnsi="Times New Roman" w:cs="Times New Roman"/>
          <w:sz w:val="20"/>
          <w:szCs w:val="20"/>
        </w:rPr>
      </w:pPr>
      <w:r w:rsidRPr="00DA7486">
        <w:rPr>
          <w:rStyle w:val="FootnoteReference"/>
          <w:rFonts w:ascii="Times New Roman" w:hAnsi="Times New Roman" w:cs="Times New Roman"/>
          <w:sz w:val="20"/>
          <w:szCs w:val="20"/>
        </w:rPr>
        <w:footnoteRef/>
      </w:r>
      <w:r w:rsidRPr="00DA7486">
        <w:rPr>
          <w:rFonts w:ascii="Times New Roman" w:hAnsi="Times New Roman" w:cs="Times New Roman"/>
          <w:sz w:val="20"/>
          <w:szCs w:val="20"/>
        </w:rPr>
        <w:t xml:space="preserve"> </w:t>
      </w:r>
      <w:r w:rsidR="00BB4C04" w:rsidRPr="00DA7486">
        <w:rPr>
          <w:rFonts w:ascii="Times New Roman" w:hAnsi="Times New Roman" w:cs="Times New Roman"/>
          <w:sz w:val="20"/>
          <w:szCs w:val="20"/>
        </w:rPr>
        <w:t xml:space="preserve">Rene </w:t>
      </w:r>
      <w:proofErr w:type="spellStart"/>
      <w:r w:rsidR="00BB4C04" w:rsidRPr="00DA7486">
        <w:rPr>
          <w:rFonts w:ascii="Times New Roman" w:hAnsi="Times New Roman" w:cs="Times New Roman"/>
          <w:sz w:val="20"/>
          <w:szCs w:val="20"/>
        </w:rPr>
        <w:t>Lemarchand's</w:t>
      </w:r>
      <w:proofErr w:type="spellEnd"/>
      <w:r w:rsidR="00BB4C04" w:rsidRPr="00DA7486">
        <w:rPr>
          <w:rFonts w:ascii="Times New Roman" w:hAnsi="Times New Roman" w:cs="Times New Roman"/>
          <w:sz w:val="20"/>
          <w:szCs w:val="20"/>
        </w:rPr>
        <w:t xml:space="preserve"> assertion in a testimony to the United States Congress in 1988 on </w:t>
      </w:r>
      <w:r w:rsidR="709A8DB4" w:rsidRPr="00DA7486">
        <w:rPr>
          <w:rFonts w:ascii="Times New Roman" w:hAnsi="Times New Roman" w:cs="Times New Roman"/>
          <w:sz w:val="20"/>
          <w:szCs w:val="20"/>
        </w:rPr>
        <w:t>the scale</w:t>
      </w:r>
      <w:r w:rsidR="00BB4C04" w:rsidRPr="00DA7486">
        <w:rPr>
          <w:rFonts w:ascii="Times New Roman" w:hAnsi="Times New Roman" w:cs="Times New Roman"/>
          <w:sz w:val="20"/>
          <w:szCs w:val="20"/>
        </w:rPr>
        <w:t xml:space="preserve"> of human rights violations and enduring nature of the cycle of violence in Burundi, see</w:t>
      </w:r>
      <w:r w:rsidR="709A8DB4" w:rsidRPr="00DA7486">
        <w:rPr>
          <w:rFonts w:ascii="Times New Roman" w:hAnsi="Times New Roman" w:cs="Times New Roman"/>
          <w:sz w:val="20"/>
          <w:szCs w:val="20"/>
        </w:rPr>
        <w:t xml:space="preserve"> </w:t>
      </w:r>
      <w:r w:rsidR="6DA87B59" w:rsidRPr="00DA7486">
        <w:rPr>
          <w:rFonts w:ascii="Times New Roman" w:hAnsi="Times New Roman" w:cs="Times New Roman"/>
          <w:sz w:val="20"/>
          <w:szCs w:val="20"/>
        </w:rPr>
        <w:t xml:space="preserve">Robert Krueger and Kathleen Krueger, </w:t>
      </w:r>
      <w:r w:rsidR="6DA87B59" w:rsidRPr="00DA7486">
        <w:rPr>
          <w:rFonts w:ascii="Times New Roman" w:hAnsi="Times New Roman" w:cs="Times New Roman"/>
          <w:i/>
          <w:iCs/>
          <w:sz w:val="20"/>
          <w:szCs w:val="20"/>
        </w:rPr>
        <w:t>From Bloodshed to Hope in Burundi: Our Embassy Years during Genocide</w:t>
      </w:r>
      <w:r w:rsidR="6DA87B59" w:rsidRPr="00DA7486">
        <w:rPr>
          <w:rFonts w:ascii="Times New Roman" w:hAnsi="Times New Roman" w:cs="Times New Roman"/>
          <w:sz w:val="20"/>
          <w:szCs w:val="20"/>
        </w:rPr>
        <w:t xml:space="preserve"> (University of Texas Press 2007) 27.</w:t>
      </w:r>
    </w:p>
  </w:footnote>
  <w:footnote w:id="44">
    <w:p w14:paraId="0AB275B1" w14:textId="65AC3A66" w:rsidR="006A5E51" w:rsidRPr="00DA7486" w:rsidRDefault="006A5E5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185414BB" w:rsidRPr="00DA7486">
        <w:rPr>
          <w:rFonts w:ascii="Times New Roman" w:hAnsi="Times New Roman" w:cs="Times New Roman"/>
        </w:rPr>
        <w:t xml:space="preserve"> </w:t>
      </w:r>
      <w:r w:rsidR="78DF81D4" w:rsidRPr="00DA7486">
        <w:rPr>
          <w:rFonts w:ascii="Times New Roman" w:hAnsi="Times New Roman" w:cs="Times New Roman"/>
          <w:i/>
          <w:iCs/>
        </w:rPr>
        <w:t xml:space="preserve">Arusha Peace and Reconciliation Agreement for </w:t>
      </w:r>
      <w:r w:rsidR="45DCEF33" w:rsidRPr="00DA7486">
        <w:rPr>
          <w:rFonts w:ascii="Times New Roman" w:hAnsi="Times New Roman" w:cs="Times New Roman"/>
          <w:i/>
          <w:iCs/>
        </w:rPr>
        <w:t xml:space="preserve">Burundi, </w:t>
      </w:r>
      <w:r w:rsidR="45DCEF33" w:rsidRPr="00DA7486">
        <w:rPr>
          <w:rFonts w:ascii="Times New Roman" w:hAnsi="Times New Roman" w:cs="Times New Roman"/>
        </w:rPr>
        <w:t>Arusha (</w:t>
      </w:r>
      <w:r w:rsidR="6EB961BD" w:rsidRPr="00DA7486">
        <w:rPr>
          <w:rFonts w:ascii="Times New Roman" w:hAnsi="Times New Roman" w:cs="Times New Roman"/>
        </w:rPr>
        <w:t xml:space="preserve">28 August </w:t>
      </w:r>
      <w:r w:rsidR="7A6CD9E5" w:rsidRPr="00DA7486">
        <w:rPr>
          <w:rFonts w:ascii="Times New Roman" w:hAnsi="Times New Roman" w:cs="Times New Roman"/>
        </w:rPr>
        <w:t>2000</w:t>
      </w:r>
      <w:r w:rsidR="571AC3DE" w:rsidRPr="00DA7486">
        <w:rPr>
          <w:rFonts w:ascii="Times New Roman" w:hAnsi="Times New Roman" w:cs="Times New Roman"/>
        </w:rPr>
        <w:t xml:space="preserve">); </w:t>
      </w:r>
      <w:r w:rsidR="7A6CD9E5" w:rsidRPr="00DA7486">
        <w:rPr>
          <w:rFonts w:ascii="Times New Roman" w:hAnsi="Times New Roman" w:cs="Times New Roman"/>
        </w:rPr>
        <w:t>United</w:t>
      </w:r>
      <w:r w:rsidR="185414BB" w:rsidRPr="00DA7486">
        <w:rPr>
          <w:rFonts w:ascii="Times New Roman" w:hAnsi="Times New Roman" w:cs="Times New Roman"/>
        </w:rPr>
        <w:t xml:space="preserve"> Nations Security Council, </w:t>
      </w:r>
      <w:r w:rsidR="185414BB" w:rsidRPr="00DA7486">
        <w:rPr>
          <w:rFonts w:ascii="Times New Roman" w:hAnsi="Times New Roman" w:cs="Times New Roman"/>
          <w:i/>
          <w:iCs/>
        </w:rPr>
        <w:t>Letter dated 11 March 2005 from the Secretary-General addressed to the President of the Security Council (</w:t>
      </w:r>
      <w:proofErr w:type="spellStart"/>
      <w:r w:rsidR="185414BB" w:rsidRPr="00DA7486">
        <w:rPr>
          <w:rFonts w:ascii="Times New Roman" w:hAnsi="Times New Roman" w:cs="Times New Roman"/>
          <w:i/>
          <w:iCs/>
        </w:rPr>
        <w:t>Kalomoh</w:t>
      </w:r>
      <w:proofErr w:type="spellEnd"/>
      <w:r w:rsidR="185414BB" w:rsidRPr="00DA7486">
        <w:rPr>
          <w:rFonts w:ascii="Times New Roman" w:hAnsi="Times New Roman" w:cs="Times New Roman"/>
          <w:i/>
          <w:iCs/>
        </w:rPr>
        <w:t xml:space="preserve"> Report) </w:t>
      </w:r>
      <w:r w:rsidR="185414BB" w:rsidRPr="00DA7486">
        <w:rPr>
          <w:rFonts w:ascii="Times New Roman" w:hAnsi="Times New Roman" w:cs="Times New Roman"/>
        </w:rPr>
        <w:t>(</w:t>
      </w:r>
      <w:r w:rsidR="7E81D7C4" w:rsidRPr="00DA7486">
        <w:rPr>
          <w:rFonts w:ascii="Times New Roman" w:hAnsi="Times New Roman" w:cs="Times New Roman"/>
        </w:rPr>
        <w:t xml:space="preserve">11 March </w:t>
      </w:r>
      <w:r w:rsidR="4278E867" w:rsidRPr="00DA7486">
        <w:rPr>
          <w:rFonts w:ascii="Times New Roman" w:hAnsi="Times New Roman" w:cs="Times New Roman"/>
        </w:rPr>
        <w:t>2005) UN Doc S/2005/158.</w:t>
      </w:r>
    </w:p>
  </w:footnote>
  <w:footnote w:id="45">
    <w:p w14:paraId="7D5D70DC" w14:textId="77D0C412" w:rsidR="001B4767" w:rsidRPr="00DA7486" w:rsidRDefault="001B476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202CB6" w:rsidRPr="00DA7486">
        <w:rPr>
          <w:rFonts w:ascii="Times New Roman" w:hAnsi="Times New Roman" w:cs="Times New Roman"/>
        </w:rPr>
        <w:t>Arusha Agreement, preamble and article 6 (2).</w:t>
      </w:r>
    </w:p>
  </w:footnote>
  <w:footnote w:id="46">
    <w:p w14:paraId="1262E7BF" w14:textId="60F7E25D" w:rsidR="00080685" w:rsidRPr="00DA7486" w:rsidRDefault="0008068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72F3D53A" w:rsidRPr="00DA7486">
        <w:rPr>
          <w:rFonts w:ascii="Times New Roman" w:hAnsi="Times New Roman" w:cs="Times New Roman"/>
        </w:rPr>
        <w:t xml:space="preserve"> Ibid.</w:t>
      </w:r>
    </w:p>
  </w:footnote>
  <w:footnote w:id="47">
    <w:p w14:paraId="31A044B2" w14:textId="5F4837BB" w:rsidR="00572161" w:rsidRPr="00DA7486" w:rsidRDefault="0057216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435CD149" w:rsidRPr="00DA7486">
        <w:rPr>
          <w:rFonts w:ascii="Times New Roman" w:hAnsi="Times New Roman" w:cs="Times New Roman"/>
        </w:rPr>
        <w:t xml:space="preserve"> Ibid, Article 6</w:t>
      </w:r>
      <w:r w:rsidR="721D6889" w:rsidRPr="00DA7486">
        <w:rPr>
          <w:rFonts w:ascii="Times New Roman" w:hAnsi="Times New Roman" w:cs="Times New Roman"/>
        </w:rPr>
        <w:t>.</w:t>
      </w:r>
    </w:p>
  </w:footnote>
  <w:footnote w:id="48">
    <w:p w14:paraId="1344D838" w14:textId="5F6FDC61" w:rsidR="00947900" w:rsidRPr="00DA7486" w:rsidRDefault="00947900"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 </w:t>
      </w:r>
      <w:r w:rsidR="00DE472F" w:rsidRPr="00DA7486">
        <w:rPr>
          <w:rFonts w:ascii="Times New Roman" w:hAnsi="Times New Roman" w:cs="Times New Roman"/>
        </w:rPr>
        <w:t xml:space="preserve">Arusha Agreement, Chapter 2 </w:t>
      </w:r>
      <w:r w:rsidRPr="00DA7486">
        <w:rPr>
          <w:rFonts w:ascii="Times New Roman" w:hAnsi="Times New Roman" w:cs="Times New Roman"/>
        </w:rPr>
        <w:t>articles</w:t>
      </w:r>
      <w:r w:rsidR="00DE472F" w:rsidRPr="00DA7486">
        <w:rPr>
          <w:rFonts w:ascii="Times New Roman" w:hAnsi="Times New Roman" w:cs="Times New Roman"/>
        </w:rPr>
        <w:t xml:space="preserve"> 6 (</w:t>
      </w:r>
      <w:r w:rsidR="007A4E28" w:rsidRPr="00DA7486">
        <w:rPr>
          <w:rFonts w:ascii="Times New Roman" w:hAnsi="Times New Roman" w:cs="Times New Roman"/>
        </w:rPr>
        <w:t>7</w:t>
      </w:r>
      <w:r w:rsidR="00DE472F" w:rsidRPr="00DA7486">
        <w:rPr>
          <w:rFonts w:ascii="Times New Roman" w:hAnsi="Times New Roman" w:cs="Times New Roman"/>
        </w:rPr>
        <w:t>)</w:t>
      </w:r>
      <w:r w:rsidR="00AC5ED3" w:rsidRPr="00DA7486">
        <w:rPr>
          <w:rFonts w:ascii="Times New Roman" w:hAnsi="Times New Roman" w:cs="Times New Roman"/>
        </w:rPr>
        <w:t xml:space="preserve"> - </w:t>
      </w:r>
      <w:r w:rsidR="007A4E28" w:rsidRPr="00DA7486">
        <w:rPr>
          <w:rFonts w:ascii="Times New Roman" w:hAnsi="Times New Roman" w:cs="Times New Roman"/>
        </w:rPr>
        <w:t>6(</w:t>
      </w:r>
      <w:r w:rsidR="00AC5ED3" w:rsidRPr="00DA7486">
        <w:rPr>
          <w:rFonts w:ascii="Times New Roman" w:hAnsi="Times New Roman" w:cs="Times New Roman"/>
        </w:rPr>
        <w:t>10</w:t>
      </w:r>
      <w:r w:rsidR="007A4E28" w:rsidRPr="00DA7486">
        <w:rPr>
          <w:rFonts w:ascii="Times New Roman" w:hAnsi="Times New Roman" w:cs="Times New Roman"/>
        </w:rPr>
        <w:t>)</w:t>
      </w:r>
      <w:r w:rsidR="00AC5ED3" w:rsidRPr="00DA7486">
        <w:rPr>
          <w:rFonts w:ascii="Times New Roman" w:hAnsi="Times New Roman" w:cs="Times New Roman"/>
        </w:rPr>
        <w:t xml:space="preserve">, </w:t>
      </w:r>
      <w:r w:rsidR="009B4134" w:rsidRPr="00DA7486">
        <w:rPr>
          <w:rFonts w:ascii="Times New Roman" w:hAnsi="Times New Roman" w:cs="Times New Roman"/>
        </w:rPr>
        <w:t>17</w:t>
      </w:r>
      <w:r w:rsidR="008A32A0" w:rsidRPr="00DA7486">
        <w:rPr>
          <w:rFonts w:ascii="Times New Roman" w:hAnsi="Times New Roman" w:cs="Times New Roman"/>
        </w:rPr>
        <w:t xml:space="preserve">, </w:t>
      </w:r>
      <w:r w:rsidR="004C3C82" w:rsidRPr="00DA7486">
        <w:rPr>
          <w:rFonts w:ascii="Times New Roman" w:hAnsi="Times New Roman" w:cs="Times New Roman"/>
        </w:rPr>
        <w:t>and 18.</w:t>
      </w:r>
    </w:p>
  </w:footnote>
  <w:footnote w:id="49">
    <w:p w14:paraId="695CA45C" w14:textId="0F2BB1B4" w:rsidR="00531234" w:rsidRPr="00DA7486" w:rsidRDefault="0053123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692ADA" w:rsidRPr="00DA7486">
        <w:rPr>
          <w:rFonts w:ascii="Times New Roman" w:hAnsi="Times New Roman" w:cs="Times New Roman"/>
        </w:rPr>
        <w:t xml:space="preserve"> United Nations Security Council, </w:t>
      </w:r>
      <w:r w:rsidR="00692ADA" w:rsidRPr="00DA7486">
        <w:rPr>
          <w:rFonts w:ascii="Times New Roman" w:hAnsi="Times New Roman" w:cs="Times New Roman"/>
          <w:i/>
          <w:iCs/>
        </w:rPr>
        <w:t>Letter dated 11 March 2005 from the Secretary-General addressed to the President of the Security Council (</w:t>
      </w:r>
      <w:proofErr w:type="spellStart"/>
      <w:r w:rsidR="00692ADA" w:rsidRPr="00DA7486">
        <w:rPr>
          <w:rFonts w:ascii="Times New Roman" w:hAnsi="Times New Roman" w:cs="Times New Roman"/>
          <w:i/>
          <w:iCs/>
        </w:rPr>
        <w:t>Kalomoh</w:t>
      </w:r>
      <w:proofErr w:type="spellEnd"/>
      <w:r w:rsidR="00692ADA" w:rsidRPr="00DA7486">
        <w:rPr>
          <w:rFonts w:ascii="Times New Roman" w:hAnsi="Times New Roman" w:cs="Times New Roman"/>
          <w:i/>
          <w:iCs/>
        </w:rPr>
        <w:t xml:space="preserve"> Report) </w:t>
      </w:r>
      <w:r w:rsidR="00692ADA" w:rsidRPr="00DA7486">
        <w:rPr>
          <w:rFonts w:ascii="Times New Roman" w:hAnsi="Times New Roman" w:cs="Times New Roman"/>
        </w:rPr>
        <w:t>(11 March 2005) UN Doc S/2005/158</w:t>
      </w:r>
      <w:r w:rsidR="2F56BF9C" w:rsidRPr="00DA7486">
        <w:rPr>
          <w:rFonts w:ascii="Times New Roman" w:hAnsi="Times New Roman" w:cs="Times New Roman"/>
        </w:rPr>
        <w:t xml:space="preserve"> para </w:t>
      </w:r>
      <w:r w:rsidR="68B2938D" w:rsidRPr="00DA7486">
        <w:rPr>
          <w:rFonts w:ascii="Times New Roman" w:hAnsi="Times New Roman" w:cs="Times New Roman"/>
        </w:rPr>
        <w:t>53-66.</w:t>
      </w:r>
      <w:r w:rsidR="00692ADA" w:rsidRPr="00DA7486">
        <w:rPr>
          <w:rFonts w:ascii="Times New Roman" w:hAnsi="Times New Roman" w:cs="Times New Roman"/>
        </w:rPr>
        <w:t xml:space="preserve"> </w:t>
      </w:r>
    </w:p>
  </w:footnote>
  <w:footnote w:id="50">
    <w:p w14:paraId="5F7C7DE7" w14:textId="41EFE1BA" w:rsidR="00531234" w:rsidRPr="00DA7486" w:rsidRDefault="0053123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7EA78033" w:rsidRPr="00DA7486">
        <w:rPr>
          <w:rFonts w:ascii="Times New Roman" w:hAnsi="Times New Roman" w:cs="Times New Roman"/>
        </w:rPr>
        <w:t xml:space="preserve"> </w:t>
      </w:r>
      <w:r w:rsidR="4197FE7A" w:rsidRPr="00DA7486">
        <w:rPr>
          <w:rFonts w:ascii="Times New Roman" w:hAnsi="Times New Roman" w:cs="Times New Roman"/>
        </w:rPr>
        <w:t>U</w:t>
      </w:r>
      <w:r w:rsidR="4197FE7A" w:rsidRPr="00DA7486">
        <w:rPr>
          <w:rFonts w:ascii="Times New Roman" w:hAnsi="Times New Roman" w:cs="Times New Roman"/>
          <w:color w:val="3F3F3F"/>
        </w:rPr>
        <w:t>N</w:t>
      </w:r>
      <w:r w:rsidR="7EA78033" w:rsidRPr="00DA7486">
        <w:rPr>
          <w:rFonts w:ascii="Times New Roman" w:hAnsi="Times New Roman" w:cs="Times New Roman"/>
          <w:color w:val="3F3F3F"/>
        </w:rPr>
        <w:t xml:space="preserve"> Security Council, </w:t>
      </w:r>
      <w:r w:rsidR="7EA78033" w:rsidRPr="00DA7486">
        <w:rPr>
          <w:rFonts w:ascii="Times New Roman" w:hAnsi="Times New Roman" w:cs="Times New Roman"/>
          <w:i/>
          <w:iCs/>
          <w:color w:val="3F3F3F"/>
        </w:rPr>
        <w:t>Security Council resolution 1606 (2005) [on the process of the Peace and Reconciliation Agreement for Burundi</w:t>
      </w:r>
      <w:r w:rsidR="4197FE7A" w:rsidRPr="00DA7486">
        <w:rPr>
          <w:rFonts w:ascii="Times New Roman" w:hAnsi="Times New Roman" w:cs="Times New Roman"/>
          <w:i/>
          <w:iCs/>
          <w:color w:val="3F3F3F"/>
        </w:rPr>
        <w:t>] (</w:t>
      </w:r>
      <w:r w:rsidR="7EA78033" w:rsidRPr="00DA7486">
        <w:rPr>
          <w:rFonts w:ascii="Times New Roman" w:hAnsi="Times New Roman" w:cs="Times New Roman"/>
          <w:color w:val="3F3F3F"/>
        </w:rPr>
        <w:t>20 June 2005</w:t>
      </w:r>
      <w:r w:rsidR="4197FE7A" w:rsidRPr="00DA7486">
        <w:rPr>
          <w:rFonts w:ascii="Times New Roman" w:hAnsi="Times New Roman" w:cs="Times New Roman"/>
          <w:color w:val="3F3F3F"/>
        </w:rPr>
        <w:t>) UN Doc</w:t>
      </w:r>
      <w:r w:rsidR="7EA78033" w:rsidRPr="00DA7486">
        <w:rPr>
          <w:rFonts w:ascii="Times New Roman" w:hAnsi="Times New Roman" w:cs="Times New Roman"/>
          <w:color w:val="3F3F3F"/>
        </w:rPr>
        <w:t xml:space="preserve"> S/RES/1606</w:t>
      </w:r>
      <w:r w:rsidR="6BC906D3" w:rsidRPr="00DA7486">
        <w:rPr>
          <w:rFonts w:ascii="Times New Roman" w:hAnsi="Times New Roman" w:cs="Times New Roman"/>
          <w:color w:val="3F3F3F"/>
        </w:rPr>
        <w:t>.</w:t>
      </w:r>
      <w:r w:rsidR="7EA78033" w:rsidRPr="00DA7486">
        <w:rPr>
          <w:rFonts w:ascii="Times New Roman" w:hAnsi="Times New Roman" w:cs="Times New Roman"/>
        </w:rPr>
        <w:t xml:space="preserve"> </w:t>
      </w:r>
    </w:p>
  </w:footnote>
  <w:footnote w:id="51">
    <w:p w14:paraId="20A93364" w14:textId="41C55B12" w:rsidR="002A5333" w:rsidRPr="00DA7486" w:rsidRDefault="002A5333"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 </w:t>
      </w:r>
      <w:r w:rsidR="0B017233" w:rsidRPr="00DA7486">
        <w:rPr>
          <w:rFonts w:ascii="Times New Roman" w:hAnsi="Times New Roman" w:cs="Times New Roman"/>
        </w:rPr>
        <w:t xml:space="preserve">UN Human Rights </w:t>
      </w:r>
      <w:r w:rsidR="65D58547" w:rsidRPr="00DA7486">
        <w:rPr>
          <w:rFonts w:ascii="Times New Roman" w:hAnsi="Times New Roman" w:cs="Times New Roman"/>
        </w:rPr>
        <w:t xml:space="preserve">Council, </w:t>
      </w:r>
      <w:r w:rsidR="00CA0FC7" w:rsidRPr="00DA7486">
        <w:rPr>
          <w:rFonts w:ascii="Times New Roman" w:hAnsi="Times New Roman" w:cs="Times New Roman"/>
        </w:rPr>
        <w:t>‘</w:t>
      </w:r>
      <w:r w:rsidR="4B44D50D" w:rsidRPr="00DA7486">
        <w:rPr>
          <w:rFonts w:ascii="Times New Roman" w:hAnsi="Times New Roman" w:cs="Times New Roman"/>
        </w:rPr>
        <w:t>Report</w:t>
      </w:r>
      <w:r w:rsidR="65D58547" w:rsidRPr="00DA7486">
        <w:rPr>
          <w:rFonts w:ascii="Times New Roman" w:hAnsi="Times New Roman" w:cs="Times New Roman"/>
        </w:rPr>
        <w:t xml:space="preserve"> of the Special Rapporteur on the promotion of truth, justice, reparation and guarantees of non-recurrence, Pablo de </w:t>
      </w:r>
      <w:proofErr w:type="spellStart"/>
      <w:r w:rsidR="65D58547" w:rsidRPr="00DA7486">
        <w:rPr>
          <w:rFonts w:ascii="Times New Roman" w:hAnsi="Times New Roman" w:cs="Times New Roman"/>
        </w:rPr>
        <w:t>Greiff</w:t>
      </w:r>
      <w:proofErr w:type="spellEnd"/>
      <w:r w:rsidR="00CA0FC7" w:rsidRPr="00DA7486">
        <w:rPr>
          <w:rFonts w:ascii="Times New Roman" w:hAnsi="Times New Roman" w:cs="Times New Roman"/>
        </w:rPr>
        <w:t>’</w:t>
      </w:r>
      <w:r w:rsidR="0A7D78A2" w:rsidRPr="00DA7486">
        <w:rPr>
          <w:rFonts w:ascii="Times New Roman" w:hAnsi="Times New Roman" w:cs="Times New Roman"/>
        </w:rPr>
        <w:t>(</w:t>
      </w:r>
      <w:r w:rsidR="28D6A7E8" w:rsidRPr="00DA7486">
        <w:rPr>
          <w:rFonts w:ascii="Times New Roman" w:hAnsi="Times New Roman" w:cs="Times New Roman"/>
        </w:rPr>
        <w:t xml:space="preserve">10 </w:t>
      </w:r>
      <w:r w:rsidR="1A761454" w:rsidRPr="00DA7486">
        <w:rPr>
          <w:rFonts w:ascii="Times New Roman" w:hAnsi="Times New Roman" w:cs="Times New Roman"/>
        </w:rPr>
        <w:t>August</w:t>
      </w:r>
      <w:r w:rsidR="59D58E4C" w:rsidRPr="00DA7486">
        <w:rPr>
          <w:rFonts w:ascii="Times New Roman" w:hAnsi="Times New Roman" w:cs="Times New Roman"/>
        </w:rPr>
        <w:t xml:space="preserve"> 2015)</w:t>
      </w:r>
      <w:r w:rsidR="00D93744" w:rsidRPr="00DA7486">
        <w:rPr>
          <w:rFonts w:ascii="Times New Roman" w:hAnsi="Times New Roman" w:cs="Times New Roman"/>
        </w:rPr>
        <w:t xml:space="preserve"> </w:t>
      </w:r>
      <w:r w:rsidR="617EB8A2" w:rsidRPr="00DA7486">
        <w:rPr>
          <w:rFonts w:ascii="Times New Roman" w:hAnsi="Times New Roman" w:cs="Times New Roman"/>
        </w:rPr>
        <w:t xml:space="preserve">UN Doc </w:t>
      </w:r>
      <w:r w:rsidR="00D93744" w:rsidRPr="00DA7486">
        <w:rPr>
          <w:rFonts w:ascii="Times New Roman" w:hAnsi="Times New Roman" w:cs="Times New Roman"/>
        </w:rPr>
        <w:t>A/HRC/30/42/Add.1</w:t>
      </w:r>
      <w:r w:rsidR="008E300F" w:rsidRPr="00DA7486">
        <w:rPr>
          <w:rFonts w:ascii="Times New Roman" w:hAnsi="Times New Roman" w:cs="Times New Roman"/>
        </w:rPr>
        <w:t xml:space="preserve"> </w:t>
      </w:r>
      <w:r w:rsidR="1798D33D" w:rsidRPr="00DA7486">
        <w:rPr>
          <w:rFonts w:ascii="Times New Roman" w:hAnsi="Times New Roman" w:cs="Times New Roman"/>
        </w:rPr>
        <w:t xml:space="preserve">para </w:t>
      </w:r>
      <w:r w:rsidR="09383FA9" w:rsidRPr="00DA7486">
        <w:rPr>
          <w:rFonts w:ascii="Times New Roman" w:hAnsi="Times New Roman" w:cs="Times New Roman"/>
        </w:rPr>
        <w:t>109-</w:t>
      </w:r>
      <w:r w:rsidR="0A0B8431" w:rsidRPr="00DA7486">
        <w:rPr>
          <w:rFonts w:ascii="Times New Roman" w:hAnsi="Times New Roman" w:cs="Times New Roman"/>
        </w:rPr>
        <w:t>112</w:t>
      </w:r>
      <w:r w:rsidR="672B629A" w:rsidRPr="00DA7486">
        <w:rPr>
          <w:rFonts w:ascii="Times New Roman" w:hAnsi="Times New Roman" w:cs="Times New Roman"/>
        </w:rPr>
        <w:t>.</w:t>
      </w:r>
    </w:p>
  </w:footnote>
  <w:footnote w:id="52">
    <w:p w14:paraId="4255A54B" w14:textId="780E6C86" w:rsidR="007D2962" w:rsidRPr="00DA7486" w:rsidRDefault="007D2962"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E2B1C7" w:rsidRPr="00DA7486">
        <w:rPr>
          <w:rFonts w:ascii="Times New Roman" w:hAnsi="Times New Roman" w:cs="Times New Roman"/>
        </w:rPr>
        <w:t xml:space="preserve"> See African Commission on Human and Peoples’ Rights, Report of the Delegation of the African Commission on Human and Peoples’ Rights on its Fact-Finding Mission to Burundi 7 - 13 December 2015’ para 172-173 available at </w:t>
      </w:r>
      <w:hyperlink r:id="rId11">
        <w:r w:rsidR="00E2B1C7" w:rsidRPr="00DA7486">
          <w:rPr>
            <w:rStyle w:val="Hyperlink"/>
            <w:rFonts w:ascii="Times New Roman" w:hAnsi="Times New Roman" w:cs="Times New Roman"/>
          </w:rPr>
          <w:t>https://bit.ly/3CNJ9JY</w:t>
        </w:r>
      </w:hyperlink>
      <w:r w:rsidR="00E2B1C7" w:rsidRPr="00DA7486">
        <w:rPr>
          <w:rFonts w:ascii="Times New Roman" w:hAnsi="Times New Roman" w:cs="Times New Roman"/>
        </w:rPr>
        <w:t xml:space="preserve">  accessed 14 January 2023</w:t>
      </w:r>
    </w:p>
  </w:footnote>
  <w:footnote w:id="53">
    <w:p w14:paraId="27A1403B" w14:textId="1398F393" w:rsidR="00C426F4" w:rsidRPr="00DA7486" w:rsidRDefault="00C426F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E2B1C7" w:rsidRPr="00DA7486">
        <w:rPr>
          <w:rFonts w:ascii="Times New Roman" w:hAnsi="Times New Roman" w:cs="Times New Roman"/>
        </w:rPr>
        <w:t xml:space="preserve"> See United Nations Peacebuilding Commission, ‘Identical letters dated 21 June 2007 from the Chairman of the Burundi configuration of the Peacebuilding Commission to the President of the Security Council, the President of the General Assembly and the President of the Economic and Social Council’ (22 June 2007) UN Doc PBC/1/BDI/4, Annex - Strategic Framework for Peacebuilding in Burundi, para 29-31.</w:t>
      </w:r>
    </w:p>
  </w:footnote>
  <w:footnote w:id="54">
    <w:p w14:paraId="7281FEAD" w14:textId="408B5712" w:rsidR="00DB00EF" w:rsidRPr="00DA7486" w:rsidRDefault="00DB00EF"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0E2B1C7" w:rsidRPr="00DA7486">
        <w:rPr>
          <w:rFonts w:ascii="Times New Roman" w:hAnsi="Times New Roman" w:cs="Times New Roman"/>
        </w:rPr>
        <w:t xml:space="preserve"> UN Human Rights Council, ‘Report of the Special Rapporteur on the promotion of truth, justice, reparation and guarantees of non-recurrence, Pablo de </w:t>
      </w:r>
      <w:proofErr w:type="spellStart"/>
      <w:r w:rsidR="00E2B1C7" w:rsidRPr="00DA7486">
        <w:rPr>
          <w:rFonts w:ascii="Times New Roman" w:hAnsi="Times New Roman" w:cs="Times New Roman"/>
        </w:rPr>
        <w:t>Greiff</w:t>
      </w:r>
      <w:proofErr w:type="spellEnd"/>
      <w:r w:rsidR="00E2B1C7" w:rsidRPr="00DA7486">
        <w:rPr>
          <w:rFonts w:ascii="Times New Roman" w:hAnsi="Times New Roman" w:cs="Times New Roman"/>
        </w:rPr>
        <w:t xml:space="preserve">’(10 August 2015) UN Doc A/HRC/30/42/Add.1 para 37-46. </w:t>
      </w:r>
    </w:p>
  </w:footnote>
  <w:footnote w:id="55">
    <w:p w14:paraId="0C07D98F" w14:textId="41EB501B" w:rsidR="000D3F5B" w:rsidRPr="00DA7486" w:rsidRDefault="000D3F5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9D11516" w:rsidRPr="00DA7486">
        <w:rPr>
          <w:rFonts w:ascii="Times New Roman" w:hAnsi="Times New Roman" w:cs="Times New Roman"/>
        </w:rPr>
        <w:t xml:space="preserve"> See OHCHR, ’Pre-election violence endangers Burundi’s young democracy, UN rights experts warn‘ (30 April 2015) available at &lt;</w:t>
      </w:r>
      <w:r w:rsidR="004D2D41" w:rsidRPr="004D2D41">
        <w:t xml:space="preserve"> </w:t>
      </w:r>
      <w:hyperlink r:id="rId12" w:history="1">
        <w:r w:rsidR="004D2D41" w:rsidRPr="0059179E">
          <w:rPr>
            <w:rStyle w:val="Hyperlink"/>
            <w:rFonts w:ascii="Times New Roman" w:hAnsi="Times New Roman" w:cs="Times New Roman"/>
          </w:rPr>
          <w:t>https://bit.ly/3kbYFJ7</w:t>
        </w:r>
      </w:hyperlink>
      <w:r w:rsidR="004D2D41">
        <w:rPr>
          <w:rFonts w:ascii="Times New Roman" w:hAnsi="Times New Roman" w:cs="Times New Roman"/>
        </w:rPr>
        <w:t xml:space="preserve">&gt; </w:t>
      </w:r>
      <w:r w:rsidR="09D11516" w:rsidRPr="00DA7486">
        <w:rPr>
          <w:rFonts w:ascii="Times New Roman" w:hAnsi="Times New Roman" w:cs="Times New Roman"/>
        </w:rPr>
        <w:t xml:space="preserve"> accessed 14 January 2023.</w:t>
      </w:r>
    </w:p>
  </w:footnote>
  <w:footnote w:id="56">
    <w:p w14:paraId="25BD80A6" w14:textId="12BA1E90" w:rsidR="00ED49AA" w:rsidRPr="00DA7486" w:rsidRDefault="00ED49A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586AD67D" w:rsidRPr="00DA7486">
        <w:rPr>
          <w:rFonts w:ascii="Times New Roman" w:hAnsi="Times New Roman" w:cs="Times New Roman"/>
        </w:rPr>
        <w:t xml:space="preserve"> UN Human Rights Council, </w:t>
      </w:r>
      <w:r w:rsidR="0036445E" w:rsidRPr="00DA7486">
        <w:rPr>
          <w:rFonts w:ascii="Times New Roman" w:hAnsi="Times New Roman" w:cs="Times New Roman"/>
        </w:rPr>
        <w:t>‘</w:t>
      </w:r>
      <w:r w:rsidR="586AD67D" w:rsidRPr="00DA7486">
        <w:rPr>
          <w:rFonts w:ascii="Times New Roman" w:hAnsi="Times New Roman" w:cs="Times New Roman"/>
        </w:rPr>
        <w:t xml:space="preserve">Report on the Situation of Human Rights in Burundi, </w:t>
      </w:r>
      <w:r w:rsidR="586AD67D" w:rsidRPr="00DA7486">
        <w:rPr>
          <w:rFonts w:ascii="Times New Roman" w:eastAsia="Times New Roman" w:hAnsi="Times New Roman" w:cs="Times New Roman"/>
          <w:lang w:val="fr"/>
        </w:rPr>
        <w:t xml:space="preserve">Fortuné </w:t>
      </w:r>
      <w:proofErr w:type="spellStart"/>
      <w:r w:rsidR="586AD67D" w:rsidRPr="00DA7486">
        <w:rPr>
          <w:rFonts w:ascii="Times New Roman" w:eastAsia="Times New Roman" w:hAnsi="Times New Roman" w:cs="Times New Roman"/>
          <w:lang w:val="fr"/>
        </w:rPr>
        <w:t>Gaetan</w:t>
      </w:r>
      <w:proofErr w:type="spellEnd"/>
      <w:r w:rsidR="586AD67D" w:rsidRPr="00DA7486">
        <w:rPr>
          <w:rFonts w:ascii="Times New Roman" w:eastAsia="Times New Roman" w:hAnsi="Times New Roman" w:cs="Times New Roman"/>
          <w:lang w:val="fr"/>
        </w:rPr>
        <w:t xml:space="preserve"> Zongo</w:t>
      </w:r>
      <w:r w:rsidR="0036445E" w:rsidRPr="00DA7486">
        <w:rPr>
          <w:rFonts w:ascii="Times New Roman" w:eastAsia="Times New Roman" w:hAnsi="Times New Roman" w:cs="Times New Roman"/>
          <w:lang w:val="fr"/>
        </w:rPr>
        <w:t xml:space="preserve">’ </w:t>
      </w:r>
      <w:r w:rsidR="586AD67D" w:rsidRPr="00DA7486">
        <w:rPr>
          <w:rFonts w:ascii="Times New Roman" w:eastAsia="Times New Roman" w:hAnsi="Times New Roman" w:cs="Times New Roman"/>
          <w:lang w:val="fr"/>
        </w:rPr>
        <w:t xml:space="preserve">(13 </w:t>
      </w:r>
      <w:proofErr w:type="spellStart"/>
      <w:r w:rsidR="586AD67D" w:rsidRPr="00DA7486">
        <w:rPr>
          <w:rFonts w:ascii="Times New Roman" w:eastAsia="Times New Roman" w:hAnsi="Times New Roman" w:cs="Times New Roman"/>
          <w:lang w:val="fr"/>
        </w:rPr>
        <w:t>September</w:t>
      </w:r>
      <w:proofErr w:type="spellEnd"/>
      <w:r w:rsidR="586AD67D" w:rsidRPr="00DA7486">
        <w:rPr>
          <w:rFonts w:ascii="Times New Roman" w:eastAsia="Times New Roman" w:hAnsi="Times New Roman" w:cs="Times New Roman"/>
          <w:lang w:val="fr"/>
        </w:rPr>
        <w:t xml:space="preserve"> 2022) UN Doc A/HRC/51/44 </w:t>
      </w:r>
      <w:r w:rsidR="586AD67D" w:rsidRPr="00DA7486">
        <w:rPr>
          <w:rFonts w:ascii="Times New Roman" w:hAnsi="Times New Roman" w:cs="Times New Roman"/>
        </w:rPr>
        <w:t>paras 39-42.</w:t>
      </w:r>
    </w:p>
  </w:footnote>
  <w:footnote w:id="57">
    <w:p w14:paraId="2949154E" w14:textId="06048FCD" w:rsidR="00B90D3E" w:rsidRPr="00DA7486" w:rsidRDefault="00B90D3E" w:rsidP="00DA7486">
      <w:pPr>
        <w:pStyle w:val="FootnoteText"/>
        <w:jc w:val="both"/>
        <w:rPr>
          <w:rFonts w:ascii="Times New Roman" w:hAnsi="Times New Roman" w:cs="Times New Roman"/>
          <w:i/>
        </w:rPr>
      </w:pPr>
      <w:r w:rsidRPr="00DA7486">
        <w:rPr>
          <w:rStyle w:val="FootnoteReference"/>
          <w:rFonts w:ascii="Times New Roman" w:hAnsi="Times New Roman" w:cs="Times New Roman"/>
        </w:rPr>
        <w:footnoteRef/>
      </w:r>
      <w:r w:rsidR="7FDFB7CD" w:rsidRPr="00DA7486">
        <w:rPr>
          <w:rFonts w:ascii="Times New Roman" w:hAnsi="Times New Roman" w:cs="Times New Roman"/>
        </w:rPr>
        <w:t xml:space="preserve"> See </w:t>
      </w:r>
      <w:r w:rsidR="7FDFB7CD" w:rsidRPr="00DA7486">
        <w:rPr>
          <w:rFonts w:ascii="Times New Roman" w:hAnsi="Times New Roman" w:cs="Times New Roman"/>
          <w:i/>
          <w:iCs/>
        </w:rPr>
        <w:t>Report of the International Commission of Inquiry on Darfur to the United Nations Secretary-General</w:t>
      </w:r>
      <w:r w:rsidR="7FDFB7CD" w:rsidRPr="00DA7486">
        <w:rPr>
          <w:rFonts w:ascii="Times New Roman" w:hAnsi="Times New Roman" w:cs="Times New Roman"/>
        </w:rPr>
        <w:t xml:space="preserve"> </w:t>
      </w:r>
      <w:r w:rsidR="7FDFB7CD" w:rsidRPr="00DA7486">
        <w:rPr>
          <w:rFonts w:ascii="Times New Roman" w:hAnsi="Times New Roman" w:cs="Times New Roman"/>
          <w:i/>
          <w:iCs/>
        </w:rPr>
        <w:t xml:space="preserve">Pursuant to Security Council Resolution 1564 of 18 September 2004 </w:t>
      </w:r>
      <w:r w:rsidR="7FDFB7CD" w:rsidRPr="00DA7486">
        <w:rPr>
          <w:rFonts w:ascii="Times New Roman" w:hAnsi="Times New Roman" w:cs="Times New Roman"/>
        </w:rPr>
        <w:t xml:space="preserve">(25 January 2005) paras 333 - 338 available at </w:t>
      </w:r>
      <w:hyperlink r:id="rId13">
        <w:r w:rsidR="7FDFB7CD" w:rsidRPr="00DA7486">
          <w:rPr>
            <w:rStyle w:val="Hyperlink"/>
            <w:rFonts w:ascii="Times New Roman" w:hAnsi="Times New Roman" w:cs="Times New Roman"/>
          </w:rPr>
          <w:t>https://www.legal-tools.org/doc/1480de/pdf/</w:t>
        </w:r>
      </w:hyperlink>
      <w:r w:rsidR="7FDFB7CD" w:rsidRPr="00DA7486">
        <w:rPr>
          <w:rFonts w:ascii="Times New Roman" w:hAnsi="Times New Roman" w:cs="Times New Roman"/>
        </w:rPr>
        <w:t xml:space="preserve"> accessed 14 January 2023.</w:t>
      </w:r>
    </w:p>
  </w:footnote>
  <w:footnote w:id="58">
    <w:p w14:paraId="529F1B2C" w14:textId="18A96D4E" w:rsidR="00A66C32" w:rsidRPr="00DA7486" w:rsidRDefault="00A66C32"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0491DB1" w:rsidRPr="00DA7486">
        <w:rPr>
          <w:rFonts w:ascii="Times New Roman" w:hAnsi="Times New Roman" w:cs="Times New Roman"/>
        </w:rPr>
        <w:t xml:space="preserve"> Alex Cobham, </w:t>
      </w:r>
      <w:r w:rsidR="0036445E" w:rsidRPr="00DA7486">
        <w:rPr>
          <w:rFonts w:ascii="Times New Roman" w:hAnsi="Times New Roman" w:cs="Times New Roman"/>
        </w:rPr>
        <w:t>‘</w:t>
      </w:r>
      <w:r w:rsidR="60491DB1" w:rsidRPr="00DA7486">
        <w:rPr>
          <w:rFonts w:ascii="Times New Roman" w:hAnsi="Times New Roman" w:cs="Times New Roman"/>
        </w:rPr>
        <w:t>Causes of Conflict in Sudan: Testing The Black Book</w:t>
      </w:r>
      <w:r w:rsidR="0036445E" w:rsidRPr="00DA7486">
        <w:rPr>
          <w:rFonts w:ascii="Times New Roman" w:hAnsi="Times New Roman" w:cs="Times New Roman"/>
        </w:rPr>
        <w:t>’</w:t>
      </w:r>
      <w:r w:rsidR="60491DB1" w:rsidRPr="00DA7486">
        <w:rPr>
          <w:rFonts w:ascii="Times New Roman" w:hAnsi="Times New Roman" w:cs="Times New Roman"/>
        </w:rPr>
        <w:t xml:space="preserve"> (2005) 17 (3) The European Journal of Development Research 462-480; Douglas Johnson and Douglas H Johnson, </w:t>
      </w:r>
      <w:r w:rsidR="60491DB1" w:rsidRPr="00DA7486">
        <w:rPr>
          <w:rFonts w:ascii="Times New Roman" w:hAnsi="Times New Roman" w:cs="Times New Roman"/>
          <w:i/>
          <w:iCs/>
        </w:rPr>
        <w:t xml:space="preserve">The Root Causes of Sudan's Civil Wars Old Wars and New Wars [Expanded 3rd Edition] </w:t>
      </w:r>
      <w:r w:rsidR="60491DB1" w:rsidRPr="00DA7486">
        <w:rPr>
          <w:rFonts w:ascii="Times New Roman" w:hAnsi="Times New Roman" w:cs="Times New Roman"/>
        </w:rPr>
        <w:t xml:space="preserve">(Boydell &amp; Brewer 2016); </w:t>
      </w:r>
      <w:r w:rsidR="60491DB1" w:rsidRPr="00DA7486">
        <w:rPr>
          <w:rFonts w:ascii="Times New Roman" w:hAnsi="Times New Roman" w:cs="Times New Roman"/>
          <w:color w:val="3F3F3F"/>
        </w:rPr>
        <w:t xml:space="preserve">African Union, </w:t>
      </w:r>
      <w:r w:rsidR="60491DB1" w:rsidRPr="00DA7486">
        <w:rPr>
          <w:rFonts w:ascii="Times New Roman" w:hAnsi="Times New Roman" w:cs="Times New Roman"/>
          <w:i/>
          <w:iCs/>
          <w:color w:val="3F3F3F"/>
        </w:rPr>
        <w:t>Report of the African Union: High Level Panel on Darfur (AUPD)</w:t>
      </w:r>
      <w:r w:rsidR="60491DB1" w:rsidRPr="00DA7486">
        <w:rPr>
          <w:rFonts w:ascii="Times New Roman" w:hAnsi="Times New Roman" w:cs="Times New Roman"/>
          <w:color w:val="3F3F3F"/>
        </w:rPr>
        <w:t>, 29 October 2009, PSC/AHG/2(CCVII)</w:t>
      </w:r>
      <w:r w:rsidR="60491DB1" w:rsidRPr="00DA7486">
        <w:rPr>
          <w:rFonts w:ascii="Times New Roman" w:hAnsi="Times New Roman" w:cs="Times New Roman"/>
        </w:rPr>
        <w:t xml:space="preserve"> para 198.</w:t>
      </w:r>
    </w:p>
  </w:footnote>
  <w:footnote w:id="59">
    <w:p w14:paraId="6108BDA5" w14:textId="29BA183C" w:rsidR="00047DF6" w:rsidRPr="00DA7486" w:rsidRDefault="00047DF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7FDFB7CD" w:rsidRPr="00DA7486">
        <w:rPr>
          <w:rFonts w:ascii="Times New Roman" w:hAnsi="Times New Roman" w:cs="Times New Roman"/>
        </w:rPr>
        <w:t xml:space="preserve">  European Parliament, </w:t>
      </w:r>
      <w:r w:rsidR="0036445E" w:rsidRPr="00DA7486">
        <w:rPr>
          <w:rFonts w:ascii="Times New Roman" w:hAnsi="Times New Roman" w:cs="Times New Roman"/>
        </w:rPr>
        <w:t>‘</w:t>
      </w:r>
      <w:r w:rsidR="7FDFB7CD" w:rsidRPr="00DA7486">
        <w:rPr>
          <w:rFonts w:ascii="Times New Roman" w:hAnsi="Times New Roman" w:cs="Times New Roman"/>
        </w:rPr>
        <w:t xml:space="preserve">Background Note on the Political and Human Rights Situation in Sudan and Darfur’ (2007) 1 available at </w:t>
      </w:r>
      <w:hyperlink r:id="rId14">
        <w:r w:rsidR="7FDFB7CD" w:rsidRPr="00DA7486">
          <w:rPr>
            <w:rStyle w:val="Hyperlink"/>
            <w:rFonts w:ascii="Times New Roman" w:hAnsi="Times New Roman" w:cs="Times New Roman"/>
          </w:rPr>
          <w:t>https://bit.ly/3kk5J6w</w:t>
        </w:r>
      </w:hyperlink>
      <w:r w:rsidR="7FDFB7CD" w:rsidRPr="00DA7486">
        <w:rPr>
          <w:rFonts w:ascii="Times New Roman" w:hAnsi="Times New Roman" w:cs="Times New Roman"/>
        </w:rPr>
        <w:t xml:space="preserve">  accessed 14 January 2023.</w:t>
      </w:r>
    </w:p>
  </w:footnote>
  <w:footnote w:id="60">
    <w:p w14:paraId="43A65678" w14:textId="5A8EADED" w:rsidR="00147EC6" w:rsidRPr="00DA7486" w:rsidRDefault="00147EC6" w:rsidP="00DA7486">
      <w:pPr>
        <w:pStyle w:val="FootnoteText"/>
        <w:jc w:val="both"/>
        <w:rPr>
          <w:rFonts w:ascii="Times New Roman" w:hAnsi="Times New Roman" w:cs="Times New Roman"/>
          <w:b/>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w:t>
      </w:r>
      <w:r w:rsidR="004B6F6F" w:rsidRPr="00DA7486">
        <w:rPr>
          <w:rFonts w:ascii="Times New Roman" w:hAnsi="Times New Roman" w:cs="Times New Roman"/>
        </w:rPr>
        <w:t xml:space="preserve"> </w:t>
      </w:r>
      <w:proofErr w:type="spellStart"/>
      <w:r w:rsidR="004B6F6F" w:rsidRPr="00DA7486">
        <w:rPr>
          <w:rFonts w:ascii="Times New Roman" w:hAnsi="Times New Roman" w:cs="Times New Roman"/>
        </w:rPr>
        <w:t>Kuyang</w:t>
      </w:r>
      <w:proofErr w:type="spellEnd"/>
      <w:r w:rsidR="004B6F6F" w:rsidRPr="00DA7486">
        <w:rPr>
          <w:rFonts w:ascii="Times New Roman" w:hAnsi="Times New Roman" w:cs="Times New Roman"/>
        </w:rPr>
        <w:t xml:space="preserve"> Logo</w:t>
      </w:r>
      <w:r w:rsidR="00AC31ED" w:rsidRPr="00DA7486">
        <w:rPr>
          <w:rFonts w:ascii="Times New Roman" w:hAnsi="Times New Roman" w:cs="Times New Roman"/>
        </w:rPr>
        <w:t xml:space="preserve">, </w:t>
      </w:r>
      <w:r w:rsidR="00066BF7" w:rsidRPr="00DA7486">
        <w:rPr>
          <w:rFonts w:ascii="Times New Roman" w:hAnsi="Times New Roman" w:cs="Times New Roman"/>
        </w:rPr>
        <w:t xml:space="preserve">‘Pushing too hard for transitional justice? </w:t>
      </w:r>
      <w:r w:rsidR="7FDFB7CD" w:rsidRPr="00DA7486">
        <w:rPr>
          <w:rFonts w:ascii="Times New Roman" w:hAnsi="Times New Roman" w:cs="Times New Roman"/>
        </w:rPr>
        <w:t xml:space="preserve">Lessons from South Sudan’ (2021) available at </w:t>
      </w:r>
      <w:hyperlink r:id="rId15">
        <w:r w:rsidR="7FDFB7CD" w:rsidRPr="00DA7486">
          <w:rPr>
            <w:rStyle w:val="Hyperlink"/>
            <w:rFonts w:ascii="Times New Roman" w:hAnsi="Times New Roman" w:cs="Times New Roman"/>
          </w:rPr>
          <w:t>https://bit.ly/3kglCeu</w:t>
        </w:r>
      </w:hyperlink>
      <w:r w:rsidR="7FDFB7CD" w:rsidRPr="00DA7486">
        <w:rPr>
          <w:rFonts w:ascii="Times New Roman" w:hAnsi="Times New Roman" w:cs="Times New Roman"/>
        </w:rPr>
        <w:t xml:space="preserve"> accessed 14 January 2023.</w:t>
      </w:r>
    </w:p>
  </w:footnote>
  <w:footnote w:id="61">
    <w:p w14:paraId="7F1C5968" w14:textId="6190F40D" w:rsidR="007B3949" w:rsidRPr="00DA7486" w:rsidRDefault="007B394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3B99F43" w:rsidRPr="00DA7486">
        <w:rPr>
          <w:rFonts w:ascii="Times New Roman" w:hAnsi="Times New Roman" w:cs="Times New Roman"/>
        </w:rPr>
        <w:t xml:space="preserve"> </w:t>
      </w:r>
      <w:r w:rsidR="05EE5421" w:rsidRPr="00DA7486">
        <w:rPr>
          <w:rFonts w:ascii="Times New Roman" w:eastAsia="Source Sans Pro" w:hAnsi="Times New Roman" w:cs="Times New Roman"/>
          <w:color w:val="3A3A3A"/>
        </w:rPr>
        <w:t>Douglas</w:t>
      </w:r>
      <w:r w:rsidR="03B99F43" w:rsidRPr="00DA7486">
        <w:rPr>
          <w:rFonts w:ascii="Times New Roman" w:eastAsia="Source Sans Pro" w:hAnsi="Times New Roman" w:cs="Times New Roman"/>
          <w:color w:val="3A3A3A"/>
        </w:rPr>
        <w:t xml:space="preserve"> H Johnson. </w:t>
      </w:r>
      <w:r w:rsidR="000E5E5C" w:rsidRPr="00DA7486">
        <w:rPr>
          <w:rFonts w:ascii="Times New Roman" w:eastAsia="Source Sans Pro" w:hAnsi="Times New Roman" w:cs="Times New Roman"/>
          <w:color w:val="3A3A3A"/>
        </w:rPr>
        <w:t>‘</w:t>
      </w:r>
      <w:r w:rsidR="05EE5421" w:rsidRPr="00DA7486">
        <w:rPr>
          <w:rFonts w:ascii="Times New Roman" w:eastAsia="Source Sans Pro" w:hAnsi="Times New Roman" w:cs="Times New Roman"/>
          <w:color w:val="3A3A3A"/>
        </w:rPr>
        <w:t>The</w:t>
      </w:r>
      <w:r w:rsidR="03B99F43" w:rsidRPr="00DA7486">
        <w:rPr>
          <w:rFonts w:ascii="Times New Roman" w:eastAsia="Source Sans Pro" w:hAnsi="Times New Roman" w:cs="Times New Roman"/>
          <w:color w:val="3A3A3A"/>
        </w:rPr>
        <w:t xml:space="preserve"> Political Crisis in South Sudan</w:t>
      </w:r>
      <w:r w:rsidR="000E5E5C" w:rsidRPr="00DA7486">
        <w:rPr>
          <w:rFonts w:ascii="Times New Roman" w:eastAsia="Source Sans Pro" w:hAnsi="Times New Roman" w:cs="Times New Roman"/>
          <w:color w:val="3A3A3A"/>
        </w:rPr>
        <w:t xml:space="preserve">’ </w:t>
      </w:r>
      <w:r w:rsidR="4C92802F" w:rsidRPr="00DA7486">
        <w:rPr>
          <w:rFonts w:ascii="Times New Roman" w:eastAsia="Source Sans Pro" w:hAnsi="Times New Roman" w:cs="Times New Roman"/>
          <w:color w:val="3A3A3A"/>
        </w:rPr>
        <w:t>(</w:t>
      </w:r>
      <w:r w:rsidR="5AF313C3" w:rsidRPr="00DA7486">
        <w:rPr>
          <w:rFonts w:ascii="Times New Roman" w:eastAsia="Source Sans Pro" w:hAnsi="Times New Roman" w:cs="Times New Roman"/>
          <w:color w:val="3A3A3A"/>
        </w:rPr>
        <w:t xml:space="preserve">2014) </w:t>
      </w:r>
      <w:r w:rsidR="5A1FCF3B" w:rsidRPr="00DA7486">
        <w:rPr>
          <w:rFonts w:ascii="Times New Roman" w:eastAsia="Source Sans Pro" w:hAnsi="Times New Roman" w:cs="Times New Roman"/>
          <w:color w:val="3A3A3A"/>
        </w:rPr>
        <w:t>57 (3)</w:t>
      </w:r>
      <w:r w:rsidR="0EC48B32" w:rsidRPr="00DA7486">
        <w:rPr>
          <w:rFonts w:ascii="Times New Roman" w:eastAsia="Source Sans Pro" w:hAnsi="Times New Roman" w:cs="Times New Roman"/>
          <w:color w:val="3A3A3A"/>
        </w:rPr>
        <w:t xml:space="preserve"> </w:t>
      </w:r>
      <w:r w:rsidR="5A1FCF3B" w:rsidRPr="00DA7486">
        <w:rPr>
          <w:rFonts w:ascii="Times New Roman" w:eastAsia="Source Sans Pro" w:hAnsi="Times New Roman" w:cs="Times New Roman"/>
          <w:i/>
          <w:iCs/>
          <w:color w:val="3A3A3A"/>
        </w:rPr>
        <w:t>African</w:t>
      </w:r>
      <w:r w:rsidR="03B99F43" w:rsidRPr="00DA7486">
        <w:rPr>
          <w:rFonts w:ascii="Times New Roman" w:eastAsia="Source Sans Pro" w:hAnsi="Times New Roman" w:cs="Times New Roman"/>
          <w:i/>
          <w:iCs/>
          <w:color w:val="3A3A3A"/>
        </w:rPr>
        <w:t xml:space="preserve"> </w:t>
      </w:r>
      <w:r w:rsidR="0EC48B32" w:rsidRPr="00DA7486">
        <w:rPr>
          <w:rFonts w:ascii="Times New Roman" w:eastAsia="Source Sans Pro" w:hAnsi="Times New Roman" w:cs="Times New Roman"/>
          <w:i/>
          <w:iCs/>
          <w:color w:val="3A3A3A"/>
        </w:rPr>
        <w:t>Studies Review</w:t>
      </w:r>
      <w:r w:rsidR="03B99F43" w:rsidRPr="00DA7486">
        <w:rPr>
          <w:rFonts w:ascii="Times New Roman" w:eastAsia="Source Sans Pro" w:hAnsi="Times New Roman" w:cs="Times New Roman"/>
          <w:color w:val="3A3A3A"/>
        </w:rPr>
        <w:t xml:space="preserve"> 167–174</w:t>
      </w:r>
      <w:r w:rsidR="0EC48B32" w:rsidRPr="00DA7486">
        <w:rPr>
          <w:rFonts w:ascii="Times New Roman" w:hAnsi="Times New Roman" w:cs="Times New Roman"/>
        </w:rPr>
        <w:t>.</w:t>
      </w:r>
    </w:p>
  </w:footnote>
  <w:footnote w:id="62">
    <w:p w14:paraId="426E828B" w14:textId="67904761" w:rsidR="0056421F" w:rsidRPr="00DA7486" w:rsidRDefault="0056421F"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9572EF" w:rsidRPr="00DA7486">
        <w:rPr>
          <w:rFonts w:ascii="Times New Roman" w:hAnsi="Times New Roman" w:cs="Times New Roman"/>
        </w:rPr>
        <w:t>International Crisis Group</w:t>
      </w:r>
      <w:r w:rsidR="0D0FF766" w:rsidRPr="00DA7486">
        <w:rPr>
          <w:rFonts w:ascii="Times New Roman" w:hAnsi="Times New Roman" w:cs="Times New Roman"/>
        </w:rPr>
        <w:t>,</w:t>
      </w:r>
      <w:r w:rsidR="009572EF" w:rsidRPr="00DA7486">
        <w:rPr>
          <w:rFonts w:ascii="Times New Roman" w:hAnsi="Times New Roman" w:cs="Times New Roman"/>
        </w:rPr>
        <w:t xml:space="preserve"> ‘Toward a Viable Future for South Sudan Crisis Report No. </w:t>
      </w:r>
      <w:r w:rsidR="0D0FF766" w:rsidRPr="00DA7486">
        <w:rPr>
          <w:rFonts w:ascii="Times New Roman" w:hAnsi="Times New Roman" w:cs="Times New Roman"/>
        </w:rPr>
        <w:t>300’ (10 February 2021) para (</w:t>
      </w:r>
      <w:proofErr w:type="spellStart"/>
      <w:r w:rsidR="0D0FF766" w:rsidRPr="00DA7486">
        <w:rPr>
          <w:rFonts w:ascii="Times New Roman" w:hAnsi="Times New Roman" w:cs="Times New Roman"/>
        </w:rPr>
        <w:t>i</w:t>
      </w:r>
      <w:proofErr w:type="spellEnd"/>
      <w:r w:rsidR="0D0FF766" w:rsidRPr="00DA7486">
        <w:rPr>
          <w:rFonts w:ascii="Times New Roman" w:hAnsi="Times New Roman" w:cs="Times New Roman"/>
        </w:rPr>
        <w:t>) and (ii)</w:t>
      </w:r>
      <w:r w:rsidR="003D13F5">
        <w:rPr>
          <w:rFonts w:ascii="Times New Roman" w:hAnsi="Times New Roman" w:cs="Times New Roman"/>
        </w:rPr>
        <w:t xml:space="preserve"> </w:t>
      </w:r>
      <w:r w:rsidR="003D13F5" w:rsidRPr="003D13F5">
        <w:rPr>
          <w:rFonts w:ascii="Times New Roman" w:hAnsi="Times New Roman" w:cs="Times New Roman"/>
        </w:rPr>
        <w:t>https://bit.ly/3H4vLDW</w:t>
      </w:r>
      <w:r w:rsidR="0D0FF766" w:rsidRPr="00DA7486">
        <w:rPr>
          <w:rFonts w:ascii="Times New Roman" w:hAnsi="Times New Roman" w:cs="Times New Roman"/>
        </w:rPr>
        <w:t xml:space="preserve">  accessed 14 January 2023. </w:t>
      </w:r>
    </w:p>
  </w:footnote>
  <w:footnote w:id="63">
    <w:p w14:paraId="31EBB790" w14:textId="4AA03DFA" w:rsidR="00B771C9" w:rsidRPr="00DA7486" w:rsidRDefault="00B771C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69BDE15E" w:rsidRPr="00DA7486">
        <w:rPr>
          <w:rFonts w:ascii="Times New Roman" w:hAnsi="Times New Roman" w:cs="Times New Roman"/>
        </w:rPr>
        <w:t>UN</w:t>
      </w:r>
      <w:r w:rsidRPr="00DA7486">
        <w:rPr>
          <w:rFonts w:ascii="Times New Roman" w:hAnsi="Times New Roman" w:cs="Times New Roman"/>
        </w:rPr>
        <w:t xml:space="preserve"> Security Council</w:t>
      </w:r>
      <w:r w:rsidR="0D0FF766" w:rsidRPr="00DA7486">
        <w:rPr>
          <w:rFonts w:ascii="Times New Roman" w:hAnsi="Times New Roman" w:cs="Times New Roman"/>
        </w:rPr>
        <w:t>, Security Council resolution</w:t>
      </w:r>
      <w:r w:rsidRPr="00DA7486">
        <w:rPr>
          <w:rFonts w:ascii="Times New Roman" w:hAnsi="Times New Roman" w:cs="Times New Roman"/>
        </w:rPr>
        <w:t xml:space="preserve"> 2206</w:t>
      </w:r>
      <w:r w:rsidR="08440E27" w:rsidRPr="00DA7486">
        <w:rPr>
          <w:rFonts w:ascii="Times New Roman" w:hAnsi="Times New Roman" w:cs="Times New Roman"/>
        </w:rPr>
        <w:t xml:space="preserve">, </w:t>
      </w:r>
      <w:r w:rsidR="066A3743" w:rsidRPr="00DA7486">
        <w:rPr>
          <w:rFonts w:ascii="Times New Roman" w:hAnsi="Times New Roman" w:cs="Times New Roman"/>
          <w:i/>
          <w:iCs/>
        </w:rPr>
        <w:t>Sanctions Compliance</w:t>
      </w:r>
      <w:r w:rsidRPr="00DA7486">
        <w:rPr>
          <w:rFonts w:ascii="Times New Roman" w:hAnsi="Times New Roman" w:cs="Times New Roman"/>
          <w:i/>
        </w:rPr>
        <w:t xml:space="preserve"> and the </w:t>
      </w:r>
      <w:r w:rsidR="066A3743" w:rsidRPr="00DA7486">
        <w:rPr>
          <w:rFonts w:ascii="Times New Roman" w:hAnsi="Times New Roman" w:cs="Times New Roman"/>
          <w:i/>
          <w:iCs/>
        </w:rPr>
        <w:t>Situation</w:t>
      </w:r>
      <w:r w:rsidRPr="00DA7486">
        <w:rPr>
          <w:rFonts w:ascii="Times New Roman" w:hAnsi="Times New Roman" w:cs="Times New Roman"/>
          <w:i/>
        </w:rPr>
        <w:t xml:space="preserve"> in South Sudan</w:t>
      </w:r>
      <w:r w:rsidR="2D246E2E" w:rsidRPr="00DA7486">
        <w:rPr>
          <w:rFonts w:ascii="Times New Roman" w:hAnsi="Times New Roman" w:cs="Times New Roman"/>
        </w:rPr>
        <w:t xml:space="preserve"> (</w:t>
      </w:r>
      <w:r w:rsidRPr="00DA7486">
        <w:rPr>
          <w:rFonts w:ascii="Times New Roman" w:hAnsi="Times New Roman" w:cs="Times New Roman"/>
        </w:rPr>
        <w:t>3 March</w:t>
      </w:r>
      <w:r w:rsidR="0D0FF766" w:rsidRPr="00DA7486">
        <w:rPr>
          <w:rFonts w:ascii="Times New Roman" w:hAnsi="Times New Roman" w:cs="Times New Roman"/>
        </w:rPr>
        <w:t xml:space="preserve"> 2015</w:t>
      </w:r>
      <w:r w:rsidR="168FD077" w:rsidRPr="00DA7486">
        <w:rPr>
          <w:rFonts w:ascii="Times New Roman" w:hAnsi="Times New Roman" w:cs="Times New Roman"/>
        </w:rPr>
        <w:t>) UN Doc</w:t>
      </w:r>
      <w:r w:rsidRPr="00DA7486">
        <w:rPr>
          <w:rFonts w:ascii="Times New Roman" w:hAnsi="Times New Roman" w:cs="Times New Roman"/>
        </w:rPr>
        <w:t xml:space="preserve"> S/RES/2206</w:t>
      </w:r>
      <w:r w:rsidR="168FD077" w:rsidRPr="00DA7486">
        <w:rPr>
          <w:rFonts w:ascii="Times New Roman" w:hAnsi="Times New Roman" w:cs="Times New Roman"/>
        </w:rPr>
        <w:t xml:space="preserve">, </w:t>
      </w:r>
      <w:r w:rsidRPr="00DA7486">
        <w:rPr>
          <w:rFonts w:ascii="Times New Roman" w:hAnsi="Times New Roman" w:cs="Times New Roman"/>
        </w:rPr>
        <w:t xml:space="preserve">5; For a detailed discussion on reservations to the agreement President Kiir had, see Clayton </w:t>
      </w:r>
      <w:proofErr w:type="spellStart"/>
      <w:r w:rsidRPr="00DA7486">
        <w:rPr>
          <w:rFonts w:ascii="Times New Roman" w:hAnsi="Times New Roman" w:cs="Times New Roman"/>
        </w:rPr>
        <w:t>Hazvinei</w:t>
      </w:r>
      <w:proofErr w:type="spellEnd"/>
      <w:r w:rsidRPr="00DA7486">
        <w:rPr>
          <w:rFonts w:ascii="Times New Roman" w:hAnsi="Times New Roman" w:cs="Times New Roman"/>
        </w:rPr>
        <w:t xml:space="preserve"> </w:t>
      </w:r>
      <w:proofErr w:type="spellStart"/>
      <w:r w:rsidRPr="00DA7486">
        <w:rPr>
          <w:rFonts w:ascii="Times New Roman" w:hAnsi="Times New Roman" w:cs="Times New Roman"/>
        </w:rPr>
        <w:t>Vhumbunu</w:t>
      </w:r>
      <w:proofErr w:type="spellEnd"/>
      <w:r w:rsidRPr="00DA7486">
        <w:rPr>
          <w:rFonts w:ascii="Times New Roman" w:hAnsi="Times New Roman" w:cs="Times New Roman"/>
        </w:rPr>
        <w:t xml:space="preserve">, ‘Conflict Resurgence and the Agreement on the Resolution of the Conflict in the Republic of South Sudan: A Hurried and Imposed Peace Pact?’ (19 October 2016) available at </w:t>
      </w:r>
      <w:hyperlink r:id="rId16" w:history="1">
        <w:r w:rsidR="00561A6D" w:rsidRPr="0059179E">
          <w:rPr>
            <w:rStyle w:val="Hyperlink"/>
            <w:rFonts w:ascii="Times New Roman" w:hAnsi="Times New Roman" w:cs="Times New Roman"/>
          </w:rPr>
          <w:t>https://bit.ly/3ILhfCh</w:t>
        </w:r>
      </w:hyperlink>
      <w:r w:rsidR="00561A6D">
        <w:rPr>
          <w:rFonts w:ascii="Times New Roman" w:hAnsi="Times New Roman" w:cs="Times New Roman"/>
        </w:rPr>
        <w:t xml:space="preserve"> </w:t>
      </w:r>
      <w:r w:rsidR="78832003" w:rsidRPr="00DA7486">
        <w:rPr>
          <w:rFonts w:ascii="Times New Roman" w:hAnsi="Times New Roman" w:cs="Times New Roman"/>
        </w:rPr>
        <w:t>accessed 14 January 2023.</w:t>
      </w:r>
    </w:p>
  </w:footnote>
  <w:footnote w:id="64">
    <w:p w14:paraId="14F28A7E" w14:textId="735948EC" w:rsidR="00C53AFB" w:rsidRPr="00DA7486" w:rsidRDefault="00C53AFB" w:rsidP="00DA7486">
      <w:pPr>
        <w:pStyle w:val="FootnoteText"/>
        <w:jc w:val="both"/>
        <w:rPr>
          <w:rStyle w:val="FootnoteReference"/>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The negotiations was facilitated by the Intergovernmental Authority on Development, an East African regional organisation with the mission to promote regional cooperation and integration</w:t>
      </w:r>
      <w:r w:rsidR="32D1EC9F" w:rsidRPr="00DA7486">
        <w:rPr>
          <w:rFonts w:ascii="Times New Roman" w:hAnsi="Times New Roman" w:cs="Times New Roman"/>
        </w:rPr>
        <w:t xml:space="preserve">; See </w:t>
      </w:r>
      <w:r w:rsidR="3EEA0FD8" w:rsidRPr="00DA7486">
        <w:rPr>
          <w:rFonts w:ascii="Times New Roman" w:hAnsi="Times New Roman" w:cs="Times New Roman"/>
        </w:rPr>
        <w:t xml:space="preserve">Inter Governmental Authority on Development (IGAD), </w:t>
      </w:r>
      <w:r w:rsidR="32D1EC9F" w:rsidRPr="00DA7486">
        <w:rPr>
          <w:rFonts w:ascii="Times New Roman" w:hAnsi="Times New Roman" w:cs="Times New Roman"/>
          <w:i/>
          <w:iCs/>
        </w:rPr>
        <w:t>Agreement on the Resolution of the Conflict in the Republic of South Sudan (ARCSS)</w:t>
      </w:r>
      <w:r w:rsidR="32D1EC9F" w:rsidRPr="00DA7486">
        <w:rPr>
          <w:rFonts w:ascii="Times New Roman" w:hAnsi="Times New Roman" w:cs="Times New Roman"/>
        </w:rPr>
        <w:t xml:space="preserve"> of 19</w:t>
      </w:r>
      <w:r w:rsidR="32D1EC9F" w:rsidRPr="00DA7486">
        <w:rPr>
          <w:rFonts w:ascii="Times New Roman" w:hAnsi="Times New Roman" w:cs="Times New Roman"/>
          <w:vertAlign w:val="superscript"/>
        </w:rPr>
        <w:t xml:space="preserve"> </w:t>
      </w:r>
      <w:r w:rsidR="32D1EC9F" w:rsidRPr="00DA7486">
        <w:rPr>
          <w:rFonts w:ascii="Times New Roman" w:hAnsi="Times New Roman" w:cs="Times New Roman"/>
        </w:rPr>
        <w:t>August 2015</w:t>
      </w:r>
      <w:r w:rsidR="1C6B3E59" w:rsidRPr="00DA7486">
        <w:rPr>
          <w:rFonts w:ascii="Times New Roman" w:hAnsi="Times New Roman" w:cs="Times New Roman"/>
        </w:rPr>
        <w:t xml:space="preserve"> available at</w:t>
      </w:r>
      <w:r w:rsidR="40024B4F" w:rsidRPr="00DA7486">
        <w:rPr>
          <w:rFonts w:ascii="Times New Roman" w:hAnsi="Times New Roman" w:cs="Times New Roman"/>
        </w:rPr>
        <w:t xml:space="preserve"> </w:t>
      </w:r>
      <w:hyperlink r:id="rId17" w:history="1">
        <w:r w:rsidR="00561A6D" w:rsidRPr="0059179E">
          <w:rPr>
            <w:rStyle w:val="Hyperlink"/>
            <w:rFonts w:ascii="Times New Roman" w:hAnsi="Times New Roman" w:cs="Times New Roman"/>
          </w:rPr>
          <w:t>https://bit.ly/3w6N9Bw</w:t>
        </w:r>
      </w:hyperlink>
      <w:r w:rsidR="00561A6D">
        <w:rPr>
          <w:rFonts w:ascii="Times New Roman" w:hAnsi="Times New Roman" w:cs="Times New Roman"/>
        </w:rPr>
        <w:t xml:space="preserve"> </w:t>
      </w:r>
      <w:r w:rsidR="5D703CA0" w:rsidRPr="00DA7486">
        <w:rPr>
          <w:rFonts w:ascii="Times New Roman" w:hAnsi="Times New Roman" w:cs="Times New Roman"/>
        </w:rPr>
        <w:t>accessed 14 January 2023</w:t>
      </w:r>
      <w:r w:rsidR="252CA426" w:rsidRPr="00DA7486">
        <w:rPr>
          <w:rFonts w:ascii="Times New Roman" w:hAnsi="Times New Roman" w:cs="Times New Roman"/>
        </w:rPr>
        <w:t>.</w:t>
      </w:r>
    </w:p>
  </w:footnote>
  <w:footnote w:id="65">
    <w:p w14:paraId="345FE738" w14:textId="1D7374B2" w:rsidR="00F9691D" w:rsidRPr="00DA7486" w:rsidRDefault="00F9691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98D4E16" w:rsidRPr="00DA7486">
        <w:rPr>
          <w:rFonts w:ascii="Times New Roman" w:hAnsi="Times New Roman" w:cs="Times New Roman"/>
        </w:rPr>
        <w:t xml:space="preserve"> ARCSS, Chapter V</w:t>
      </w:r>
      <w:r w:rsidR="0180C5EC" w:rsidRPr="00DA7486">
        <w:rPr>
          <w:rFonts w:ascii="Times New Roman" w:hAnsi="Times New Roman" w:cs="Times New Roman"/>
        </w:rPr>
        <w:t>.</w:t>
      </w:r>
    </w:p>
  </w:footnote>
  <w:footnote w:id="66">
    <w:p w14:paraId="5AC94CFF" w14:textId="5CB340C4" w:rsidR="008B7446" w:rsidRPr="00DA7486" w:rsidRDefault="008B744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Chapter VI and VII of </w:t>
      </w:r>
      <w:r w:rsidR="66AB1EC2" w:rsidRPr="00DA7486">
        <w:rPr>
          <w:rFonts w:ascii="Times New Roman" w:hAnsi="Times New Roman" w:cs="Times New Roman"/>
        </w:rPr>
        <w:t>ARCSS</w:t>
      </w:r>
      <w:r w:rsidRPr="00DA7486">
        <w:rPr>
          <w:rFonts w:ascii="Times New Roman" w:hAnsi="Times New Roman" w:cs="Times New Roman"/>
        </w:rPr>
        <w:t xml:space="preserve">. </w:t>
      </w:r>
    </w:p>
  </w:footnote>
  <w:footnote w:id="67">
    <w:p w14:paraId="3821A545" w14:textId="5B815DB1" w:rsidR="00683F49" w:rsidRPr="00DA7486" w:rsidRDefault="00683F4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D4DB6BC" w:rsidRPr="00DA7486">
        <w:rPr>
          <w:rFonts w:ascii="Times New Roman" w:hAnsi="Times New Roman" w:cs="Times New Roman"/>
        </w:rPr>
        <w:t xml:space="preserve"> For a discussion on the reasons why the agreement failed, see Mairi John Blackings</w:t>
      </w:r>
      <w:r w:rsidRPr="00DA7486">
        <w:rPr>
          <w:rFonts w:ascii="Times New Roman" w:hAnsi="Times New Roman" w:cs="Times New Roman"/>
        </w:rPr>
        <w:t xml:space="preserve"> ‘Why Peace Fails: The Case of South Sudan’s Agreement on the Resolution of the Conflict in South Sudan’ (Friedrich-Ebert-Stiftung</w:t>
      </w:r>
      <w:r w:rsidR="5A2139E9" w:rsidRPr="00DA7486">
        <w:rPr>
          <w:rFonts w:ascii="Times New Roman" w:hAnsi="Times New Roman" w:cs="Times New Roman"/>
        </w:rPr>
        <w:t xml:space="preserve"> 2016</w:t>
      </w:r>
      <w:r w:rsidR="36CF23E2" w:rsidRPr="00DA7486">
        <w:rPr>
          <w:rFonts w:ascii="Times New Roman" w:hAnsi="Times New Roman" w:cs="Times New Roman"/>
        </w:rPr>
        <w:t xml:space="preserve">) available </w:t>
      </w:r>
      <w:r w:rsidR="78A766B1" w:rsidRPr="00DA7486">
        <w:rPr>
          <w:rFonts w:ascii="Times New Roman" w:hAnsi="Times New Roman" w:cs="Times New Roman"/>
        </w:rPr>
        <w:t>at</w:t>
      </w:r>
      <w:r w:rsidRPr="00DA7486">
        <w:rPr>
          <w:rFonts w:ascii="Times New Roman" w:hAnsi="Times New Roman" w:cs="Times New Roman"/>
        </w:rPr>
        <w:t xml:space="preserve"> </w:t>
      </w:r>
      <w:hyperlink r:id="rId18" w:history="1">
        <w:r w:rsidRPr="00DA7486">
          <w:rPr>
            <w:rStyle w:val="Hyperlink"/>
            <w:rFonts w:ascii="Times New Roman" w:hAnsi="Times New Roman" w:cs="Times New Roman"/>
          </w:rPr>
          <w:t>https://library.fes.de/pdf-files/bueros/fes-pscc/14355-20180511.pdf</w:t>
        </w:r>
      </w:hyperlink>
      <w:r w:rsidRPr="00DA7486">
        <w:rPr>
          <w:rFonts w:ascii="Times New Roman" w:hAnsi="Times New Roman" w:cs="Times New Roman"/>
        </w:rPr>
        <w:t xml:space="preserve"> </w:t>
      </w:r>
      <w:r w:rsidR="78A766B1" w:rsidRPr="00DA7486">
        <w:rPr>
          <w:rFonts w:ascii="Times New Roman" w:hAnsi="Times New Roman" w:cs="Times New Roman"/>
        </w:rPr>
        <w:t>accessed 14 January 2023.</w:t>
      </w:r>
    </w:p>
  </w:footnote>
  <w:footnote w:id="68">
    <w:p w14:paraId="26F09D73" w14:textId="7C298F55" w:rsidR="00683F49" w:rsidRPr="00DA7486" w:rsidRDefault="00683F4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C7D8585" w:rsidRPr="00DA7486">
        <w:rPr>
          <w:rFonts w:ascii="Times New Roman" w:hAnsi="Times New Roman" w:cs="Times New Roman"/>
        </w:rPr>
        <w:t xml:space="preserve"> Revitalised Agreement on the Resolution of the Conflict in the Republic of South Sudan (R-ARCSS</w:t>
      </w:r>
      <w:r w:rsidR="1D766341" w:rsidRPr="00DA7486">
        <w:rPr>
          <w:rFonts w:ascii="Times New Roman" w:hAnsi="Times New Roman" w:cs="Times New Roman"/>
        </w:rPr>
        <w:t>), 12 September 2018</w:t>
      </w:r>
      <w:r w:rsidR="3ACC5B25" w:rsidRPr="00DA7486">
        <w:rPr>
          <w:rFonts w:ascii="Times New Roman" w:hAnsi="Times New Roman" w:cs="Times New Roman"/>
        </w:rPr>
        <w:t xml:space="preserve">, </w:t>
      </w:r>
      <w:r w:rsidR="177A451E" w:rsidRPr="00DA7486">
        <w:rPr>
          <w:rFonts w:ascii="Times New Roman" w:hAnsi="Times New Roman" w:cs="Times New Roman"/>
        </w:rPr>
        <w:t>Chapter V.</w:t>
      </w:r>
      <w:r w:rsidR="0C7D8585" w:rsidRPr="00DA7486">
        <w:rPr>
          <w:rFonts w:ascii="Times New Roman" w:hAnsi="Times New Roman" w:cs="Times New Roman"/>
        </w:rPr>
        <w:t xml:space="preserve"> </w:t>
      </w:r>
    </w:p>
  </w:footnote>
  <w:footnote w:id="69">
    <w:p w14:paraId="0326AEAA" w14:textId="4BEA31BB" w:rsidR="00E87A70" w:rsidRPr="00DA7486" w:rsidRDefault="00E87A70"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055DC6" w:rsidRPr="00DA7486">
        <w:rPr>
          <w:rFonts w:ascii="Times New Roman" w:eastAsia="Times New Roman" w:hAnsi="Times New Roman" w:cs="Times New Roman"/>
        </w:rPr>
        <w:t xml:space="preserve">African Union, </w:t>
      </w:r>
      <w:r w:rsidR="00055DC6" w:rsidRPr="00DA7486">
        <w:rPr>
          <w:rFonts w:ascii="Times New Roman" w:eastAsia="Times New Roman" w:hAnsi="Times New Roman" w:cs="Times New Roman"/>
          <w:i/>
        </w:rPr>
        <w:t>Final Report of the African Union Commission of Inquiry on South Sudan</w:t>
      </w:r>
      <w:r w:rsidR="00055DC6" w:rsidRPr="00DA7486">
        <w:rPr>
          <w:rFonts w:ascii="Times New Roman" w:eastAsia="Times New Roman" w:hAnsi="Times New Roman" w:cs="Times New Roman"/>
        </w:rPr>
        <w:t xml:space="preserve"> (15 October 2014) </w:t>
      </w:r>
      <w:r w:rsidR="15C0225C" w:rsidRPr="00DA7486">
        <w:rPr>
          <w:rFonts w:ascii="Times New Roman" w:eastAsia="Times New Roman" w:hAnsi="Times New Roman" w:cs="Times New Roman"/>
        </w:rPr>
        <w:t xml:space="preserve">para 4 </w:t>
      </w:r>
      <w:r w:rsidR="00055DC6" w:rsidRPr="00DA7486">
        <w:rPr>
          <w:rFonts w:ascii="Times New Roman" w:eastAsia="Times New Roman" w:hAnsi="Times New Roman" w:cs="Times New Roman"/>
        </w:rPr>
        <w:t xml:space="preserve">available at </w:t>
      </w:r>
      <w:hyperlink r:id="rId19" w:history="1">
        <w:r w:rsidR="00055DC6" w:rsidRPr="00DA7486">
          <w:rPr>
            <w:rStyle w:val="Hyperlink"/>
            <w:rFonts w:ascii="Times New Roman" w:eastAsia="Times New Roman" w:hAnsi="Times New Roman" w:cs="Times New Roman"/>
          </w:rPr>
          <w:t>http://www.peaceau.org/uploads/auciss.executive.summary.pdf</w:t>
        </w:r>
      </w:hyperlink>
      <w:r w:rsidR="00055DC6" w:rsidRPr="00DA7486">
        <w:rPr>
          <w:rFonts w:ascii="Times New Roman" w:eastAsia="Times New Roman" w:hAnsi="Times New Roman" w:cs="Times New Roman"/>
        </w:rPr>
        <w:t xml:space="preserve"> </w:t>
      </w:r>
      <w:r w:rsidR="15C0225C" w:rsidRPr="00DA7486">
        <w:rPr>
          <w:rFonts w:ascii="Times New Roman" w:eastAsia="Times New Roman" w:hAnsi="Times New Roman" w:cs="Times New Roman"/>
        </w:rPr>
        <w:t xml:space="preserve"> accessed 14 January 2023.</w:t>
      </w:r>
    </w:p>
  </w:footnote>
  <w:footnote w:id="70">
    <w:p w14:paraId="16D87407" w14:textId="5A722EA9" w:rsidR="00055DC6" w:rsidRPr="00DA7486" w:rsidRDefault="00055DC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 Human Rights </w:t>
      </w:r>
      <w:r w:rsidR="15C0225C" w:rsidRPr="00DA7486">
        <w:rPr>
          <w:rFonts w:ascii="Times New Roman" w:hAnsi="Times New Roman" w:cs="Times New Roman"/>
        </w:rPr>
        <w:t>Council</w:t>
      </w:r>
      <w:r w:rsidRPr="00DA7486">
        <w:rPr>
          <w:rFonts w:ascii="Times New Roman" w:hAnsi="Times New Roman" w:cs="Times New Roman"/>
        </w:rPr>
        <w:t xml:space="preserve">, ‘Transitional justice and accountability: a roadmap for sustainable peace in South Sudan’ (5 October 2020) UN Doc A/HRC/45/CRP.4 available at </w:t>
      </w:r>
      <w:hyperlink r:id="rId20" w:history="1">
        <w:r w:rsidR="00877E68" w:rsidRPr="0059179E">
          <w:rPr>
            <w:rStyle w:val="Hyperlink"/>
            <w:rFonts w:ascii="Times New Roman" w:hAnsi="Times New Roman" w:cs="Times New Roman"/>
          </w:rPr>
          <w:t>https://bit.ly/3w6k09I</w:t>
        </w:r>
      </w:hyperlink>
      <w:r w:rsidR="00877E68">
        <w:rPr>
          <w:rFonts w:ascii="Times New Roman" w:hAnsi="Times New Roman" w:cs="Times New Roman"/>
        </w:rPr>
        <w:t xml:space="preserve"> </w:t>
      </w:r>
    </w:p>
  </w:footnote>
  <w:footnote w:id="71">
    <w:p w14:paraId="74DF0C2D" w14:textId="361C187C" w:rsidR="00006933" w:rsidRPr="00DA7486" w:rsidRDefault="00006933"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6E951BBF" w:rsidRPr="00DA7486">
        <w:rPr>
          <w:rFonts w:ascii="Times New Roman" w:hAnsi="Times New Roman" w:cs="Times New Roman"/>
        </w:rPr>
        <w:t xml:space="preserve"> UN Security Council, ‘Resolution 2625 (2022)</w:t>
      </w:r>
      <w:r w:rsidR="32473573" w:rsidRPr="00DA7486">
        <w:rPr>
          <w:rFonts w:ascii="Times New Roman" w:hAnsi="Times New Roman" w:cs="Times New Roman"/>
        </w:rPr>
        <w:t xml:space="preserve"> </w:t>
      </w:r>
      <w:r w:rsidR="6E951BBF" w:rsidRPr="00DA7486">
        <w:rPr>
          <w:rFonts w:ascii="Times New Roman" w:hAnsi="Times New Roman" w:cs="Times New Roman"/>
        </w:rPr>
        <w:t xml:space="preserve">Adopted by the Security Council at its 8994th meeting, on 15 March </w:t>
      </w:r>
      <w:r w:rsidR="1597B766" w:rsidRPr="00DA7486">
        <w:rPr>
          <w:rFonts w:ascii="Times New Roman" w:hAnsi="Times New Roman" w:cs="Times New Roman"/>
        </w:rPr>
        <w:t xml:space="preserve">2022’ (15 March </w:t>
      </w:r>
      <w:r w:rsidR="61C63FF7" w:rsidRPr="00DA7486">
        <w:rPr>
          <w:rFonts w:ascii="Times New Roman" w:hAnsi="Times New Roman" w:cs="Times New Roman"/>
        </w:rPr>
        <w:t xml:space="preserve">2022) UN Doc S/RES/2625 </w:t>
      </w:r>
      <w:r w:rsidR="0E982F10" w:rsidRPr="00DA7486">
        <w:rPr>
          <w:rFonts w:ascii="Times New Roman" w:hAnsi="Times New Roman" w:cs="Times New Roman"/>
        </w:rPr>
        <w:t>paras</w:t>
      </w:r>
      <w:r w:rsidR="788E7125" w:rsidRPr="00DA7486">
        <w:rPr>
          <w:rFonts w:ascii="Times New Roman" w:hAnsi="Times New Roman" w:cs="Times New Roman"/>
        </w:rPr>
        <w:t xml:space="preserve"> 9,</w:t>
      </w:r>
      <w:r w:rsidR="0E982F10" w:rsidRPr="00DA7486">
        <w:rPr>
          <w:rFonts w:ascii="Times New Roman" w:hAnsi="Times New Roman" w:cs="Times New Roman"/>
        </w:rPr>
        <w:t xml:space="preserve"> 17 and 24.</w:t>
      </w:r>
    </w:p>
  </w:footnote>
  <w:footnote w:id="72">
    <w:p w14:paraId="4C3A791E" w14:textId="17B8BC5D" w:rsidR="00D72DC7" w:rsidRPr="00DA7486" w:rsidRDefault="00D72DC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5BCA21D4" w:rsidRPr="00DA7486">
        <w:rPr>
          <w:rFonts w:ascii="Times New Roman" w:hAnsi="Times New Roman" w:cs="Times New Roman"/>
        </w:rPr>
        <w:t xml:space="preserve"> UN Human Rights Council,</w:t>
      </w:r>
      <w:r w:rsidRPr="00DA7486">
        <w:rPr>
          <w:rFonts w:ascii="Times New Roman" w:hAnsi="Times New Roman" w:cs="Times New Roman"/>
        </w:rPr>
        <w:t xml:space="preserve"> </w:t>
      </w:r>
      <w:r w:rsidR="000C7E60" w:rsidRPr="00DA7486">
        <w:rPr>
          <w:rFonts w:ascii="Times New Roman" w:hAnsi="Times New Roman" w:cs="Times New Roman"/>
        </w:rPr>
        <w:t>‘</w:t>
      </w:r>
      <w:r w:rsidR="644690B2" w:rsidRPr="00DA7486">
        <w:rPr>
          <w:rFonts w:ascii="Times New Roman" w:eastAsia="Times New Roman" w:hAnsi="Times New Roman" w:cs="Times New Roman"/>
        </w:rPr>
        <w:t>Report</w:t>
      </w:r>
      <w:r w:rsidR="4E3CD2C8" w:rsidRPr="00DA7486">
        <w:rPr>
          <w:rFonts w:ascii="Times New Roman" w:eastAsia="Times New Roman" w:hAnsi="Times New Roman" w:cs="Times New Roman"/>
        </w:rPr>
        <w:t xml:space="preserve"> of the Special Rapporteur on extreme poverty and human rights</w:t>
      </w:r>
      <w:r w:rsidR="006F23C3" w:rsidRPr="00DA7486">
        <w:rPr>
          <w:rFonts w:ascii="Times New Roman" w:eastAsia="Times New Roman" w:hAnsi="Times New Roman" w:cs="Times New Roman"/>
        </w:rPr>
        <w:t>’</w:t>
      </w:r>
      <w:r w:rsidR="4E3CD2C8" w:rsidRPr="00DA7486">
        <w:rPr>
          <w:rFonts w:ascii="Times New Roman" w:eastAsia="Times New Roman" w:hAnsi="Times New Roman" w:cs="Times New Roman"/>
        </w:rPr>
        <w:t xml:space="preserve"> </w:t>
      </w:r>
      <w:r w:rsidR="66DEDADA" w:rsidRPr="00DA7486">
        <w:rPr>
          <w:rFonts w:ascii="Times New Roman" w:eastAsia="Times New Roman" w:hAnsi="Times New Roman" w:cs="Times New Roman"/>
        </w:rPr>
        <w:t>(28 April 2016) UN Doc A/HRC/32/31</w:t>
      </w:r>
      <w:r w:rsidR="37D62482" w:rsidRPr="00DA7486">
        <w:rPr>
          <w:rFonts w:ascii="Times New Roman" w:eastAsia="Times New Roman" w:hAnsi="Times New Roman" w:cs="Times New Roman"/>
        </w:rPr>
        <w:t>, para 50</w:t>
      </w:r>
      <w:r w:rsidR="5836282E" w:rsidRPr="00DA7486">
        <w:rPr>
          <w:rFonts w:ascii="Times New Roman" w:eastAsia="Times New Roman" w:hAnsi="Times New Roman" w:cs="Times New Roman"/>
        </w:rPr>
        <w:t>.</w:t>
      </w:r>
    </w:p>
  </w:footnote>
  <w:footnote w:id="73">
    <w:p w14:paraId="5451812A" w14:textId="57E3AE85" w:rsidR="00D72DC7" w:rsidRPr="00DA7486" w:rsidRDefault="00D72DC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F34EC5" w:rsidRPr="00DA7486">
        <w:rPr>
          <w:rFonts w:ascii="Times New Roman" w:hAnsi="Times New Roman" w:cs="Times New Roman"/>
        </w:rPr>
        <w:t xml:space="preserve">See </w:t>
      </w:r>
      <w:r w:rsidR="000A2C55" w:rsidRPr="00DA7486">
        <w:rPr>
          <w:rFonts w:ascii="Times New Roman" w:hAnsi="Times New Roman" w:cs="Times New Roman"/>
        </w:rPr>
        <w:t>Judith Bueno De Mesquita, a</w:t>
      </w:r>
      <w:r w:rsidR="007609A9" w:rsidRPr="00DA7486">
        <w:rPr>
          <w:rFonts w:ascii="Times New Roman" w:hAnsi="Times New Roman" w:cs="Times New Roman"/>
        </w:rPr>
        <w:t>bove n</w:t>
      </w:r>
      <w:r w:rsidR="00AB0BA0" w:rsidRPr="00DA7486">
        <w:rPr>
          <w:rFonts w:ascii="Times New Roman" w:hAnsi="Times New Roman" w:cs="Times New Roman"/>
        </w:rPr>
        <w:fldChar w:fldCharType="begin"/>
      </w:r>
      <w:r w:rsidR="00AB0BA0" w:rsidRPr="00DA7486">
        <w:rPr>
          <w:rFonts w:ascii="Times New Roman" w:hAnsi="Times New Roman" w:cs="Times New Roman"/>
        </w:rPr>
        <w:instrText xml:space="preserve"> NOTEREF _Ref124615485 \h </w:instrText>
      </w:r>
      <w:r w:rsidR="00DA7486" w:rsidRPr="00DA7486">
        <w:rPr>
          <w:rFonts w:ascii="Times New Roman" w:hAnsi="Times New Roman" w:cs="Times New Roman"/>
        </w:rPr>
        <w:instrText xml:space="preserve"> \* MERGEFORMAT </w:instrText>
      </w:r>
      <w:r w:rsidR="00AB0BA0" w:rsidRPr="00DA7486">
        <w:rPr>
          <w:rFonts w:ascii="Times New Roman" w:hAnsi="Times New Roman" w:cs="Times New Roman"/>
        </w:rPr>
      </w:r>
      <w:r w:rsidR="00AB0BA0" w:rsidRPr="00DA7486">
        <w:rPr>
          <w:rFonts w:ascii="Times New Roman" w:hAnsi="Times New Roman" w:cs="Times New Roman"/>
        </w:rPr>
        <w:fldChar w:fldCharType="separate"/>
      </w:r>
      <w:r w:rsidR="00AB0BA0" w:rsidRPr="00DA7486">
        <w:rPr>
          <w:rFonts w:ascii="Times New Roman" w:hAnsi="Times New Roman" w:cs="Times New Roman"/>
        </w:rPr>
        <w:t>26</w:t>
      </w:r>
      <w:r w:rsidR="00AB0BA0" w:rsidRPr="00DA7486">
        <w:rPr>
          <w:rFonts w:ascii="Times New Roman" w:hAnsi="Times New Roman" w:cs="Times New Roman"/>
        </w:rPr>
        <w:fldChar w:fldCharType="end"/>
      </w:r>
      <w:r w:rsidR="006604D2" w:rsidRPr="00DA7486">
        <w:rPr>
          <w:rFonts w:ascii="Times New Roman" w:hAnsi="Times New Roman" w:cs="Times New Roman"/>
        </w:rPr>
        <w:t xml:space="preserve">, </w:t>
      </w:r>
      <w:r w:rsidRPr="00DA7486">
        <w:rPr>
          <w:rFonts w:ascii="Times New Roman" w:hAnsi="Times New Roman" w:cs="Times New Roman"/>
        </w:rPr>
        <w:t xml:space="preserve"> 274.</w:t>
      </w:r>
    </w:p>
  </w:footnote>
  <w:footnote w:id="74">
    <w:p w14:paraId="60F8F5AB" w14:textId="46A53237" w:rsidR="00D2364F" w:rsidRPr="00DA7486" w:rsidRDefault="00D2364F" w:rsidP="00DA7486">
      <w:pPr>
        <w:pStyle w:val="FootnoteText"/>
        <w:jc w:val="both"/>
        <w:rPr>
          <w:rFonts w:ascii="Times New Roman" w:hAnsi="Times New Roman" w:cs="Times New Roman"/>
          <w:color w:val="000000" w:themeColor="text1"/>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Pr="00DA7486">
        <w:rPr>
          <w:rFonts w:ascii="Times New Roman" w:hAnsi="Times New Roman" w:cs="Times New Roman"/>
          <w:color w:val="000000" w:themeColor="text1"/>
        </w:rPr>
        <w:t>See</w:t>
      </w:r>
      <w:r w:rsidR="00C747D9" w:rsidRPr="00DA7486">
        <w:rPr>
          <w:rFonts w:ascii="Times New Roman" w:eastAsia="Times New Roman" w:hAnsi="Times New Roman" w:cs="Times New Roman"/>
          <w:color w:val="000000" w:themeColor="text1"/>
          <w:lang w:eastAsia="en-GB"/>
        </w:rPr>
        <w:t xml:space="preserve"> </w:t>
      </w:r>
      <w:proofErr w:type="spellStart"/>
      <w:r w:rsidR="004C27F9" w:rsidRPr="00DA7486">
        <w:rPr>
          <w:rFonts w:ascii="Times New Roman" w:eastAsia="Times New Roman" w:hAnsi="Times New Roman" w:cs="Times New Roman"/>
          <w:color w:val="000000" w:themeColor="text1"/>
          <w:lang w:eastAsia="en-GB"/>
        </w:rPr>
        <w:t>Center</w:t>
      </w:r>
      <w:proofErr w:type="spellEnd"/>
      <w:r w:rsidR="004C27F9" w:rsidRPr="00DA7486">
        <w:rPr>
          <w:rFonts w:ascii="Times New Roman" w:eastAsia="Times New Roman" w:hAnsi="Times New Roman" w:cs="Times New Roman"/>
          <w:color w:val="000000" w:themeColor="text1"/>
          <w:lang w:eastAsia="en-GB"/>
        </w:rPr>
        <w:t xml:space="preserve"> for Economic and Social Rights </w:t>
      </w:r>
      <w:r w:rsidR="00441383" w:rsidRPr="00DA7486">
        <w:rPr>
          <w:rFonts w:ascii="Times New Roman" w:eastAsia="Times New Roman" w:hAnsi="Times New Roman" w:cs="Times New Roman"/>
          <w:color w:val="000000" w:themeColor="text1"/>
          <w:lang w:eastAsia="en-GB"/>
        </w:rPr>
        <w:t>‘</w:t>
      </w:r>
      <w:r w:rsidR="00A53CD8" w:rsidRPr="00DA7486">
        <w:rPr>
          <w:rFonts w:ascii="Times New Roman" w:hAnsi="Times New Roman" w:cs="Times New Roman"/>
          <w:color w:val="000000" w:themeColor="text1"/>
        </w:rPr>
        <w:t>The Universal Periodic Review: A Skewed Agenda? Trends analysis of the UPR’s coverage of economic, social and cultural rights</w:t>
      </w:r>
      <w:r w:rsidR="00441383" w:rsidRPr="00DA7486">
        <w:rPr>
          <w:rFonts w:ascii="Times New Roman" w:hAnsi="Times New Roman" w:cs="Times New Roman"/>
          <w:color w:val="000000" w:themeColor="text1"/>
        </w:rPr>
        <w:t>’</w:t>
      </w:r>
      <w:r w:rsidR="00690710" w:rsidRPr="00DA7486">
        <w:rPr>
          <w:rFonts w:ascii="Times New Roman" w:hAnsi="Times New Roman" w:cs="Times New Roman"/>
          <w:color w:val="000000" w:themeColor="text1"/>
        </w:rPr>
        <w:t xml:space="preserve"> (2016) 1-14</w:t>
      </w:r>
      <w:r w:rsidR="00572844" w:rsidRPr="00DA7486">
        <w:rPr>
          <w:rFonts w:ascii="Times New Roman" w:hAnsi="Times New Roman" w:cs="Times New Roman"/>
          <w:color w:val="000000" w:themeColor="text1"/>
        </w:rPr>
        <w:t xml:space="preserve">; </w:t>
      </w:r>
      <w:r w:rsidR="009C7382" w:rsidRPr="00DA7486">
        <w:rPr>
          <w:rFonts w:ascii="Times New Roman" w:hAnsi="Times New Roman" w:cs="Times New Roman"/>
          <w:i/>
          <w:iCs/>
          <w:color w:val="000000" w:themeColor="text1"/>
        </w:rPr>
        <w:t xml:space="preserve">Kate Gilmore, Luis Mora, Alfonso </w:t>
      </w:r>
      <w:proofErr w:type="spellStart"/>
      <w:r w:rsidR="009C7382" w:rsidRPr="00DA7486">
        <w:rPr>
          <w:rFonts w:ascii="Times New Roman" w:hAnsi="Times New Roman" w:cs="Times New Roman"/>
          <w:i/>
          <w:iCs/>
          <w:color w:val="000000" w:themeColor="text1"/>
        </w:rPr>
        <w:t>Barragues</w:t>
      </w:r>
      <w:proofErr w:type="spellEnd"/>
      <w:r w:rsidR="009C7382" w:rsidRPr="00DA7486">
        <w:rPr>
          <w:rFonts w:ascii="Times New Roman" w:hAnsi="Times New Roman" w:cs="Times New Roman"/>
          <w:i/>
          <w:iCs/>
          <w:color w:val="000000" w:themeColor="text1"/>
        </w:rPr>
        <w:t>, and Ida Krogh Mikkelsen</w:t>
      </w:r>
      <w:r w:rsidR="009C7382" w:rsidRPr="00DA7486">
        <w:rPr>
          <w:rFonts w:ascii="Times New Roman" w:hAnsi="Times New Roman" w:cs="Times New Roman"/>
          <w:color w:val="000000" w:themeColor="text1"/>
        </w:rPr>
        <w:t xml:space="preserve"> ‘</w:t>
      </w:r>
      <w:r w:rsidR="00572844" w:rsidRPr="00DA7486">
        <w:rPr>
          <w:rFonts w:ascii="Times New Roman" w:hAnsi="Times New Roman" w:cs="Times New Roman"/>
          <w:color w:val="000000" w:themeColor="text1"/>
        </w:rPr>
        <w:t>The Universal Periodic Review: A Platform for Dialogue, Accountability, and Change on Sexual and Reproductive Health and Rights</w:t>
      </w:r>
      <w:r w:rsidR="009C7382" w:rsidRPr="00DA7486">
        <w:rPr>
          <w:rFonts w:ascii="Times New Roman" w:hAnsi="Times New Roman" w:cs="Times New Roman"/>
          <w:color w:val="000000" w:themeColor="text1"/>
        </w:rPr>
        <w:t xml:space="preserve">’ </w:t>
      </w:r>
      <w:r w:rsidR="006A5B31" w:rsidRPr="00DA7486">
        <w:rPr>
          <w:rFonts w:ascii="Times New Roman" w:hAnsi="Times New Roman" w:cs="Times New Roman"/>
          <w:color w:val="000000" w:themeColor="text1"/>
        </w:rPr>
        <w:t xml:space="preserve">(2015) 17(2) Health and Human Rights Journal </w:t>
      </w:r>
      <w:r w:rsidR="00CA0FC7" w:rsidRPr="00DA7486">
        <w:rPr>
          <w:rFonts w:ascii="Times New Roman" w:hAnsi="Times New Roman" w:cs="Times New Roman"/>
          <w:color w:val="000000" w:themeColor="text1"/>
        </w:rPr>
        <w:t>167-179</w:t>
      </w:r>
      <w:r w:rsidR="001000E3" w:rsidRPr="00DA7486">
        <w:rPr>
          <w:rFonts w:ascii="Times New Roman" w:hAnsi="Times New Roman" w:cs="Times New Roman"/>
          <w:color w:val="000000" w:themeColor="text1"/>
        </w:rPr>
        <w:t>.</w:t>
      </w:r>
    </w:p>
  </w:footnote>
  <w:footnote w:id="75">
    <w:p w14:paraId="06DAF48E" w14:textId="6D5C6B77" w:rsidR="00D00F14" w:rsidRPr="00DA7486" w:rsidRDefault="00D00F1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E42F969" w:rsidRPr="00DA7486">
        <w:rPr>
          <w:rFonts w:ascii="Times New Roman" w:hAnsi="Times New Roman" w:cs="Times New Roman"/>
        </w:rPr>
        <w:t xml:space="preserve"> See UN Human Rights Council, ‘Report of the Working Group on the Universal Periodic Review – </w:t>
      </w:r>
      <w:r w:rsidR="2A0B993C" w:rsidRPr="00DA7486">
        <w:rPr>
          <w:rFonts w:ascii="Times New Roman" w:hAnsi="Times New Roman" w:cs="Times New Roman"/>
        </w:rPr>
        <w:t>South Sudan’</w:t>
      </w:r>
      <w:r w:rsidR="0E42F969" w:rsidRPr="00DA7486">
        <w:rPr>
          <w:rFonts w:ascii="Times New Roman" w:hAnsi="Times New Roman" w:cs="Times New Roman"/>
        </w:rPr>
        <w:t xml:space="preserve">, </w:t>
      </w:r>
      <w:r w:rsidR="253FAFFD" w:rsidRPr="00DA7486">
        <w:rPr>
          <w:rFonts w:ascii="Times New Roman" w:hAnsi="Times New Roman" w:cs="Times New Roman"/>
        </w:rPr>
        <w:t>50th</w:t>
      </w:r>
      <w:r w:rsidR="0E42F969" w:rsidRPr="00DA7486">
        <w:rPr>
          <w:rFonts w:ascii="Times New Roman" w:hAnsi="Times New Roman" w:cs="Times New Roman"/>
        </w:rPr>
        <w:t xml:space="preserve"> sess, UN Doc A/HRC/</w:t>
      </w:r>
      <w:r w:rsidR="4734939E" w:rsidRPr="00DA7486">
        <w:rPr>
          <w:rFonts w:ascii="Times New Roman" w:hAnsi="Times New Roman" w:cs="Times New Roman"/>
        </w:rPr>
        <w:t>50/14</w:t>
      </w:r>
      <w:r w:rsidR="0E42F969" w:rsidRPr="00DA7486">
        <w:rPr>
          <w:rFonts w:ascii="Times New Roman" w:hAnsi="Times New Roman" w:cs="Times New Roman"/>
        </w:rPr>
        <w:t xml:space="preserve"> (</w:t>
      </w:r>
      <w:r w:rsidR="2A0B993C" w:rsidRPr="00DA7486">
        <w:rPr>
          <w:rFonts w:ascii="Times New Roman" w:hAnsi="Times New Roman" w:cs="Times New Roman"/>
        </w:rPr>
        <w:t>28 March 2022</w:t>
      </w:r>
      <w:r w:rsidR="0E42F969" w:rsidRPr="00DA7486">
        <w:rPr>
          <w:rFonts w:ascii="Times New Roman" w:hAnsi="Times New Roman" w:cs="Times New Roman"/>
        </w:rPr>
        <w:t xml:space="preserve">) para </w:t>
      </w:r>
      <w:r w:rsidR="6D60C293" w:rsidRPr="00DA7486">
        <w:rPr>
          <w:rFonts w:ascii="Times New Roman" w:hAnsi="Times New Roman" w:cs="Times New Roman"/>
        </w:rPr>
        <w:t>113.102</w:t>
      </w:r>
      <w:r w:rsidR="0E42F969" w:rsidRPr="00DA7486">
        <w:rPr>
          <w:rFonts w:ascii="Times New Roman" w:hAnsi="Times New Roman" w:cs="Times New Roman"/>
        </w:rPr>
        <w:t>.</w:t>
      </w:r>
    </w:p>
  </w:footnote>
  <w:footnote w:id="76">
    <w:p w14:paraId="3C0851ED" w14:textId="17693C98" w:rsidR="00CA44C2" w:rsidRPr="00DA7486" w:rsidRDefault="00CA44C2"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This is consistent with broader findings in the literature that the number of UPR recommendations to states have increased across </w:t>
      </w:r>
      <w:r w:rsidR="2B6AF7AC" w:rsidRPr="00DA7486">
        <w:rPr>
          <w:rFonts w:ascii="Times New Roman" w:hAnsi="Times New Roman" w:cs="Times New Roman"/>
        </w:rPr>
        <w:t>UPR</w:t>
      </w:r>
      <w:r w:rsidRPr="00DA7486">
        <w:rPr>
          <w:rFonts w:ascii="Times New Roman" w:hAnsi="Times New Roman" w:cs="Times New Roman"/>
        </w:rPr>
        <w:t xml:space="preserve"> cycles, see </w:t>
      </w:r>
      <w:r w:rsidR="2B6AF7AC" w:rsidRPr="00DA7486">
        <w:rPr>
          <w:rFonts w:ascii="Times New Roman" w:hAnsi="Times New Roman" w:cs="Times New Roman"/>
        </w:rPr>
        <w:t xml:space="preserve">for </w:t>
      </w:r>
      <w:r w:rsidR="412FBEA7" w:rsidRPr="00DA7486">
        <w:rPr>
          <w:rFonts w:ascii="Times New Roman" w:hAnsi="Times New Roman" w:cs="Times New Roman"/>
        </w:rPr>
        <w:t>example</w:t>
      </w:r>
      <w:r w:rsidR="2B6AF7AC" w:rsidRPr="00DA7486">
        <w:rPr>
          <w:rFonts w:ascii="Times New Roman" w:hAnsi="Times New Roman" w:cs="Times New Roman"/>
        </w:rPr>
        <w:t xml:space="preserve"> </w:t>
      </w:r>
      <w:r w:rsidRPr="00DA7486">
        <w:rPr>
          <w:rFonts w:ascii="Times New Roman" w:hAnsi="Times New Roman" w:cs="Times New Roman"/>
        </w:rPr>
        <w:t xml:space="preserve">Edward </w:t>
      </w:r>
      <w:r w:rsidR="64C6CB9D" w:rsidRPr="00DA7486">
        <w:rPr>
          <w:rFonts w:ascii="Times New Roman" w:hAnsi="Times New Roman" w:cs="Times New Roman"/>
        </w:rPr>
        <w:t xml:space="preserve">R McMahon, Kojo Busia and Marta </w:t>
      </w:r>
      <w:proofErr w:type="spellStart"/>
      <w:r w:rsidR="64C6CB9D" w:rsidRPr="00DA7486">
        <w:rPr>
          <w:rFonts w:ascii="Times New Roman" w:hAnsi="Times New Roman" w:cs="Times New Roman"/>
        </w:rPr>
        <w:t>Ascherio</w:t>
      </w:r>
      <w:proofErr w:type="spellEnd"/>
      <w:r w:rsidR="64C6CB9D" w:rsidRPr="00DA7486">
        <w:rPr>
          <w:rFonts w:ascii="Times New Roman" w:hAnsi="Times New Roman" w:cs="Times New Roman"/>
        </w:rPr>
        <w:t>, ‘Comparing Peer Reviews: The Universal Periodic Review of the UN Human Rights Council and the African Peer Review Mechanism’ (2013) 12 African and Asian Studies 266, 280-82.</w:t>
      </w:r>
    </w:p>
  </w:footnote>
  <w:footnote w:id="77">
    <w:p w14:paraId="190F8964" w14:textId="54AB0A85" w:rsidR="00AD3047" w:rsidRPr="00DA7486" w:rsidRDefault="00AD304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28417E" w:rsidRPr="00DA7486">
        <w:rPr>
          <w:rFonts w:ascii="Times New Roman" w:hAnsi="Times New Roman" w:cs="Times New Roman"/>
        </w:rPr>
        <w:t xml:space="preserve">UN Human Rights Council, above </w:t>
      </w:r>
      <w:r w:rsidR="00C7318D" w:rsidRPr="00DA7486">
        <w:rPr>
          <w:rFonts w:ascii="Times New Roman" w:hAnsi="Times New Roman" w:cs="Times New Roman"/>
        </w:rPr>
        <w:t>n</w:t>
      </w:r>
      <w:r w:rsidR="0028417E" w:rsidRPr="00DA7486">
        <w:rPr>
          <w:rFonts w:ascii="Times New Roman" w:hAnsi="Times New Roman" w:cs="Times New Roman"/>
        </w:rPr>
        <w:fldChar w:fldCharType="begin"/>
      </w:r>
      <w:r w:rsidR="0028417E" w:rsidRPr="00DA7486">
        <w:rPr>
          <w:rFonts w:ascii="Times New Roman" w:hAnsi="Times New Roman" w:cs="Times New Roman"/>
        </w:rPr>
        <w:instrText xml:space="preserve"> NOTEREF _Ref124623519 \h </w:instrText>
      </w:r>
      <w:r w:rsidR="00DA7486" w:rsidRPr="00DA7486">
        <w:rPr>
          <w:rFonts w:ascii="Times New Roman" w:hAnsi="Times New Roman" w:cs="Times New Roman"/>
        </w:rPr>
        <w:instrText xml:space="preserve"> \* MERGEFORMAT </w:instrText>
      </w:r>
      <w:r w:rsidR="0028417E" w:rsidRPr="00DA7486">
        <w:rPr>
          <w:rFonts w:ascii="Times New Roman" w:hAnsi="Times New Roman" w:cs="Times New Roman"/>
        </w:rPr>
      </w:r>
      <w:r w:rsidR="0028417E" w:rsidRPr="00DA7486">
        <w:rPr>
          <w:rFonts w:ascii="Times New Roman" w:hAnsi="Times New Roman" w:cs="Times New Roman"/>
        </w:rPr>
        <w:fldChar w:fldCharType="separate"/>
      </w:r>
      <w:r w:rsidR="0028417E" w:rsidRPr="00DA7486">
        <w:rPr>
          <w:rFonts w:ascii="Times New Roman" w:hAnsi="Times New Roman" w:cs="Times New Roman"/>
        </w:rPr>
        <w:t>55</w:t>
      </w:r>
      <w:r w:rsidR="0028417E" w:rsidRPr="00DA7486">
        <w:rPr>
          <w:rFonts w:ascii="Times New Roman" w:hAnsi="Times New Roman" w:cs="Times New Roman"/>
        </w:rPr>
        <w:fldChar w:fldCharType="end"/>
      </w:r>
      <w:r w:rsidR="0028417E" w:rsidRPr="00DA7486">
        <w:rPr>
          <w:rFonts w:ascii="Times New Roman" w:hAnsi="Times New Roman" w:cs="Times New Roman"/>
        </w:rPr>
        <w:t>.</w:t>
      </w:r>
    </w:p>
  </w:footnote>
  <w:footnote w:id="78">
    <w:p w14:paraId="6D9E3DDD" w14:textId="1CAED378" w:rsidR="001D2CB6" w:rsidRPr="00DA7486" w:rsidRDefault="001D2CB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186FD816" w:rsidRPr="00DA7486">
        <w:rPr>
          <w:rFonts w:ascii="Times New Roman" w:hAnsi="Times New Roman" w:cs="Times New Roman"/>
        </w:rPr>
        <w:t xml:space="preserve">UN Human </w:t>
      </w:r>
      <w:r w:rsidR="38CFDBC2" w:rsidRPr="00DA7486">
        <w:rPr>
          <w:rFonts w:ascii="Times New Roman" w:hAnsi="Times New Roman" w:cs="Times New Roman"/>
        </w:rPr>
        <w:t xml:space="preserve">Rights Council, </w:t>
      </w:r>
      <w:r w:rsidR="00CC691C" w:rsidRPr="00DA7486">
        <w:rPr>
          <w:rFonts w:ascii="Times New Roman" w:hAnsi="Times New Roman" w:cs="Times New Roman"/>
        </w:rPr>
        <w:t>‘</w:t>
      </w:r>
      <w:r w:rsidR="798FE31A" w:rsidRPr="00DA7486">
        <w:rPr>
          <w:rFonts w:ascii="Times New Roman" w:hAnsi="Times New Roman" w:cs="Times New Roman"/>
        </w:rPr>
        <w:t>Report</w:t>
      </w:r>
      <w:r w:rsidR="7C81F575" w:rsidRPr="00DA7486">
        <w:rPr>
          <w:rFonts w:ascii="Times New Roman" w:hAnsi="Times New Roman" w:cs="Times New Roman"/>
        </w:rPr>
        <w:t xml:space="preserve"> of the Commission of Inquiry on </w:t>
      </w:r>
      <w:r w:rsidR="63CB1C1F" w:rsidRPr="00DA7486">
        <w:rPr>
          <w:rFonts w:ascii="Times New Roman" w:hAnsi="Times New Roman" w:cs="Times New Roman"/>
        </w:rPr>
        <w:t xml:space="preserve">Burundi’ </w:t>
      </w:r>
      <w:r w:rsidR="1D26F011" w:rsidRPr="00DA7486">
        <w:rPr>
          <w:rFonts w:ascii="Times New Roman" w:hAnsi="Times New Roman" w:cs="Times New Roman"/>
        </w:rPr>
        <w:t xml:space="preserve">(11 </w:t>
      </w:r>
      <w:r w:rsidR="2895714A" w:rsidRPr="00DA7486">
        <w:rPr>
          <w:rFonts w:ascii="Times New Roman" w:hAnsi="Times New Roman" w:cs="Times New Roman"/>
        </w:rPr>
        <w:t>August 2017)</w:t>
      </w:r>
      <w:r w:rsidR="1D26F011" w:rsidRPr="00DA7486">
        <w:rPr>
          <w:rFonts w:ascii="Times New Roman" w:hAnsi="Times New Roman" w:cs="Times New Roman"/>
        </w:rPr>
        <w:t xml:space="preserve"> </w:t>
      </w:r>
      <w:r w:rsidR="5756088A" w:rsidRPr="00DA7486">
        <w:rPr>
          <w:rFonts w:ascii="Times New Roman" w:hAnsi="Times New Roman" w:cs="Times New Roman"/>
        </w:rPr>
        <w:t xml:space="preserve">UN Doc </w:t>
      </w:r>
      <w:r w:rsidR="5463F62F" w:rsidRPr="00DA7486">
        <w:rPr>
          <w:rFonts w:ascii="Times New Roman" w:hAnsi="Times New Roman" w:cs="Times New Roman"/>
        </w:rPr>
        <w:t>A/HRC/36/54,</w:t>
      </w:r>
      <w:r w:rsidR="5756088A" w:rsidRPr="00DA7486">
        <w:rPr>
          <w:rFonts w:ascii="Times New Roman" w:hAnsi="Times New Roman" w:cs="Times New Roman"/>
        </w:rPr>
        <w:t xml:space="preserve"> </w:t>
      </w:r>
      <w:r w:rsidR="192E4B5A" w:rsidRPr="00DA7486">
        <w:rPr>
          <w:rFonts w:ascii="Times New Roman" w:hAnsi="Times New Roman" w:cs="Times New Roman"/>
        </w:rPr>
        <w:t>paras</w:t>
      </w:r>
      <w:r w:rsidRPr="00DA7486">
        <w:rPr>
          <w:rFonts w:ascii="Times New Roman" w:hAnsi="Times New Roman" w:cs="Times New Roman"/>
        </w:rPr>
        <w:t xml:space="preserve"> 26, 66 and 80.</w:t>
      </w:r>
    </w:p>
  </w:footnote>
  <w:footnote w:id="79">
    <w:p w14:paraId="11D44B42" w14:textId="644645D6" w:rsidR="000651E8" w:rsidRPr="00DA7486" w:rsidRDefault="000651E8"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David Taylor, ‘“We Have No Influence”: International Discourse and the </w:t>
      </w:r>
      <w:proofErr w:type="spellStart"/>
      <w:r w:rsidRPr="00DA7486">
        <w:rPr>
          <w:rFonts w:ascii="Times New Roman" w:hAnsi="Times New Roman" w:cs="Times New Roman"/>
        </w:rPr>
        <w:t>Instrumentalisation</w:t>
      </w:r>
      <w:proofErr w:type="spellEnd"/>
      <w:r w:rsidRPr="00DA7486">
        <w:rPr>
          <w:rFonts w:ascii="Times New Roman" w:hAnsi="Times New Roman" w:cs="Times New Roman"/>
        </w:rPr>
        <w:t xml:space="preserve"> of Transitional Justice in Burundi’ (2013) 2 (3) Stability: International Journal of Security &amp; Development 1-10.</w:t>
      </w:r>
    </w:p>
  </w:footnote>
  <w:footnote w:id="80">
    <w:p w14:paraId="502617EB" w14:textId="6575BE47" w:rsidR="008A35B4" w:rsidRPr="00DA7486" w:rsidRDefault="008A35B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0E9DF187" w:rsidRPr="00DA7486">
        <w:rPr>
          <w:rFonts w:ascii="Times New Roman" w:hAnsi="Times New Roman" w:cs="Times New Roman"/>
        </w:rPr>
        <w:t xml:space="preserve"> See UN Human Rights Council, </w:t>
      </w:r>
      <w:r w:rsidR="00F16E24" w:rsidRPr="00DA7486">
        <w:rPr>
          <w:rFonts w:ascii="Times New Roman" w:hAnsi="Times New Roman" w:cs="Times New Roman"/>
        </w:rPr>
        <w:t>‘</w:t>
      </w:r>
      <w:r w:rsidR="0E9DF187" w:rsidRPr="00DA7486">
        <w:rPr>
          <w:rFonts w:ascii="Times New Roman" w:hAnsi="Times New Roman" w:cs="Times New Roman"/>
        </w:rPr>
        <w:t xml:space="preserve">Report of the </w:t>
      </w:r>
      <w:r w:rsidR="7486BDA1" w:rsidRPr="00DA7486">
        <w:rPr>
          <w:rFonts w:ascii="Times New Roman" w:hAnsi="Times New Roman" w:cs="Times New Roman"/>
        </w:rPr>
        <w:t>Working Group</w:t>
      </w:r>
      <w:r w:rsidR="0E9DF187" w:rsidRPr="00DA7486">
        <w:rPr>
          <w:rFonts w:ascii="Times New Roman" w:hAnsi="Times New Roman" w:cs="Times New Roman"/>
        </w:rPr>
        <w:t xml:space="preserve"> on </w:t>
      </w:r>
      <w:r w:rsidR="7486BDA1" w:rsidRPr="00DA7486">
        <w:rPr>
          <w:rFonts w:ascii="Times New Roman" w:hAnsi="Times New Roman" w:cs="Times New Roman"/>
        </w:rPr>
        <w:t>the Universal Periodic Review - Sudan’</w:t>
      </w:r>
      <w:r w:rsidR="0E9DF187" w:rsidRPr="00DA7486">
        <w:rPr>
          <w:rFonts w:ascii="Times New Roman" w:hAnsi="Times New Roman" w:cs="Times New Roman"/>
        </w:rPr>
        <w:t xml:space="preserve"> (11 </w:t>
      </w:r>
      <w:r w:rsidR="565A590C" w:rsidRPr="00DA7486">
        <w:rPr>
          <w:rFonts w:ascii="Times New Roman" w:hAnsi="Times New Roman" w:cs="Times New Roman"/>
        </w:rPr>
        <w:t xml:space="preserve">July </w:t>
      </w:r>
      <w:r w:rsidR="33084305" w:rsidRPr="00DA7486">
        <w:rPr>
          <w:rFonts w:ascii="Times New Roman" w:hAnsi="Times New Roman" w:cs="Times New Roman"/>
        </w:rPr>
        <w:t>2011</w:t>
      </w:r>
      <w:r w:rsidR="0E9DF187" w:rsidRPr="00DA7486">
        <w:rPr>
          <w:rFonts w:ascii="Times New Roman" w:hAnsi="Times New Roman" w:cs="Times New Roman"/>
        </w:rPr>
        <w:t>) UN Doc A/HRC/</w:t>
      </w:r>
      <w:r w:rsidR="50763456" w:rsidRPr="00DA7486">
        <w:rPr>
          <w:rFonts w:ascii="Times New Roman" w:hAnsi="Times New Roman" w:cs="Times New Roman"/>
        </w:rPr>
        <w:t>18/16</w:t>
      </w:r>
      <w:r w:rsidR="0E9DF187" w:rsidRPr="00DA7486">
        <w:rPr>
          <w:rFonts w:ascii="Times New Roman" w:hAnsi="Times New Roman" w:cs="Times New Roman"/>
        </w:rPr>
        <w:t>, paras 84 and 85</w:t>
      </w:r>
      <w:r w:rsidR="7486BDA1" w:rsidRPr="00DA7486">
        <w:rPr>
          <w:rFonts w:ascii="Times New Roman" w:hAnsi="Times New Roman" w:cs="Times New Roman"/>
        </w:rPr>
        <w:t>.</w:t>
      </w:r>
    </w:p>
  </w:footnote>
  <w:footnote w:id="81">
    <w:p w14:paraId="0D1E2B26" w14:textId="14048013" w:rsidR="00CC61DB" w:rsidRPr="00DA7486" w:rsidRDefault="00CC61D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739FDF67" w:rsidRPr="00DA7486">
        <w:rPr>
          <w:rFonts w:ascii="Times New Roman" w:hAnsi="Times New Roman" w:cs="Times New Roman"/>
          <w:i/>
        </w:rPr>
        <w:t xml:space="preserve">Letter to AU Commission Chairperson on South Sudan from Civil Society Organizations </w:t>
      </w:r>
      <w:r w:rsidR="09A99D52" w:rsidRPr="00DA7486">
        <w:rPr>
          <w:rFonts w:ascii="Times New Roman" w:hAnsi="Times New Roman" w:cs="Times New Roman"/>
        </w:rPr>
        <w:t>(</w:t>
      </w:r>
      <w:r w:rsidR="06B78AF7" w:rsidRPr="00DA7486">
        <w:rPr>
          <w:rFonts w:ascii="Times New Roman" w:hAnsi="Times New Roman" w:cs="Times New Roman"/>
        </w:rPr>
        <w:t xml:space="preserve">9 </w:t>
      </w:r>
      <w:r w:rsidR="1152C7A8" w:rsidRPr="00DA7486">
        <w:rPr>
          <w:rFonts w:ascii="Times New Roman" w:hAnsi="Times New Roman" w:cs="Times New Roman"/>
        </w:rPr>
        <w:t xml:space="preserve">June 2021) </w:t>
      </w:r>
      <w:r w:rsidR="1CC148E1" w:rsidRPr="00DA7486">
        <w:rPr>
          <w:rFonts w:ascii="Times New Roman" w:hAnsi="Times New Roman" w:cs="Times New Roman"/>
        </w:rPr>
        <w:t>available at</w:t>
      </w:r>
      <w:r w:rsidR="00D02280">
        <w:rPr>
          <w:rFonts w:ascii="Times New Roman" w:hAnsi="Times New Roman" w:cs="Times New Roman"/>
        </w:rPr>
        <w:t xml:space="preserve"> </w:t>
      </w:r>
      <w:hyperlink r:id="rId21" w:history="1">
        <w:r w:rsidR="00D02280" w:rsidRPr="0059179E">
          <w:rPr>
            <w:rStyle w:val="Hyperlink"/>
            <w:rFonts w:ascii="Times New Roman" w:hAnsi="Times New Roman" w:cs="Times New Roman"/>
          </w:rPr>
          <w:t>https://bit.ly/3XekMgQ</w:t>
        </w:r>
      </w:hyperlink>
      <w:r w:rsidR="00D02280">
        <w:rPr>
          <w:rFonts w:ascii="Times New Roman" w:hAnsi="Times New Roman" w:cs="Times New Roman"/>
        </w:rPr>
        <w:t xml:space="preserve"> </w:t>
      </w:r>
      <w:r w:rsidR="4777924F" w:rsidRPr="00DA7486">
        <w:rPr>
          <w:rFonts w:ascii="Times New Roman" w:hAnsi="Times New Roman" w:cs="Times New Roman"/>
        </w:rPr>
        <w:t xml:space="preserve">accessed 14 </w:t>
      </w:r>
      <w:r w:rsidR="282FCA1A" w:rsidRPr="00DA7486">
        <w:rPr>
          <w:rFonts w:ascii="Times New Roman" w:hAnsi="Times New Roman" w:cs="Times New Roman"/>
        </w:rPr>
        <w:t xml:space="preserve">January </w:t>
      </w:r>
      <w:r w:rsidR="19CF3686" w:rsidRPr="00DA7486">
        <w:rPr>
          <w:rFonts w:ascii="Times New Roman" w:hAnsi="Times New Roman" w:cs="Times New Roman"/>
        </w:rPr>
        <w:t>2023.</w:t>
      </w:r>
    </w:p>
  </w:footnote>
  <w:footnote w:id="82">
    <w:p w14:paraId="51488FE6" w14:textId="1E1E036B" w:rsidR="00175995" w:rsidRPr="00DA7486" w:rsidRDefault="0017599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48360593" w:rsidRPr="00DA7486">
        <w:rPr>
          <w:rFonts w:ascii="Times New Roman" w:hAnsi="Times New Roman" w:cs="Times New Roman"/>
        </w:rPr>
        <w:t xml:space="preserve">United </w:t>
      </w:r>
      <w:r w:rsidR="76F69CD3" w:rsidRPr="00DA7486">
        <w:rPr>
          <w:rFonts w:ascii="Times New Roman" w:hAnsi="Times New Roman" w:cs="Times New Roman"/>
        </w:rPr>
        <w:t xml:space="preserve">States Department of </w:t>
      </w:r>
      <w:r w:rsidR="25B73414" w:rsidRPr="00DA7486">
        <w:rPr>
          <w:rFonts w:ascii="Times New Roman" w:hAnsi="Times New Roman" w:cs="Times New Roman"/>
        </w:rPr>
        <w:t>States,</w:t>
      </w:r>
      <w:r w:rsidRPr="00DA7486">
        <w:rPr>
          <w:rFonts w:ascii="Times New Roman" w:hAnsi="Times New Roman" w:cs="Times New Roman"/>
        </w:rPr>
        <w:t xml:space="preserve"> </w:t>
      </w:r>
      <w:r w:rsidR="5F130805" w:rsidRPr="00DA7486">
        <w:rPr>
          <w:rFonts w:ascii="Times New Roman" w:hAnsi="Times New Roman" w:cs="Times New Roman"/>
        </w:rPr>
        <w:t xml:space="preserve">‘South Sudan: United States Provides Support for Justice and </w:t>
      </w:r>
      <w:r w:rsidR="2D605E6A" w:rsidRPr="00DA7486">
        <w:rPr>
          <w:rFonts w:ascii="Times New Roman" w:hAnsi="Times New Roman" w:cs="Times New Roman"/>
        </w:rPr>
        <w:t xml:space="preserve">Accountability’ </w:t>
      </w:r>
      <w:r w:rsidR="38CEDFA3" w:rsidRPr="00DA7486">
        <w:rPr>
          <w:rFonts w:ascii="Times New Roman" w:hAnsi="Times New Roman" w:cs="Times New Roman"/>
        </w:rPr>
        <w:t>(</w:t>
      </w:r>
      <w:r w:rsidR="7C80F956" w:rsidRPr="00DA7486">
        <w:rPr>
          <w:rFonts w:ascii="Times New Roman" w:hAnsi="Times New Roman" w:cs="Times New Roman"/>
        </w:rPr>
        <w:t xml:space="preserve">4 May </w:t>
      </w:r>
      <w:r w:rsidR="20EB4AD5" w:rsidRPr="00DA7486">
        <w:rPr>
          <w:rFonts w:ascii="Times New Roman" w:hAnsi="Times New Roman" w:cs="Times New Roman"/>
        </w:rPr>
        <w:t xml:space="preserve">2015) </w:t>
      </w:r>
      <w:r w:rsidR="7D9934CD" w:rsidRPr="00DA7486">
        <w:rPr>
          <w:rFonts w:ascii="Times New Roman" w:hAnsi="Times New Roman" w:cs="Times New Roman"/>
        </w:rPr>
        <w:t xml:space="preserve">available at </w:t>
      </w:r>
      <w:hyperlink r:id="rId22">
        <w:r w:rsidR="7E9C9F00" w:rsidRPr="00DA7486">
          <w:rPr>
            <w:rStyle w:val="Hyperlink"/>
            <w:rFonts w:ascii="Times New Roman" w:hAnsi="Times New Roman" w:cs="Times New Roman"/>
          </w:rPr>
          <w:t>https://bit.ly/3W65WaQ</w:t>
        </w:r>
      </w:hyperlink>
      <w:r w:rsidR="7E9C9F00" w:rsidRPr="00DA7486">
        <w:rPr>
          <w:rFonts w:ascii="Times New Roman" w:hAnsi="Times New Roman" w:cs="Times New Roman"/>
        </w:rPr>
        <w:t xml:space="preserve"> </w:t>
      </w:r>
      <w:r w:rsidR="21EEB508" w:rsidRPr="00DA7486">
        <w:rPr>
          <w:rFonts w:ascii="Times New Roman" w:hAnsi="Times New Roman" w:cs="Times New Roman"/>
        </w:rPr>
        <w:t xml:space="preserve"> </w:t>
      </w:r>
      <w:r w:rsidR="36F508BF" w:rsidRPr="00DA7486">
        <w:rPr>
          <w:rFonts w:ascii="Times New Roman" w:hAnsi="Times New Roman" w:cs="Times New Roman"/>
        </w:rPr>
        <w:t>accessed</w:t>
      </w:r>
      <w:r w:rsidR="2894752B" w:rsidRPr="00DA7486">
        <w:rPr>
          <w:rFonts w:ascii="Times New Roman" w:hAnsi="Times New Roman" w:cs="Times New Roman"/>
        </w:rPr>
        <w:t xml:space="preserve"> 14 </w:t>
      </w:r>
      <w:r w:rsidR="7050DCB0" w:rsidRPr="00DA7486">
        <w:rPr>
          <w:rFonts w:ascii="Times New Roman" w:hAnsi="Times New Roman" w:cs="Times New Roman"/>
        </w:rPr>
        <w:t xml:space="preserve">January </w:t>
      </w:r>
      <w:r w:rsidR="4CFEC6A9" w:rsidRPr="00DA7486">
        <w:rPr>
          <w:rFonts w:ascii="Times New Roman" w:hAnsi="Times New Roman" w:cs="Times New Roman"/>
        </w:rPr>
        <w:t>2023.</w:t>
      </w:r>
    </w:p>
  </w:footnote>
  <w:footnote w:id="83">
    <w:p w14:paraId="5436779B" w14:textId="3F79A0EC" w:rsidR="007C730D" w:rsidRPr="00DA7486" w:rsidRDefault="007C730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See</w:t>
      </w:r>
      <w:r w:rsidR="332C89B3" w:rsidRPr="00DA7486">
        <w:rPr>
          <w:rFonts w:ascii="Times New Roman" w:hAnsi="Times New Roman" w:cs="Times New Roman"/>
        </w:rPr>
        <w:t xml:space="preserve"> </w:t>
      </w:r>
      <w:r w:rsidR="0FDA73AC" w:rsidRPr="00DA7486">
        <w:rPr>
          <w:rFonts w:ascii="Times New Roman" w:hAnsi="Times New Roman" w:cs="Times New Roman"/>
        </w:rPr>
        <w:t>The African Commission on Human and Peoples’ Rights</w:t>
      </w:r>
      <w:r w:rsidR="0179E018" w:rsidRPr="00DA7486">
        <w:rPr>
          <w:rFonts w:ascii="Times New Roman" w:hAnsi="Times New Roman" w:cs="Times New Roman"/>
        </w:rPr>
        <w:t>, ‘</w:t>
      </w:r>
      <w:r w:rsidR="5CC76F81" w:rsidRPr="00DA7486">
        <w:rPr>
          <w:rFonts w:ascii="Times New Roman" w:hAnsi="Times New Roman" w:cs="Times New Roman"/>
        </w:rPr>
        <w:t xml:space="preserve">Press release on human rights violations in the South Sudan </w:t>
      </w:r>
      <w:r w:rsidR="3975597A" w:rsidRPr="00DA7486">
        <w:rPr>
          <w:rFonts w:ascii="Times New Roman" w:hAnsi="Times New Roman" w:cs="Times New Roman"/>
        </w:rPr>
        <w:t>conflict’ (</w:t>
      </w:r>
      <w:r w:rsidR="2B14C5E6" w:rsidRPr="00DA7486">
        <w:rPr>
          <w:rFonts w:ascii="Times New Roman" w:hAnsi="Times New Roman" w:cs="Times New Roman"/>
        </w:rPr>
        <w:t xml:space="preserve">12 July </w:t>
      </w:r>
      <w:r w:rsidR="40D98CE1" w:rsidRPr="00DA7486">
        <w:rPr>
          <w:rFonts w:ascii="Times New Roman" w:hAnsi="Times New Roman" w:cs="Times New Roman"/>
        </w:rPr>
        <w:t xml:space="preserve">2018) </w:t>
      </w:r>
      <w:r w:rsidR="0895F467" w:rsidRPr="00DA7486">
        <w:rPr>
          <w:rFonts w:ascii="Times New Roman" w:hAnsi="Times New Roman" w:cs="Times New Roman"/>
        </w:rPr>
        <w:t xml:space="preserve">available </w:t>
      </w:r>
      <w:r w:rsidR="7A3560D2" w:rsidRPr="00DA7486">
        <w:rPr>
          <w:rFonts w:ascii="Times New Roman" w:hAnsi="Times New Roman" w:cs="Times New Roman"/>
        </w:rPr>
        <w:t>at</w:t>
      </w:r>
      <w:r w:rsidR="53F13870" w:rsidRPr="00DA7486">
        <w:rPr>
          <w:rFonts w:ascii="Times New Roman" w:hAnsi="Times New Roman" w:cs="Times New Roman"/>
        </w:rPr>
        <w:t xml:space="preserve"> </w:t>
      </w:r>
      <w:hyperlink r:id="rId23" w:history="1">
        <w:r w:rsidR="00F216BD" w:rsidRPr="0059179E">
          <w:rPr>
            <w:rStyle w:val="Hyperlink"/>
            <w:rFonts w:ascii="Times New Roman" w:hAnsi="Times New Roman" w:cs="Times New Roman"/>
          </w:rPr>
          <w:t>https://bit.ly/3iKvrRd</w:t>
        </w:r>
      </w:hyperlink>
      <w:r w:rsidR="00F216BD">
        <w:rPr>
          <w:rFonts w:ascii="Times New Roman" w:hAnsi="Times New Roman" w:cs="Times New Roman"/>
        </w:rPr>
        <w:t xml:space="preserve"> </w:t>
      </w:r>
      <w:r w:rsidR="1BAD9FF6" w:rsidRPr="00DA7486">
        <w:rPr>
          <w:rFonts w:ascii="Times New Roman" w:hAnsi="Times New Roman" w:cs="Times New Roman"/>
        </w:rPr>
        <w:t xml:space="preserve">accessed 14 </w:t>
      </w:r>
      <w:r w:rsidR="10B89B12" w:rsidRPr="00DA7486">
        <w:rPr>
          <w:rFonts w:ascii="Times New Roman" w:hAnsi="Times New Roman" w:cs="Times New Roman"/>
        </w:rPr>
        <w:t>January 2023.</w:t>
      </w:r>
    </w:p>
  </w:footnote>
  <w:footnote w:id="84">
    <w:p w14:paraId="7D6CD030" w14:textId="40840839" w:rsidR="007C730D" w:rsidRPr="00DA7486" w:rsidRDefault="007C730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for example South Sudan Civil Society Coalition on the UPR, Joint submission 7‘ paras 4-9 available at </w:t>
      </w:r>
      <w:hyperlink r:id="rId24" w:history="1">
        <w:r w:rsidR="00FA3B10" w:rsidRPr="0059179E">
          <w:rPr>
            <w:rStyle w:val="Hyperlink"/>
            <w:rFonts w:ascii="Times New Roman" w:hAnsi="Times New Roman" w:cs="Times New Roman"/>
          </w:rPr>
          <w:t>https://bit.ly/3w5oQE4</w:t>
        </w:r>
      </w:hyperlink>
      <w:r w:rsidR="00FA3B10">
        <w:rPr>
          <w:rFonts w:ascii="Times New Roman" w:hAnsi="Times New Roman" w:cs="Times New Roman"/>
        </w:rPr>
        <w:t xml:space="preserve"> </w:t>
      </w:r>
      <w:r w:rsidR="3488CB8D" w:rsidRPr="00DA7486">
        <w:rPr>
          <w:rFonts w:ascii="Times New Roman" w:hAnsi="Times New Roman" w:cs="Times New Roman"/>
        </w:rPr>
        <w:t xml:space="preserve">accessed 14 January 2023;  Rights for Peace, Centre for Inclusive Governance, Peace &amp; Justice, and Dialogue and Research Initiative, ’ Submission to the United Nations Universal Periodic Review of South Sudan’ (15 July 2011) 1-9 available at </w:t>
      </w:r>
      <w:hyperlink r:id="rId25" w:history="1">
        <w:r w:rsidR="00E07374" w:rsidRPr="0059179E">
          <w:rPr>
            <w:rStyle w:val="Hyperlink"/>
            <w:rFonts w:ascii="Times New Roman" w:hAnsi="Times New Roman" w:cs="Times New Roman"/>
          </w:rPr>
          <w:t>https://bit.ly/3GI5N7Q</w:t>
        </w:r>
      </w:hyperlink>
      <w:r w:rsidR="00E07374">
        <w:rPr>
          <w:rFonts w:ascii="Times New Roman" w:hAnsi="Times New Roman" w:cs="Times New Roman"/>
        </w:rPr>
        <w:t xml:space="preserve"> </w:t>
      </w:r>
      <w:r w:rsidR="3488CB8D" w:rsidRPr="00DA7486">
        <w:rPr>
          <w:rFonts w:ascii="Times New Roman" w:hAnsi="Times New Roman" w:cs="Times New Roman"/>
        </w:rPr>
        <w:t>accessed 14 January 2023; The East and Horn of Africa Human Rights Defenders Project (</w:t>
      </w:r>
      <w:proofErr w:type="spellStart"/>
      <w:r w:rsidR="3488CB8D" w:rsidRPr="00DA7486">
        <w:rPr>
          <w:rFonts w:ascii="Times New Roman" w:hAnsi="Times New Roman" w:cs="Times New Roman"/>
        </w:rPr>
        <w:t>DefendDefenders</w:t>
      </w:r>
      <w:proofErr w:type="spellEnd"/>
      <w:r w:rsidR="3488CB8D" w:rsidRPr="00DA7486">
        <w:rPr>
          <w:rFonts w:ascii="Times New Roman" w:hAnsi="Times New Roman" w:cs="Times New Roman"/>
        </w:rPr>
        <w:t xml:space="preserve">) and South Sudan Human Rights Defenders Network (SSHRDN), ’Joint Submission 5’ paras 1.1 - 1.12 available at </w:t>
      </w:r>
      <w:hyperlink r:id="rId26" w:history="1">
        <w:r w:rsidR="004344DA" w:rsidRPr="0059179E">
          <w:rPr>
            <w:rStyle w:val="Hyperlink"/>
            <w:rFonts w:ascii="Times New Roman" w:hAnsi="Times New Roman" w:cs="Times New Roman"/>
          </w:rPr>
          <w:t>https://bit.ly/3QDJ6Gt</w:t>
        </w:r>
      </w:hyperlink>
      <w:r w:rsidR="004344DA">
        <w:rPr>
          <w:rFonts w:ascii="Times New Roman" w:hAnsi="Times New Roman" w:cs="Times New Roman"/>
        </w:rPr>
        <w:t xml:space="preserve"> </w:t>
      </w:r>
      <w:r w:rsidR="004344DA" w:rsidRPr="004344DA">
        <w:rPr>
          <w:rFonts w:ascii="Times New Roman" w:hAnsi="Times New Roman" w:cs="Times New Roman"/>
        </w:rPr>
        <w:t xml:space="preserve"> </w:t>
      </w:r>
      <w:r w:rsidR="3488CB8D" w:rsidRPr="00DA7486">
        <w:rPr>
          <w:rFonts w:ascii="Times New Roman" w:hAnsi="Times New Roman" w:cs="Times New Roman"/>
        </w:rPr>
        <w:t xml:space="preserve">accessed 14 January 2014; Amnesty International, ’South Sudan: Amnesty International Submission for the UN Universal Periodic Review 26th Session of the UPR Working Group’ (March 2016) 6 available at </w:t>
      </w:r>
      <w:hyperlink r:id="rId27" w:history="1">
        <w:r w:rsidR="00960A19" w:rsidRPr="0059179E">
          <w:rPr>
            <w:rStyle w:val="Hyperlink"/>
            <w:rFonts w:ascii="Times New Roman" w:hAnsi="Times New Roman" w:cs="Times New Roman"/>
          </w:rPr>
          <w:t>https://bit.ly/3W70kx2</w:t>
        </w:r>
      </w:hyperlink>
      <w:r w:rsidR="00960A19">
        <w:rPr>
          <w:rFonts w:ascii="Times New Roman" w:hAnsi="Times New Roman" w:cs="Times New Roman"/>
        </w:rPr>
        <w:t xml:space="preserve"> </w:t>
      </w:r>
      <w:r w:rsidR="3488CB8D" w:rsidRPr="00DA7486">
        <w:rPr>
          <w:rFonts w:ascii="Times New Roman" w:hAnsi="Times New Roman" w:cs="Times New Roman"/>
        </w:rPr>
        <w:t xml:space="preserve">accessed 14 January 2023; Human Rights Watch, ’UPR Submission for Sudan’ (March 2016) 6 available at </w:t>
      </w:r>
      <w:hyperlink r:id="rId28" w:history="1">
        <w:r w:rsidR="00960A19" w:rsidRPr="0059179E">
          <w:rPr>
            <w:rStyle w:val="Hyperlink"/>
            <w:rFonts w:ascii="Times New Roman" w:hAnsi="Times New Roman" w:cs="Times New Roman"/>
          </w:rPr>
          <w:t>https://bit.ly/3W85dpr</w:t>
        </w:r>
      </w:hyperlink>
      <w:r w:rsidR="00960A19" w:rsidRPr="00960A19">
        <w:rPr>
          <w:rFonts w:ascii="Times New Roman" w:hAnsi="Times New Roman" w:cs="Times New Roman"/>
        </w:rPr>
        <w:t xml:space="preserve"> </w:t>
      </w:r>
      <w:r w:rsidR="3488CB8D" w:rsidRPr="00DA7486">
        <w:rPr>
          <w:rFonts w:ascii="Times New Roman" w:hAnsi="Times New Roman" w:cs="Times New Roman"/>
        </w:rPr>
        <w:t>accessed 14 January 2023.</w:t>
      </w:r>
    </w:p>
  </w:footnote>
  <w:footnote w:id="85">
    <w:p w14:paraId="369E4D91" w14:textId="3C1AC557" w:rsidR="00B23B5A" w:rsidRPr="00DA7486" w:rsidRDefault="00B23B5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statement by group of 47 NGOs criticising the quality of UPR recommendations, UPR Info, ‘Group of 47 NGOs calls on States to focus on quality, not quantity at UPR‘ available at  </w:t>
      </w:r>
      <w:hyperlink r:id="rId29" w:history="1">
        <w:r w:rsidR="00F216BD" w:rsidRPr="0059179E">
          <w:rPr>
            <w:rStyle w:val="Hyperlink"/>
            <w:rFonts w:ascii="Times New Roman" w:hAnsi="Times New Roman" w:cs="Times New Roman"/>
          </w:rPr>
          <w:t>https://bit.ly/3w8hBvf</w:t>
        </w:r>
      </w:hyperlink>
      <w:r w:rsidR="00F216BD">
        <w:rPr>
          <w:rFonts w:ascii="Times New Roman" w:hAnsi="Times New Roman" w:cs="Times New Roman"/>
        </w:rPr>
        <w:t xml:space="preserve"> </w:t>
      </w:r>
      <w:r w:rsidR="3488CB8D" w:rsidRPr="00DA7486">
        <w:rPr>
          <w:rFonts w:ascii="Times New Roman" w:hAnsi="Times New Roman" w:cs="Times New Roman"/>
        </w:rPr>
        <w:t xml:space="preserve">accessed 14 January 2023; However, other international mechanisms have been criticised as well. For criticisms on the recommendations of the treaty bodies, see Secretary General, </w:t>
      </w:r>
      <w:r w:rsidR="3488CB8D" w:rsidRPr="00DA7486">
        <w:rPr>
          <w:rFonts w:ascii="Times New Roman" w:hAnsi="Times New Roman" w:cs="Times New Roman"/>
          <w:i/>
          <w:iCs/>
        </w:rPr>
        <w:t xml:space="preserve">Effective Functioning of Bodies Established Pursuant to United Nations Human Rights Instruments, </w:t>
      </w:r>
      <w:r w:rsidR="3488CB8D" w:rsidRPr="00DA7486">
        <w:rPr>
          <w:rFonts w:ascii="Times New Roman" w:hAnsi="Times New Roman" w:cs="Times New Roman"/>
        </w:rPr>
        <w:t xml:space="preserve">UN Doc. E/CN.4/1997/74 (27 March 1997) Annex, para 109.    </w:t>
      </w:r>
    </w:p>
  </w:footnote>
  <w:footnote w:id="86">
    <w:p w14:paraId="3F03A22C" w14:textId="04084A84" w:rsidR="00B04A82" w:rsidRPr="00DA7486" w:rsidRDefault="00B23B5A" w:rsidP="00DA7486">
      <w:pPr>
        <w:pStyle w:val="FootnoteText"/>
        <w:jc w:val="both"/>
        <w:rPr>
          <w:rFonts w:ascii="Times New Roman" w:hAnsi="Times New Roman" w:cs="Times New Roman"/>
          <w:color w:val="000000" w:themeColor="text1"/>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Subhas </w:t>
      </w:r>
      <w:proofErr w:type="spellStart"/>
      <w:r w:rsidR="3488CB8D" w:rsidRPr="00DA7486">
        <w:rPr>
          <w:rFonts w:ascii="Times New Roman" w:hAnsi="Times New Roman" w:cs="Times New Roman"/>
        </w:rPr>
        <w:t>Gujadhur</w:t>
      </w:r>
      <w:proofErr w:type="spellEnd"/>
      <w:r w:rsidR="3488CB8D" w:rsidRPr="00DA7486">
        <w:rPr>
          <w:rFonts w:ascii="Times New Roman" w:hAnsi="Times New Roman" w:cs="Times New Roman"/>
        </w:rPr>
        <w:t xml:space="preserve"> and Marc Limon ‘Towards the Third Cycle of the UPR: Stick or Twist? Lessons learnt from the first ten years of the Universal Periodic Review’ (2016) </w:t>
      </w:r>
      <w:hyperlink r:id="rId30" w:history="1">
        <w:r w:rsidR="3488CB8D" w:rsidRPr="00DA7486">
          <w:rPr>
            <w:rStyle w:val="Hyperlink"/>
            <w:rFonts w:ascii="Times New Roman" w:hAnsi="Times New Roman" w:cs="Times New Roman"/>
            <w:color w:val="000000" w:themeColor="text1"/>
            <w:u w:val="none"/>
          </w:rPr>
          <w:t>Universal Rights Group</w:t>
        </w:r>
      </w:hyperlink>
      <w:r w:rsidR="3488CB8D" w:rsidRPr="00DA7486">
        <w:rPr>
          <w:rFonts w:ascii="Times New Roman" w:hAnsi="Times New Roman" w:cs="Times New Roman"/>
          <w:color w:val="000000" w:themeColor="text1"/>
        </w:rPr>
        <w:t xml:space="preserve"> 1, 5 available at</w:t>
      </w:r>
    </w:p>
    <w:p w14:paraId="6D4E658B" w14:textId="40CD2409" w:rsidR="00B23B5A" w:rsidRPr="00DA7486" w:rsidRDefault="00CE7503" w:rsidP="00DA7486">
      <w:pPr>
        <w:pStyle w:val="FootnoteText"/>
        <w:jc w:val="both"/>
        <w:rPr>
          <w:rFonts w:ascii="Times New Roman" w:hAnsi="Times New Roman" w:cs="Times New Roman"/>
        </w:rPr>
      </w:pPr>
      <w:hyperlink r:id="rId31" w:history="1">
        <w:r w:rsidRPr="0059179E">
          <w:rPr>
            <w:rStyle w:val="Hyperlink"/>
            <w:rFonts w:ascii="Times New Roman" w:hAnsi="Times New Roman" w:cs="Times New Roman"/>
          </w:rPr>
          <w:t>https://bit.ly/3GLx60U</w:t>
        </w:r>
      </w:hyperlink>
      <w:r>
        <w:rPr>
          <w:rFonts w:ascii="Times New Roman" w:hAnsi="Times New Roman" w:cs="Times New Roman"/>
        </w:rPr>
        <w:t xml:space="preserve"> </w:t>
      </w:r>
      <w:r w:rsidR="3488CB8D" w:rsidRPr="00DA7486">
        <w:rPr>
          <w:rFonts w:ascii="Times New Roman" w:hAnsi="Times New Roman" w:cs="Times New Roman"/>
        </w:rPr>
        <w:t>accessed 14 January 2023).</w:t>
      </w:r>
    </w:p>
  </w:footnote>
  <w:footnote w:id="87">
    <w:p w14:paraId="13260E94" w14:textId="5348339E" w:rsidR="003A186B" w:rsidRPr="00DA7486" w:rsidRDefault="003A186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UPR Info, ‘For impact on the ground the UPR needs SMART recommendations’ (21 October 2015) available at </w:t>
      </w:r>
      <w:hyperlink r:id="rId32">
        <w:r w:rsidR="3488CB8D" w:rsidRPr="00DA7486">
          <w:rPr>
            <w:rStyle w:val="Hyperlink"/>
            <w:rFonts w:ascii="Times New Roman" w:hAnsi="Times New Roman" w:cs="Times New Roman"/>
          </w:rPr>
          <w:t>https://bit.ly/3GBLJ70</w:t>
        </w:r>
      </w:hyperlink>
      <w:r w:rsidR="3488CB8D" w:rsidRPr="00DA7486">
        <w:rPr>
          <w:rFonts w:ascii="Times New Roman" w:hAnsi="Times New Roman" w:cs="Times New Roman"/>
        </w:rPr>
        <w:t xml:space="preserve"> accessed 14 January 2023. </w:t>
      </w:r>
    </w:p>
  </w:footnote>
  <w:footnote w:id="88">
    <w:p w14:paraId="28F4F2A9" w14:textId="2ECACC46" w:rsidR="003A186B" w:rsidRPr="00DA7486" w:rsidRDefault="003A186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OHCHR, ’ Universal Periodic Review (Third Cycle): Information and guidelines for relevant stakeholders’ written submissions’ para 7 (c) available at </w:t>
      </w:r>
      <w:hyperlink r:id="rId33" w:history="1">
        <w:r w:rsidR="00796451" w:rsidRPr="0059179E">
          <w:rPr>
            <w:rStyle w:val="Hyperlink"/>
            <w:rFonts w:ascii="Times New Roman" w:hAnsi="Times New Roman" w:cs="Times New Roman"/>
          </w:rPr>
          <w:t>https://bit.ly/3ZBUHda</w:t>
        </w:r>
      </w:hyperlink>
      <w:r w:rsidR="00796451">
        <w:rPr>
          <w:rFonts w:ascii="Times New Roman" w:hAnsi="Times New Roman" w:cs="Times New Roman"/>
        </w:rPr>
        <w:t xml:space="preserve"> </w:t>
      </w:r>
      <w:r w:rsidR="3488CB8D" w:rsidRPr="00DA7486">
        <w:rPr>
          <w:rFonts w:ascii="Times New Roman" w:hAnsi="Times New Roman" w:cs="Times New Roman"/>
        </w:rPr>
        <w:t>accessed 14 January 2023)</w:t>
      </w:r>
      <w:r w:rsidR="00C96BE8" w:rsidRPr="00DA7486">
        <w:rPr>
          <w:rFonts w:ascii="Times New Roman" w:hAnsi="Times New Roman" w:cs="Times New Roman"/>
        </w:rPr>
        <w:t xml:space="preserve">; </w:t>
      </w:r>
      <w:r w:rsidR="00703E98">
        <w:rPr>
          <w:rFonts w:ascii="Times New Roman" w:hAnsi="Times New Roman" w:cs="Times New Roman"/>
        </w:rPr>
        <w:t>UNESCO</w:t>
      </w:r>
      <w:r w:rsidR="007C40FA">
        <w:rPr>
          <w:rFonts w:ascii="Times New Roman" w:hAnsi="Times New Roman" w:cs="Times New Roman"/>
        </w:rPr>
        <w:t>, ‘</w:t>
      </w:r>
      <w:r w:rsidR="007C40FA" w:rsidRPr="007C40FA">
        <w:rPr>
          <w:rFonts w:ascii="Times New Roman" w:hAnsi="Times New Roman" w:cs="Times New Roman"/>
        </w:rPr>
        <w:t>The Universal Periodic Review (UPR) and its potential to foster freedom of expression, access to information and safety of journalists: factsheet on smart recommendations for civil society organizations</w:t>
      </w:r>
      <w:r w:rsidR="007C40FA">
        <w:rPr>
          <w:rFonts w:ascii="Times New Roman" w:hAnsi="Times New Roman" w:cs="Times New Roman"/>
        </w:rPr>
        <w:t xml:space="preserve">’ (2022) available at </w:t>
      </w:r>
      <w:r w:rsidR="007C40FA" w:rsidRPr="007C40FA">
        <w:rPr>
          <w:rStyle w:val="Hyperlink"/>
          <w:rFonts w:ascii="Times New Roman" w:hAnsi="Times New Roman" w:cs="Times New Roman"/>
          <w:color w:val="auto"/>
          <w:u w:val="none"/>
        </w:rPr>
        <w:t xml:space="preserve"> </w:t>
      </w:r>
      <w:r w:rsidR="3488CB8D" w:rsidRPr="00DA7486">
        <w:rPr>
          <w:rStyle w:val="Hyperlink"/>
          <w:rFonts w:ascii="Times New Roman" w:hAnsi="Times New Roman" w:cs="Times New Roman"/>
        </w:rPr>
        <w:t>https://unesdoc.unesco.org/ark:/48223/pf0000382048</w:t>
      </w:r>
      <w:r w:rsidR="3488CB8D" w:rsidRPr="00DA7486">
        <w:rPr>
          <w:rFonts w:ascii="Times New Roman" w:hAnsi="Times New Roman" w:cs="Times New Roman"/>
        </w:rPr>
        <w:t xml:space="preserve"> accessed 14 January 2023.</w:t>
      </w:r>
    </w:p>
  </w:footnote>
  <w:footnote w:id="89">
    <w:p w14:paraId="5B48EBFB" w14:textId="46F88F7F" w:rsidR="00C96BE8" w:rsidRPr="00DA7486" w:rsidRDefault="00C96BE8"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UNESCO, above n 87, 2. </w:t>
      </w:r>
    </w:p>
  </w:footnote>
  <w:footnote w:id="90">
    <w:p w14:paraId="684A7B69" w14:textId="529432C8" w:rsidR="00496A34" w:rsidRPr="00DA7486" w:rsidRDefault="00496A3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UPR Info, ‘UPR Info's Database Action category’ available at </w:t>
      </w:r>
      <w:hyperlink r:id="rId34">
        <w:r w:rsidR="3488CB8D" w:rsidRPr="00DA7486">
          <w:rPr>
            <w:rStyle w:val="Hyperlink"/>
            <w:rFonts w:ascii="Times New Roman" w:hAnsi="Times New Roman" w:cs="Times New Roman"/>
          </w:rPr>
          <w:t>https://bit.ly/3CMzR0I</w:t>
        </w:r>
      </w:hyperlink>
      <w:r w:rsidR="3488CB8D" w:rsidRPr="00DA7486">
        <w:rPr>
          <w:rFonts w:ascii="Times New Roman" w:hAnsi="Times New Roman" w:cs="Times New Roman"/>
        </w:rPr>
        <w:t xml:space="preserve"> accessed 14 January 2023.</w:t>
      </w:r>
    </w:p>
  </w:footnote>
  <w:footnote w:id="91">
    <w:p w14:paraId="437AE1F6" w14:textId="40BF60DD" w:rsidR="00FB55DC" w:rsidRPr="00DA7486" w:rsidRDefault="00FB55DC"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9E5386" w:rsidRPr="00DA7486">
        <w:rPr>
          <w:rFonts w:ascii="Times New Roman" w:hAnsi="Times New Roman" w:cs="Times New Roman"/>
        </w:rPr>
        <w:t xml:space="preserve">See Subhas </w:t>
      </w:r>
      <w:proofErr w:type="spellStart"/>
      <w:r w:rsidR="009E5386" w:rsidRPr="00DA7486">
        <w:rPr>
          <w:rFonts w:ascii="Times New Roman" w:hAnsi="Times New Roman" w:cs="Times New Roman"/>
        </w:rPr>
        <w:t>Gujadhur</w:t>
      </w:r>
      <w:proofErr w:type="spellEnd"/>
      <w:r w:rsidR="009E5386" w:rsidRPr="00DA7486">
        <w:rPr>
          <w:rFonts w:ascii="Times New Roman" w:hAnsi="Times New Roman" w:cs="Times New Roman"/>
        </w:rPr>
        <w:t xml:space="preserve"> and Marc Limon, above </w:t>
      </w:r>
      <w:r w:rsidR="005E114F" w:rsidRPr="00DA7486">
        <w:rPr>
          <w:rFonts w:ascii="Times New Roman" w:hAnsi="Times New Roman" w:cs="Times New Roman"/>
        </w:rPr>
        <w:t>n</w:t>
      </w:r>
      <w:r w:rsidR="00357C33" w:rsidRPr="00DA7486">
        <w:rPr>
          <w:rFonts w:ascii="Times New Roman" w:hAnsi="Times New Roman" w:cs="Times New Roman"/>
        </w:rPr>
        <w:fldChar w:fldCharType="begin"/>
      </w:r>
      <w:r w:rsidR="00357C33" w:rsidRPr="00DA7486">
        <w:rPr>
          <w:rFonts w:ascii="Times New Roman" w:hAnsi="Times New Roman" w:cs="Times New Roman"/>
        </w:rPr>
        <w:instrText xml:space="preserve"> NOTEREF _Ref124622912 \h </w:instrText>
      </w:r>
      <w:r w:rsidR="00DA7486" w:rsidRPr="00DA7486">
        <w:rPr>
          <w:rFonts w:ascii="Times New Roman" w:hAnsi="Times New Roman" w:cs="Times New Roman"/>
        </w:rPr>
        <w:instrText xml:space="preserve"> \* MERGEFORMAT </w:instrText>
      </w:r>
      <w:r w:rsidR="00357C33" w:rsidRPr="00DA7486">
        <w:rPr>
          <w:rFonts w:ascii="Times New Roman" w:hAnsi="Times New Roman" w:cs="Times New Roman"/>
        </w:rPr>
      </w:r>
      <w:r w:rsidR="00357C33" w:rsidRPr="00DA7486">
        <w:rPr>
          <w:rFonts w:ascii="Times New Roman" w:hAnsi="Times New Roman" w:cs="Times New Roman"/>
        </w:rPr>
        <w:fldChar w:fldCharType="separate"/>
      </w:r>
      <w:r w:rsidR="00357C33" w:rsidRPr="00DA7486">
        <w:rPr>
          <w:rFonts w:ascii="Times New Roman" w:hAnsi="Times New Roman" w:cs="Times New Roman"/>
        </w:rPr>
        <w:t>85</w:t>
      </w:r>
      <w:r w:rsidR="00357C33" w:rsidRPr="00DA7486">
        <w:rPr>
          <w:rFonts w:ascii="Times New Roman" w:hAnsi="Times New Roman" w:cs="Times New Roman"/>
        </w:rPr>
        <w:fldChar w:fldCharType="end"/>
      </w:r>
      <w:r w:rsidR="00F26F8D" w:rsidRPr="00DA7486">
        <w:rPr>
          <w:rFonts w:ascii="Times New Roman" w:hAnsi="Times New Roman" w:cs="Times New Roman"/>
        </w:rPr>
        <w:t xml:space="preserve">, </w:t>
      </w:r>
      <w:r w:rsidR="001B3995" w:rsidRPr="00DA7486">
        <w:rPr>
          <w:rFonts w:ascii="Times New Roman" w:hAnsi="Times New Roman" w:cs="Times New Roman"/>
        </w:rPr>
        <w:t>29</w:t>
      </w:r>
      <w:r w:rsidR="00F26F8D" w:rsidRPr="00DA7486">
        <w:rPr>
          <w:rFonts w:ascii="Times New Roman" w:hAnsi="Times New Roman" w:cs="Times New Roman"/>
        </w:rPr>
        <w:t>-30</w:t>
      </w:r>
      <w:r w:rsidR="00687103" w:rsidRPr="00DA7486">
        <w:rPr>
          <w:rFonts w:ascii="Times New Roman" w:hAnsi="Times New Roman" w:cs="Times New Roman"/>
        </w:rPr>
        <w:t>.</w:t>
      </w:r>
    </w:p>
  </w:footnote>
  <w:footnote w:id="92">
    <w:p w14:paraId="431AD652" w14:textId="5CD5E649" w:rsidR="00FE2F2B" w:rsidRPr="00DA7486" w:rsidRDefault="00FE2F2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Ibid page 29.</w:t>
      </w:r>
    </w:p>
  </w:footnote>
  <w:footnote w:id="93">
    <w:p w14:paraId="6ED22689" w14:textId="31FCC643" w:rsidR="009A62E1" w:rsidRPr="00DA7486" w:rsidRDefault="009A62E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Judith Bueno De Mesquita, ’The Universal Periodic Review: A Valuable New Procedure for the Right to Health?‘ (2019) (21 (2) </w:t>
      </w:r>
      <w:r w:rsidR="3488CB8D" w:rsidRPr="00DA7486">
        <w:rPr>
          <w:rFonts w:ascii="Times New Roman" w:hAnsi="Times New Roman" w:cs="Times New Roman"/>
          <w:i/>
          <w:iCs/>
        </w:rPr>
        <w:t xml:space="preserve">Health and Human Rights Journal </w:t>
      </w:r>
      <w:r w:rsidR="3488CB8D" w:rsidRPr="00DA7486">
        <w:rPr>
          <w:rFonts w:ascii="Times New Roman" w:hAnsi="Times New Roman" w:cs="Times New Roman"/>
        </w:rPr>
        <w:t>263–277.</w:t>
      </w:r>
    </w:p>
  </w:footnote>
  <w:footnote w:id="94">
    <w:p w14:paraId="06949DB9" w14:textId="74B5A115" w:rsidR="00D729AD" w:rsidRPr="00DA7486" w:rsidRDefault="00D729AD"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w:t>
      </w:r>
      <w:proofErr w:type="spellStart"/>
      <w:r w:rsidR="3488CB8D" w:rsidRPr="00DA7486">
        <w:rPr>
          <w:rFonts w:ascii="Times New Roman" w:hAnsi="Times New Roman" w:cs="Times New Roman"/>
        </w:rPr>
        <w:t>Allehone</w:t>
      </w:r>
      <w:proofErr w:type="spellEnd"/>
      <w:r w:rsidR="3488CB8D" w:rsidRPr="00DA7486">
        <w:rPr>
          <w:rFonts w:ascii="Times New Roman" w:hAnsi="Times New Roman" w:cs="Times New Roman"/>
        </w:rPr>
        <w:t xml:space="preserve"> M Abebe, ‘Of Shaming and Bargaining: African States and the Universal Periodic Review of the United Nations Human Rights Council’ (2009) </w:t>
      </w:r>
      <w:r w:rsidR="3488CB8D" w:rsidRPr="00DA7486">
        <w:rPr>
          <w:rFonts w:ascii="Times New Roman" w:hAnsi="Times New Roman" w:cs="Times New Roman"/>
          <w:i/>
          <w:iCs/>
        </w:rPr>
        <w:t xml:space="preserve">Human Rights Law Review </w:t>
      </w:r>
      <w:r w:rsidR="3488CB8D" w:rsidRPr="00DA7486">
        <w:rPr>
          <w:rFonts w:ascii="Times New Roman" w:hAnsi="Times New Roman" w:cs="Times New Roman"/>
        </w:rPr>
        <w:t>1, 16; Damian Etone, </w:t>
      </w:r>
      <w:r w:rsidR="3488CB8D" w:rsidRPr="00DA7486">
        <w:rPr>
          <w:rFonts w:ascii="Times New Roman" w:hAnsi="Times New Roman" w:cs="Times New Roman"/>
          <w:i/>
          <w:iCs/>
        </w:rPr>
        <w:t>The Human Rights Council: The Impact of the Universal Periodic Review in Africa</w:t>
      </w:r>
      <w:r w:rsidR="3488CB8D" w:rsidRPr="00DA7486">
        <w:rPr>
          <w:rFonts w:ascii="Times New Roman" w:hAnsi="Times New Roman" w:cs="Times New Roman"/>
        </w:rPr>
        <w:t> (Routledge, 2021) 116-117.</w:t>
      </w:r>
    </w:p>
  </w:footnote>
  <w:footnote w:id="95">
    <w:p w14:paraId="4F9CAC24" w14:textId="419F7F12" w:rsidR="0027739B" w:rsidRPr="00DA7486" w:rsidRDefault="0027739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w:t>
      </w:r>
      <w:r w:rsidR="3488CB8D" w:rsidRPr="00DA7486">
        <w:rPr>
          <w:rFonts w:ascii="Times New Roman" w:eastAsia="Calibri" w:hAnsi="Times New Roman" w:cs="Times New Roman"/>
        </w:rPr>
        <w:t>UN Human Rights Council, ‘Report of the Working Group on the Universal Periodic Review – South Sudan’, 34th sess, UN Doc A/HRC/34/13 (26 December 2016) para 126.20.</w:t>
      </w:r>
      <w:r w:rsidR="3488CB8D" w:rsidRPr="00DA7486">
        <w:rPr>
          <w:rFonts w:ascii="Times New Roman" w:hAnsi="Times New Roman" w:cs="Times New Roman"/>
        </w:rPr>
        <w:t xml:space="preserve"> </w:t>
      </w:r>
    </w:p>
  </w:footnote>
  <w:footnote w:id="96">
    <w:p w14:paraId="7524C69C" w14:textId="4EB60B34" w:rsidR="0027739B" w:rsidRPr="00DA7486" w:rsidRDefault="0027739B"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w:t>
      </w:r>
      <w:r w:rsidR="3488CB8D" w:rsidRPr="00DA7486">
        <w:rPr>
          <w:rFonts w:ascii="Times New Roman" w:eastAsia="Calibri" w:hAnsi="Times New Roman" w:cs="Times New Roman"/>
        </w:rPr>
        <w:t>See UN Human Rights Council, ‘Report of the Working Group on the Universal Periodic Review - Sudan’ (11 July 2011) UN Doc A/HRC/18/16, para 85.2.</w:t>
      </w:r>
      <w:r w:rsidR="3488CB8D" w:rsidRPr="00DA7486">
        <w:rPr>
          <w:rFonts w:ascii="Times New Roman" w:hAnsi="Times New Roman" w:cs="Times New Roman"/>
        </w:rPr>
        <w:t xml:space="preserve"> </w:t>
      </w:r>
    </w:p>
  </w:footnote>
  <w:footnote w:id="97">
    <w:p w14:paraId="78ADE881" w14:textId="05AB9DE9" w:rsidR="00BC2AC2" w:rsidRPr="00DA7486" w:rsidRDefault="00BC2AC2"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See </w:t>
      </w:r>
      <w:r w:rsidR="3488CB8D" w:rsidRPr="00DA7486">
        <w:rPr>
          <w:rFonts w:ascii="Times New Roman" w:eastAsia="Calibri" w:hAnsi="Times New Roman" w:cs="Times New Roman"/>
        </w:rPr>
        <w:t>UN Human Rights Council, ‘</w:t>
      </w:r>
      <w:r w:rsidR="3488CB8D" w:rsidRPr="00DA7486">
        <w:rPr>
          <w:rFonts w:ascii="Times New Roman" w:eastAsia="Times New Roman" w:hAnsi="Times New Roman" w:cs="Times New Roman"/>
        </w:rPr>
        <w:t>Report of the Special Rapporteur on extreme poverty and human rights’ (28 April 2016) UN Doc A/HRC/32/31, para 50.</w:t>
      </w:r>
    </w:p>
  </w:footnote>
  <w:footnote w:id="98">
    <w:p w14:paraId="3996C590" w14:textId="336255C3" w:rsidR="00AC55B9" w:rsidRPr="00DA7486" w:rsidRDefault="00AC55B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w:t>
      </w:r>
      <w:r w:rsidR="3488CB8D" w:rsidRPr="00DA7486">
        <w:rPr>
          <w:rFonts w:ascii="Times New Roman" w:eastAsia="Times New Roman" w:hAnsi="Times New Roman" w:cs="Times New Roman"/>
        </w:rPr>
        <w:t xml:space="preserve">Damian Etone, </w:t>
      </w:r>
      <w:r w:rsidR="3488CB8D" w:rsidRPr="00DA7486">
        <w:rPr>
          <w:rFonts w:ascii="Times New Roman" w:eastAsia="Times New Roman" w:hAnsi="Times New Roman" w:cs="Times New Roman"/>
          <w:i/>
          <w:iCs/>
        </w:rPr>
        <w:t>The Human Rights Council: The Impact of the Universal Periodic Review in Africa</w:t>
      </w:r>
      <w:r w:rsidR="3488CB8D" w:rsidRPr="00DA7486">
        <w:rPr>
          <w:rFonts w:ascii="Times New Roman" w:eastAsia="Times New Roman" w:hAnsi="Times New Roman" w:cs="Times New Roman"/>
        </w:rPr>
        <w:t xml:space="preserve"> (Routledge 2021)</w:t>
      </w:r>
      <w:r w:rsidR="3488CB8D" w:rsidRPr="00DA7486">
        <w:rPr>
          <w:rFonts w:ascii="Times New Roman" w:hAnsi="Times New Roman" w:cs="Times New Roman"/>
        </w:rPr>
        <w:t xml:space="preserve"> 117.</w:t>
      </w:r>
    </w:p>
  </w:footnote>
  <w:footnote w:id="99">
    <w:p w14:paraId="4FE82AD0" w14:textId="55CB5179" w:rsidR="00C64D31" w:rsidRPr="00DA7486" w:rsidRDefault="00C64D31"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Edward McMahon, ‘The Universal Periodic review: A Work in Progress, An Evaluation of the First Cycle of the New UPR Mechanism of the United Nations Human Rights Council’ (2012) </w:t>
      </w:r>
      <w:r w:rsidRPr="00DA7486">
        <w:rPr>
          <w:rFonts w:ascii="Times New Roman" w:hAnsi="Times New Roman" w:cs="Times New Roman"/>
          <w:i/>
          <w:iCs/>
        </w:rPr>
        <w:t xml:space="preserve">Friedrich Ebert Stiftung </w:t>
      </w:r>
      <w:r w:rsidRPr="00DA7486">
        <w:rPr>
          <w:rFonts w:ascii="Times New Roman" w:hAnsi="Times New Roman" w:cs="Times New Roman"/>
        </w:rPr>
        <w:t xml:space="preserve">1, 26.  </w:t>
      </w:r>
    </w:p>
  </w:footnote>
  <w:footnote w:id="100">
    <w:p w14:paraId="6F4F953C" w14:textId="521AA63B" w:rsidR="00215E15" w:rsidRPr="00DA7486" w:rsidRDefault="00215E1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488CB8D" w:rsidRPr="00DA7486">
        <w:rPr>
          <w:rFonts w:ascii="Times New Roman" w:hAnsi="Times New Roman" w:cs="Times New Roman"/>
        </w:rPr>
        <w:t xml:space="preserve"> </w:t>
      </w:r>
      <w:r w:rsidR="3488CB8D" w:rsidRPr="00DA7486">
        <w:rPr>
          <w:rFonts w:ascii="Times New Roman" w:eastAsia="Calibri" w:hAnsi="Times New Roman" w:cs="Times New Roman"/>
        </w:rPr>
        <w:t xml:space="preserve">See UPR Info, ‘UPR Info's Database Action category’ available at </w:t>
      </w:r>
      <w:hyperlink r:id="rId35">
        <w:r w:rsidR="3488CB8D" w:rsidRPr="00DA7486">
          <w:rPr>
            <w:rStyle w:val="Hyperlink"/>
            <w:rFonts w:ascii="Times New Roman" w:eastAsia="Calibri" w:hAnsi="Times New Roman" w:cs="Times New Roman"/>
          </w:rPr>
          <w:t>https://bit.ly/3CMzR0I</w:t>
        </w:r>
      </w:hyperlink>
      <w:r w:rsidR="3488CB8D" w:rsidRPr="00DA7486">
        <w:rPr>
          <w:rFonts w:ascii="Times New Roman" w:eastAsia="Calibri" w:hAnsi="Times New Roman" w:cs="Times New Roman"/>
        </w:rPr>
        <w:t xml:space="preserve"> accessed 14 January 2023.</w:t>
      </w:r>
      <w:r w:rsidR="3488CB8D" w:rsidRPr="00DA7486">
        <w:rPr>
          <w:rFonts w:ascii="Times New Roman" w:hAnsi="Times New Roman" w:cs="Times New Roman"/>
        </w:rPr>
        <w:t xml:space="preserve"> </w:t>
      </w:r>
    </w:p>
  </w:footnote>
  <w:footnote w:id="101">
    <w:p w14:paraId="3149941C" w14:textId="0A4F0614" w:rsidR="00D83894" w:rsidRPr="00DA7486" w:rsidRDefault="00D83894"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3482520" w:rsidRPr="00DA7486">
        <w:rPr>
          <w:rFonts w:ascii="Times New Roman" w:hAnsi="Times New Roman" w:cs="Times New Roman"/>
        </w:rPr>
        <w:t xml:space="preserve"> Senegal recommended that Burundi completes the ongoing judicial reforms, see </w:t>
      </w:r>
      <w:r w:rsidR="33482520" w:rsidRPr="00DA7486">
        <w:rPr>
          <w:rFonts w:ascii="Times New Roman" w:eastAsia="Calibri" w:hAnsi="Times New Roman" w:cs="Times New Roman"/>
        </w:rPr>
        <w:t xml:space="preserve">UN Human Rights Council, ‘Report of the Working Group on the Universal Periodic Review - Burundi’ (19 April 2018) UN Doc A/HRC/38/10, para 137.185. </w:t>
      </w:r>
    </w:p>
  </w:footnote>
  <w:footnote w:id="102">
    <w:p w14:paraId="73470AF6" w14:textId="471E41EE" w:rsidR="000756D5" w:rsidRPr="00DA7486" w:rsidRDefault="000756D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Times New Roman" w:hAnsi="Times New Roman" w:cs="Times New Roman"/>
        </w:rPr>
        <w:t>U</w:t>
      </w:r>
      <w:r w:rsidR="3162A30B" w:rsidRPr="00DA7486">
        <w:rPr>
          <w:rFonts w:ascii="Times New Roman" w:eastAsia="Calibri" w:hAnsi="Times New Roman" w:cs="Times New Roman"/>
          <w:color w:val="3F3F3F"/>
        </w:rPr>
        <w:t>N Security Council,</w:t>
      </w:r>
      <w:r w:rsidR="3162A30B" w:rsidRPr="00DA7486">
        <w:rPr>
          <w:rFonts w:ascii="Times New Roman" w:hAnsi="Times New Roman" w:cs="Times New Roman"/>
        </w:rPr>
        <w:t xml:space="preserve"> </w:t>
      </w:r>
      <w:r w:rsidR="3162A30B" w:rsidRPr="00DA7486">
        <w:rPr>
          <w:rFonts w:ascii="Times New Roman" w:eastAsia="Calibri" w:hAnsi="Times New Roman" w:cs="Times New Roman"/>
          <w:color w:val="3F3F3F"/>
        </w:rPr>
        <w:t>above n 49.</w:t>
      </w:r>
      <w:r w:rsidR="3162A30B" w:rsidRPr="00DA7486">
        <w:rPr>
          <w:rFonts w:ascii="Times New Roman" w:hAnsi="Times New Roman" w:cs="Times New Roman"/>
        </w:rPr>
        <w:t xml:space="preserve"> </w:t>
      </w:r>
    </w:p>
  </w:footnote>
  <w:footnote w:id="103">
    <w:p w14:paraId="2B3D0F64" w14:textId="62E7D435" w:rsidR="000756D5" w:rsidRPr="00DA7486" w:rsidRDefault="000756D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Times New Roman" w:hAnsi="Times New Roman" w:cs="Times New Roman"/>
        </w:rPr>
        <w:t>See UN Human Rights Council, above n 50.</w:t>
      </w:r>
      <w:r w:rsidR="3162A30B" w:rsidRPr="00DA7486">
        <w:rPr>
          <w:rFonts w:ascii="Times New Roman" w:hAnsi="Times New Roman" w:cs="Times New Roman"/>
        </w:rPr>
        <w:t xml:space="preserve"> </w:t>
      </w:r>
    </w:p>
  </w:footnote>
  <w:footnote w:id="104">
    <w:p w14:paraId="16012D26" w14:textId="6162D00F" w:rsidR="000756D5" w:rsidRPr="00DA7486" w:rsidRDefault="000756D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Calibri" w:hAnsi="Times New Roman" w:cs="Times New Roman"/>
        </w:rPr>
        <w:t>African Commission on Human and Peoples’ Rights, above n 51.</w:t>
      </w:r>
      <w:r w:rsidR="3162A30B" w:rsidRPr="00DA7486">
        <w:rPr>
          <w:rFonts w:ascii="Times New Roman" w:hAnsi="Times New Roman" w:cs="Times New Roman"/>
        </w:rPr>
        <w:t xml:space="preserve"> </w:t>
      </w:r>
    </w:p>
  </w:footnote>
  <w:footnote w:id="105">
    <w:p w14:paraId="13E889B3" w14:textId="4D0C12D3" w:rsidR="000756D5" w:rsidRPr="00DA7486" w:rsidRDefault="000756D5"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Times New Roman" w:hAnsi="Times New Roman" w:cs="Times New Roman"/>
        </w:rPr>
        <w:t>See United Nations Peacebuilding Commission, above n 52.</w:t>
      </w:r>
      <w:r w:rsidR="3162A30B" w:rsidRPr="00DA7486">
        <w:rPr>
          <w:rFonts w:ascii="Times New Roman" w:hAnsi="Times New Roman" w:cs="Times New Roman"/>
        </w:rPr>
        <w:t xml:space="preserve"> </w:t>
      </w:r>
    </w:p>
  </w:footnote>
  <w:footnote w:id="106">
    <w:p w14:paraId="28FF0392" w14:textId="24417EDB" w:rsidR="00A47332" w:rsidRPr="00DA7486" w:rsidRDefault="00A47332" w:rsidP="00DA7486">
      <w:pPr>
        <w:pStyle w:val="FootnoteText"/>
        <w:jc w:val="both"/>
        <w:rPr>
          <w:rFonts w:ascii="Times New Roman" w:eastAsia="Merriweather" w:hAnsi="Times New Roman" w:cs="Times New Roman"/>
          <w:b/>
          <w:bCs/>
          <w:color w:val="2A2A2A"/>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As part of the state’s duty to prevent under International Covenant on Civil and Political Rights. ,For legal analysis on the legal duty to prosecute under human rights law see Anja Seibert-</w:t>
      </w:r>
      <w:proofErr w:type="spellStart"/>
      <w:r w:rsidR="3162A30B" w:rsidRPr="00DA7486">
        <w:rPr>
          <w:rFonts w:ascii="Times New Roman" w:hAnsi="Times New Roman" w:cs="Times New Roman"/>
        </w:rPr>
        <w:t>Fohr</w:t>
      </w:r>
      <w:proofErr w:type="spellEnd"/>
      <w:r w:rsidR="3162A30B" w:rsidRPr="00DA7486">
        <w:rPr>
          <w:rFonts w:ascii="Times New Roman" w:hAnsi="Times New Roman" w:cs="Times New Roman"/>
        </w:rPr>
        <w:t xml:space="preserve">, </w:t>
      </w:r>
      <w:r w:rsidR="3162A30B" w:rsidRPr="00DA7486">
        <w:rPr>
          <w:rFonts w:ascii="Times New Roman" w:hAnsi="Times New Roman" w:cs="Times New Roman"/>
          <w:i/>
          <w:iCs/>
        </w:rPr>
        <w:t xml:space="preserve">Prosecuting Serious Human Rights Violations </w:t>
      </w:r>
      <w:r w:rsidR="3162A30B" w:rsidRPr="00DA7486">
        <w:rPr>
          <w:rFonts w:ascii="Times New Roman" w:hAnsi="Times New Roman" w:cs="Times New Roman"/>
        </w:rPr>
        <w:t>(OUP 2009).</w:t>
      </w:r>
    </w:p>
  </w:footnote>
  <w:footnote w:id="107">
    <w:p w14:paraId="547F0AB2" w14:textId="34C1F364" w:rsidR="00C218B2" w:rsidRPr="00DA7486" w:rsidRDefault="00C218B2"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See above note 83. </w:t>
      </w:r>
    </w:p>
  </w:footnote>
  <w:footnote w:id="108">
    <w:p w14:paraId="1F4501CD" w14:textId="47BF99A7" w:rsidR="00245BD6" w:rsidRPr="00DA7486" w:rsidRDefault="00245BD6"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Pr="00DA7486">
        <w:rPr>
          <w:rFonts w:ascii="Times New Roman" w:hAnsi="Times New Roman" w:cs="Times New Roman"/>
        </w:rPr>
        <w:t xml:space="preserve"> </w:t>
      </w:r>
      <w:r w:rsidR="002228F2" w:rsidRPr="00DA7486">
        <w:rPr>
          <w:rFonts w:ascii="Times New Roman" w:hAnsi="Times New Roman" w:cs="Times New Roman"/>
        </w:rPr>
        <w:t>Simon Robins, ‘Failing Victims? The Limits of Transitional Justice in Addressing the Needs of Victims of Violations’ (2017) 2 Human Rights and International Legal Discourse 41-58.</w:t>
      </w:r>
    </w:p>
  </w:footnote>
  <w:footnote w:id="109">
    <w:p w14:paraId="2A4D8D4E" w14:textId="10BE8B88" w:rsidR="00293147" w:rsidRPr="00DA7486" w:rsidRDefault="0029314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See </w:t>
      </w:r>
      <w:r w:rsidR="3162A30B" w:rsidRPr="00DA7486">
        <w:rPr>
          <w:rFonts w:ascii="Times New Roman" w:hAnsi="Times New Roman" w:cs="Times New Roman"/>
          <w:color w:val="3F3F3F"/>
        </w:rPr>
        <w:t xml:space="preserve">UN General Assembly, </w:t>
      </w:r>
      <w:r w:rsidR="3162A30B" w:rsidRPr="00DA7486">
        <w:rPr>
          <w:rFonts w:ascii="Times New Roman" w:hAnsi="Times New Roman" w:cs="Times New Roman"/>
          <w:i/>
          <w:iCs/>
          <w:color w:val="3F3F3F"/>
        </w:rPr>
        <w:t>Basic Principles and Guidelines on the Right to a Remedy and Reparation for Victims of Gross Violations of International Human Rights Law and Serious Violations of International Humanitarian Law (</w:t>
      </w:r>
      <w:r w:rsidR="3162A30B" w:rsidRPr="00DA7486">
        <w:rPr>
          <w:rFonts w:ascii="Times New Roman" w:hAnsi="Times New Roman" w:cs="Times New Roman"/>
          <w:color w:val="3F3F3F"/>
        </w:rPr>
        <w:t>21 March 2006) UN Doc A/RES/60/147</w:t>
      </w:r>
      <w:r w:rsidR="3162A30B" w:rsidRPr="00DA7486">
        <w:rPr>
          <w:rFonts w:ascii="Times New Roman" w:hAnsi="Times New Roman" w:cs="Times New Roman"/>
        </w:rPr>
        <w:t xml:space="preserve">; </w:t>
      </w:r>
      <w:r w:rsidR="3162A30B" w:rsidRPr="00DA7486">
        <w:rPr>
          <w:rFonts w:ascii="Times New Roman" w:hAnsi="Times New Roman" w:cs="Times New Roman"/>
          <w:color w:val="3F3F3F"/>
        </w:rPr>
        <w:t xml:space="preserve">Organization of African Unity (OAU), </w:t>
      </w:r>
      <w:r w:rsidR="3162A30B" w:rsidRPr="00DA7486">
        <w:rPr>
          <w:rFonts w:ascii="Times New Roman" w:hAnsi="Times New Roman" w:cs="Times New Roman"/>
          <w:i/>
          <w:iCs/>
          <w:color w:val="3F3F3F"/>
        </w:rPr>
        <w:t>African Charter on Human and Peoples' Rights ("Banjul Charter")</w:t>
      </w:r>
      <w:r w:rsidR="3162A30B" w:rsidRPr="00DA7486">
        <w:rPr>
          <w:rFonts w:ascii="Times New Roman" w:hAnsi="Times New Roman" w:cs="Times New Roman"/>
          <w:color w:val="3F3F3F"/>
        </w:rPr>
        <w:t>, 27 June 1981, A</w:t>
      </w:r>
      <w:r w:rsidR="3162A30B" w:rsidRPr="00DA7486">
        <w:rPr>
          <w:rFonts w:ascii="Times New Roman" w:hAnsi="Times New Roman" w:cs="Times New Roman"/>
        </w:rPr>
        <w:t xml:space="preserve">rts 10 &amp; 63; ICCPR, Art 9; UN Convention against Torture,  Art 14; For the challenges implementing reparations in South Sudan, see Stephen Oola and Luke Moffett, ’Reparations in South Sudan: Prospects and Challenges’ (2019) available at </w:t>
      </w:r>
      <w:hyperlink r:id="rId36" w:history="1">
        <w:r w:rsidR="3162A30B" w:rsidRPr="00DA7486">
          <w:rPr>
            <w:rStyle w:val="Hyperlink"/>
            <w:rFonts w:ascii="Times New Roman" w:hAnsi="Times New Roman" w:cs="Times New Roman"/>
          </w:rPr>
          <w:t>https://reparations.qub.ac.uk/assets/uploads/South-Sudan-Report-Update-SP.pdf</w:t>
        </w:r>
      </w:hyperlink>
      <w:r w:rsidR="3162A30B" w:rsidRPr="00DA7486">
        <w:rPr>
          <w:rFonts w:ascii="Times New Roman" w:hAnsi="Times New Roman" w:cs="Times New Roman"/>
        </w:rPr>
        <w:t xml:space="preserve">  accessed 14 January 2023.</w:t>
      </w:r>
    </w:p>
  </w:footnote>
  <w:footnote w:id="110">
    <w:p w14:paraId="2D27518D" w14:textId="0A0EAD15" w:rsidR="00B613BD" w:rsidRPr="00DA7486" w:rsidRDefault="00DD6EC7"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hyperlink r:id="rId37">
        <w:r w:rsidR="3162A30B" w:rsidRPr="00DA7486">
          <w:rPr>
            <w:rStyle w:val="Hyperlink"/>
            <w:rFonts w:ascii="Times New Roman" w:hAnsi="Times New Roman" w:cs="Times New Roman"/>
            <w:color w:val="000000" w:themeColor="text1"/>
            <w:u w:val="none"/>
          </w:rPr>
          <w:t>Lisa Laplante</w:t>
        </w:r>
      </w:hyperlink>
      <w:r w:rsidR="3162A30B" w:rsidRPr="00DA7486">
        <w:rPr>
          <w:rFonts w:ascii="Times New Roman" w:hAnsi="Times New Roman" w:cs="Times New Roman"/>
          <w:color w:val="000000" w:themeColor="text1"/>
        </w:rPr>
        <w:t xml:space="preserve">, ‘Plural Justice: A Holistic Approach to Transitional Justice and Peacebuilding’ (2018) available at </w:t>
      </w:r>
      <w:hyperlink r:id="rId38">
        <w:r w:rsidR="3162A30B" w:rsidRPr="00DA7486">
          <w:rPr>
            <w:rStyle w:val="Hyperlink"/>
            <w:rFonts w:ascii="Times New Roman" w:hAnsi="Times New Roman" w:cs="Times New Roman"/>
          </w:rPr>
          <w:t>https://bit.ly/3ZDobqT</w:t>
        </w:r>
      </w:hyperlink>
      <w:r w:rsidR="3162A30B" w:rsidRPr="00DA7486">
        <w:rPr>
          <w:rFonts w:ascii="Times New Roman" w:hAnsi="Times New Roman" w:cs="Times New Roman"/>
          <w:color w:val="000000" w:themeColor="text1"/>
        </w:rPr>
        <w:t xml:space="preserve"> accessed 14 January 2023; </w:t>
      </w:r>
      <w:r w:rsidR="3162A30B" w:rsidRPr="00DA7486">
        <w:rPr>
          <w:rFonts w:ascii="Times New Roman" w:hAnsi="Times New Roman" w:cs="Times New Roman"/>
        </w:rPr>
        <w:t xml:space="preserve">Natalia </w:t>
      </w:r>
      <w:proofErr w:type="spellStart"/>
      <w:r w:rsidR="3162A30B" w:rsidRPr="00DA7486">
        <w:rPr>
          <w:rFonts w:ascii="Times New Roman" w:hAnsi="Times New Roman" w:cs="Times New Roman"/>
        </w:rPr>
        <w:t>Szablewska</w:t>
      </w:r>
      <w:proofErr w:type="spellEnd"/>
      <w:r w:rsidR="3162A30B" w:rsidRPr="00DA7486">
        <w:rPr>
          <w:rFonts w:ascii="Times New Roman" w:hAnsi="Times New Roman" w:cs="Times New Roman"/>
        </w:rPr>
        <w:t xml:space="preserve"> and Sascha-Dominik Bachmann, </w:t>
      </w:r>
      <w:r w:rsidR="3162A30B" w:rsidRPr="00DA7486">
        <w:rPr>
          <w:rFonts w:ascii="Times New Roman" w:hAnsi="Times New Roman" w:cs="Times New Roman"/>
          <w:i/>
          <w:iCs/>
        </w:rPr>
        <w:t xml:space="preserve">Current Issues in Transitional Justice: Towards a More Holistic Approach </w:t>
      </w:r>
      <w:r w:rsidR="3162A30B" w:rsidRPr="00DA7486">
        <w:rPr>
          <w:rFonts w:ascii="Times New Roman" w:hAnsi="Times New Roman" w:cs="Times New Roman"/>
        </w:rPr>
        <w:t xml:space="preserve">(Springer 2015); for a discussion on the importance of local processes see OHCHR, ‘Report of the Transitional Justice Workshop of December 2019, organised by the United Nations Commission on Human Rights in South Sudan’ available at  </w:t>
      </w:r>
      <w:hyperlink r:id="rId39" w:history="1">
        <w:r w:rsidR="000B5FA6" w:rsidRPr="005765BE">
          <w:rPr>
            <w:rStyle w:val="Hyperlink"/>
            <w:rFonts w:ascii="Times New Roman" w:hAnsi="Times New Roman" w:cs="Times New Roman"/>
          </w:rPr>
          <w:t>https://bit.ly/3H4mQT0</w:t>
        </w:r>
      </w:hyperlink>
      <w:r w:rsidR="000B5FA6">
        <w:rPr>
          <w:rFonts w:ascii="Times New Roman" w:hAnsi="Times New Roman" w:cs="Times New Roman"/>
        </w:rPr>
        <w:t xml:space="preserve"> </w:t>
      </w:r>
      <w:r w:rsidR="3162A30B" w:rsidRPr="00DA7486">
        <w:rPr>
          <w:rFonts w:ascii="Times New Roman" w:hAnsi="Times New Roman" w:cs="Times New Roman"/>
        </w:rPr>
        <w:t xml:space="preserve"> accessed 14 January 2023. </w:t>
      </w:r>
    </w:p>
  </w:footnote>
  <w:footnote w:id="111">
    <w:p w14:paraId="77D59B21" w14:textId="27271484" w:rsidR="009F0A2A" w:rsidRPr="00DA7486" w:rsidRDefault="009F0A2A"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Calibri" w:hAnsi="Times New Roman" w:cs="Times New Roman"/>
        </w:rPr>
        <w:t xml:space="preserve">Edward R McMahon, Kojo Busia and Marta </w:t>
      </w:r>
      <w:proofErr w:type="spellStart"/>
      <w:r w:rsidR="3162A30B" w:rsidRPr="00DA7486">
        <w:rPr>
          <w:rFonts w:ascii="Times New Roman" w:eastAsia="Calibri" w:hAnsi="Times New Roman" w:cs="Times New Roman"/>
        </w:rPr>
        <w:t>Ascherio</w:t>
      </w:r>
      <w:proofErr w:type="spellEnd"/>
      <w:r w:rsidR="3162A30B" w:rsidRPr="00DA7486">
        <w:rPr>
          <w:rFonts w:ascii="Times New Roman" w:eastAsia="Calibri" w:hAnsi="Times New Roman" w:cs="Times New Roman"/>
        </w:rPr>
        <w:t>, ‘Comparing Peer Reviews: The Universal Periodic Review of the UN Human Rights Council and the African Peer Review Mechanism’ (2013) 12 African and Asian Studies 266, 280-82.</w:t>
      </w:r>
      <w:r w:rsidR="3162A30B" w:rsidRPr="00DA7486">
        <w:rPr>
          <w:rFonts w:ascii="Times New Roman" w:hAnsi="Times New Roman" w:cs="Times New Roman"/>
        </w:rPr>
        <w:t xml:space="preserve"> </w:t>
      </w:r>
    </w:p>
  </w:footnote>
  <w:footnote w:id="112">
    <w:p w14:paraId="77CB9B9C" w14:textId="1FCB9634" w:rsidR="00DE20AC" w:rsidRPr="00DA7486" w:rsidRDefault="00DE20AC"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Calibri" w:hAnsi="Times New Roman" w:cs="Times New Roman"/>
        </w:rPr>
        <w:t>UN Human Rights Council, ‘Report of the Working Group on the Universal Periodic Review – South Sudan’, 34th sess, UN Doc A/HRC/34/13 (26 December 2016) para 126.12.</w:t>
      </w:r>
    </w:p>
  </w:footnote>
  <w:footnote w:id="113">
    <w:p w14:paraId="6241E1C7" w14:textId="6F7ED8BA" w:rsidR="00CE6CD9" w:rsidRPr="00DA7486" w:rsidRDefault="00CE6CD9" w:rsidP="00DA7486">
      <w:pPr>
        <w:pStyle w:val="FootnoteText"/>
        <w:jc w:val="both"/>
        <w:rPr>
          <w:rFonts w:ascii="Times New Roman" w:hAnsi="Times New Roman" w:cs="Times New Roman"/>
        </w:rPr>
      </w:pPr>
      <w:r w:rsidRPr="00DA7486">
        <w:rPr>
          <w:rStyle w:val="FootnoteReference"/>
          <w:rFonts w:ascii="Times New Roman" w:hAnsi="Times New Roman" w:cs="Times New Roman"/>
        </w:rPr>
        <w:footnoteRef/>
      </w:r>
      <w:r w:rsidR="3162A30B" w:rsidRPr="00DA7486">
        <w:rPr>
          <w:rFonts w:ascii="Times New Roman" w:hAnsi="Times New Roman" w:cs="Times New Roman"/>
        </w:rPr>
        <w:t xml:space="preserve"> </w:t>
      </w:r>
      <w:r w:rsidR="3162A30B" w:rsidRPr="00DA7486">
        <w:rPr>
          <w:rFonts w:ascii="Times New Roman" w:eastAsia="Calibri" w:hAnsi="Times New Roman" w:cs="Times New Roman"/>
        </w:rPr>
        <w:t>UN Human Rights Council, ‘Report of the Working Group on the Universal Periodic Review – South Sudan’, 34th sess, UN Doc A/HRC/34/13 (26 December 2016) para 127.27.</w:t>
      </w:r>
      <w:r w:rsidR="3162A30B" w:rsidRPr="00DA7486">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0CD3EAD" w14:paraId="21BC9433" w14:textId="77777777" w:rsidTr="60CD3EAD">
      <w:trPr>
        <w:trHeight w:val="300"/>
      </w:trPr>
      <w:tc>
        <w:tcPr>
          <w:tcW w:w="3005" w:type="dxa"/>
        </w:tcPr>
        <w:p w14:paraId="44A65E79" w14:textId="48FFFFD3" w:rsidR="60CD3EAD" w:rsidRDefault="60CD3EAD" w:rsidP="60CD3EAD">
          <w:pPr>
            <w:pStyle w:val="Header"/>
            <w:ind w:left="-115"/>
          </w:pPr>
        </w:p>
      </w:tc>
      <w:tc>
        <w:tcPr>
          <w:tcW w:w="3005" w:type="dxa"/>
        </w:tcPr>
        <w:p w14:paraId="00E3E617" w14:textId="0D62B274" w:rsidR="60CD3EAD" w:rsidRDefault="60CD3EAD" w:rsidP="60CD3EAD">
          <w:pPr>
            <w:pStyle w:val="Header"/>
            <w:jc w:val="center"/>
          </w:pPr>
        </w:p>
      </w:tc>
      <w:tc>
        <w:tcPr>
          <w:tcW w:w="3005" w:type="dxa"/>
        </w:tcPr>
        <w:p w14:paraId="398E1F81" w14:textId="649C1475" w:rsidR="60CD3EAD" w:rsidRDefault="60CD3EAD" w:rsidP="60CD3EAD">
          <w:pPr>
            <w:pStyle w:val="Header"/>
            <w:ind w:right="-115"/>
            <w:jc w:val="right"/>
          </w:pPr>
        </w:p>
      </w:tc>
    </w:tr>
  </w:tbl>
  <w:p w14:paraId="443E4BCA" w14:textId="4E356503" w:rsidR="00AE7529" w:rsidRDefault="00AE7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9F2"/>
    <w:multiLevelType w:val="hybridMultilevel"/>
    <w:tmpl w:val="9BFEE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B7F3E"/>
    <w:multiLevelType w:val="hybridMultilevel"/>
    <w:tmpl w:val="65780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753F7"/>
    <w:multiLevelType w:val="hybridMultilevel"/>
    <w:tmpl w:val="2104156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65875"/>
    <w:multiLevelType w:val="hybridMultilevel"/>
    <w:tmpl w:val="EBF247EE"/>
    <w:lvl w:ilvl="0" w:tplc="EBCC7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6B7592"/>
    <w:multiLevelType w:val="hybridMultilevel"/>
    <w:tmpl w:val="6E04F4D6"/>
    <w:lvl w:ilvl="0" w:tplc="704C85E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B90DF6"/>
    <w:multiLevelType w:val="hybridMultilevel"/>
    <w:tmpl w:val="65225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225A5C"/>
    <w:multiLevelType w:val="hybridMultilevel"/>
    <w:tmpl w:val="5AD4FE9E"/>
    <w:lvl w:ilvl="0" w:tplc="31D2AF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1E1201"/>
    <w:multiLevelType w:val="hybridMultilevel"/>
    <w:tmpl w:val="1E54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3C308F"/>
    <w:multiLevelType w:val="multilevel"/>
    <w:tmpl w:val="63669D7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62783121">
    <w:abstractNumId w:val="8"/>
  </w:num>
  <w:num w:numId="2" w16cid:durableId="1531800452">
    <w:abstractNumId w:val="7"/>
  </w:num>
  <w:num w:numId="3" w16cid:durableId="2020231612">
    <w:abstractNumId w:val="6"/>
  </w:num>
  <w:num w:numId="4" w16cid:durableId="342049296">
    <w:abstractNumId w:val="0"/>
  </w:num>
  <w:num w:numId="5" w16cid:durableId="2116318086">
    <w:abstractNumId w:val="3"/>
  </w:num>
  <w:num w:numId="6" w16cid:durableId="6373943">
    <w:abstractNumId w:val="4"/>
  </w:num>
  <w:num w:numId="7" w16cid:durableId="797407893">
    <w:abstractNumId w:val="2"/>
  </w:num>
  <w:num w:numId="8" w16cid:durableId="252324433">
    <w:abstractNumId w:val="1"/>
  </w:num>
  <w:num w:numId="9" w16cid:durableId="99025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B89"/>
    <w:rsid w:val="00002B71"/>
    <w:rsid w:val="00003B01"/>
    <w:rsid w:val="000052F4"/>
    <w:rsid w:val="00006933"/>
    <w:rsid w:val="00007878"/>
    <w:rsid w:val="0001374D"/>
    <w:rsid w:val="00013840"/>
    <w:rsid w:val="00014349"/>
    <w:rsid w:val="000149AA"/>
    <w:rsid w:val="00015260"/>
    <w:rsid w:val="0001561A"/>
    <w:rsid w:val="00015960"/>
    <w:rsid w:val="00015D69"/>
    <w:rsid w:val="00017312"/>
    <w:rsid w:val="0001737A"/>
    <w:rsid w:val="00017AED"/>
    <w:rsid w:val="00017F8F"/>
    <w:rsid w:val="000207D1"/>
    <w:rsid w:val="00020BA8"/>
    <w:rsid w:val="00021937"/>
    <w:rsid w:val="000229D3"/>
    <w:rsid w:val="00023143"/>
    <w:rsid w:val="00023C5B"/>
    <w:rsid w:val="00024133"/>
    <w:rsid w:val="000253DA"/>
    <w:rsid w:val="00025466"/>
    <w:rsid w:val="00025683"/>
    <w:rsid w:val="00025982"/>
    <w:rsid w:val="00026785"/>
    <w:rsid w:val="00027080"/>
    <w:rsid w:val="0002BD30"/>
    <w:rsid w:val="00032B4C"/>
    <w:rsid w:val="00034B7C"/>
    <w:rsid w:val="00034E2A"/>
    <w:rsid w:val="00035B1F"/>
    <w:rsid w:val="00036025"/>
    <w:rsid w:val="000374AC"/>
    <w:rsid w:val="00037D3A"/>
    <w:rsid w:val="00040066"/>
    <w:rsid w:val="0004136A"/>
    <w:rsid w:val="000437F5"/>
    <w:rsid w:val="00044BB2"/>
    <w:rsid w:val="00045048"/>
    <w:rsid w:val="0004518A"/>
    <w:rsid w:val="000451C2"/>
    <w:rsid w:val="00045259"/>
    <w:rsid w:val="00045925"/>
    <w:rsid w:val="00047922"/>
    <w:rsid w:val="00047DF6"/>
    <w:rsid w:val="00047EC1"/>
    <w:rsid w:val="00047EFD"/>
    <w:rsid w:val="000521CE"/>
    <w:rsid w:val="00052CC6"/>
    <w:rsid w:val="00053213"/>
    <w:rsid w:val="0005341C"/>
    <w:rsid w:val="0005358D"/>
    <w:rsid w:val="000539E2"/>
    <w:rsid w:val="000542BD"/>
    <w:rsid w:val="000543B3"/>
    <w:rsid w:val="00054487"/>
    <w:rsid w:val="000545DE"/>
    <w:rsid w:val="00054903"/>
    <w:rsid w:val="00054C96"/>
    <w:rsid w:val="0005523C"/>
    <w:rsid w:val="000553AA"/>
    <w:rsid w:val="00055DC6"/>
    <w:rsid w:val="00056420"/>
    <w:rsid w:val="0005660E"/>
    <w:rsid w:val="00056F77"/>
    <w:rsid w:val="00057C83"/>
    <w:rsid w:val="00060702"/>
    <w:rsid w:val="00060AC6"/>
    <w:rsid w:val="00060D9C"/>
    <w:rsid w:val="00061830"/>
    <w:rsid w:val="00062875"/>
    <w:rsid w:val="0006389F"/>
    <w:rsid w:val="00064601"/>
    <w:rsid w:val="000651E8"/>
    <w:rsid w:val="0006561F"/>
    <w:rsid w:val="00065C04"/>
    <w:rsid w:val="00065E24"/>
    <w:rsid w:val="00065E80"/>
    <w:rsid w:val="0006687D"/>
    <w:rsid w:val="00066BF7"/>
    <w:rsid w:val="00067B79"/>
    <w:rsid w:val="00067FCE"/>
    <w:rsid w:val="00070598"/>
    <w:rsid w:val="000756D5"/>
    <w:rsid w:val="000763B8"/>
    <w:rsid w:val="0007704F"/>
    <w:rsid w:val="000777A1"/>
    <w:rsid w:val="000777FD"/>
    <w:rsid w:val="00077C3C"/>
    <w:rsid w:val="0008013B"/>
    <w:rsid w:val="00080685"/>
    <w:rsid w:val="00081C39"/>
    <w:rsid w:val="00082759"/>
    <w:rsid w:val="00083A7C"/>
    <w:rsid w:val="00083F67"/>
    <w:rsid w:val="00084198"/>
    <w:rsid w:val="0008494E"/>
    <w:rsid w:val="00084B73"/>
    <w:rsid w:val="00084F8C"/>
    <w:rsid w:val="0008508B"/>
    <w:rsid w:val="000850D3"/>
    <w:rsid w:val="00085B54"/>
    <w:rsid w:val="0008623A"/>
    <w:rsid w:val="0008713E"/>
    <w:rsid w:val="000878B9"/>
    <w:rsid w:val="00090292"/>
    <w:rsid w:val="000920DF"/>
    <w:rsid w:val="00093775"/>
    <w:rsid w:val="00094AD0"/>
    <w:rsid w:val="000956C4"/>
    <w:rsid w:val="00096F02"/>
    <w:rsid w:val="00097C56"/>
    <w:rsid w:val="000A004A"/>
    <w:rsid w:val="000A092C"/>
    <w:rsid w:val="000A192E"/>
    <w:rsid w:val="000A1936"/>
    <w:rsid w:val="000A23E2"/>
    <w:rsid w:val="000A24D9"/>
    <w:rsid w:val="000A2C55"/>
    <w:rsid w:val="000A368C"/>
    <w:rsid w:val="000A4CD0"/>
    <w:rsid w:val="000A5709"/>
    <w:rsid w:val="000A58CB"/>
    <w:rsid w:val="000A594E"/>
    <w:rsid w:val="000A5E2C"/>
    <w:rsid w:val="000A62D1"/>
    <w:rsid w:val="000A6ED7"/>
    <w:rsid w:val="000B009C"/>
    <w:rsid w:val="000B1F58"/>
    <w:rsid w:val="000B290B"/>
    <w:rsid w:val="000B3F2E"/>
    <w:rsid w:val="000B3F57"/>
    <w:rsid w:val="000B4AD8"/>
    <w:rsid w:val="000B5409"/>
    <w:rsid w:val="000B582C"/>
    <w:rsid w:val="000B5928"/>
    <w:rsid w:val="000B5B0D"/>
    <w:rsid w:val="000B5FA6"/>
    <w:rsid w:val="000B7444"/>
    <w:rsid w:val="000B79A7"/>
    <w:rsid w:val="000B7F44"/>
    <w:rsid w:val="000C02EE"/>
    <w:rsid w:val="000C0399"/>
    <w:rsid w:val="000C094C"/>
    <w:rsid w:val="000C2BAB"/>
    <w:rsid w:val="000C5371"/>
    <w:rsid w:val="000C62A6"/>
    <w:rsid w:val="000C7BDC"/>
    <w:rsid w:val="000C7E60"/>
    <w:rsid w:val="000D0BC8"/>
    <w:rsid w:val="000D11E6"/>
    <w:rsid w:val="000D269A"/>
    <w:rsid w:val="000D2F3B"/>
    <w:rsid w:val="000D3563"/>
    <w:rsid w:val="000D3D73"/>
    <w:rsid w:val="000D3F5B"/>
    <w:rsid w:val="000D40EE"/>
    <w:rsid w:val="000D5D37"/>
    <w:rsid w:val="000D6236"/>
    <w:rsid w:val="000D7A27"/>
    <w:rsid w:val="000E1E11"/>
    <w:rsid w:val="000E26D1"/>
    <w:rsid w:val="000E3263"/>
    <w:rsid w:val="000E5E5C"/>
    <w:rsid w:val="000E77E8"/>
    <w:rsid w:val="000F0F45"/>
    <w:rsid w:val="000F119B"/>
    <w:rsid w:val="000F1D4E"/>
    <w:rsid w:val="000F44F8"/>
    <w:rsid w:val="000F5D67"/>
    <w:rsid w:val="000F5E7B"/>
    <w:rsid w:val="000F632D"/>
    <w:rsid w:val="000F7DB2"/>
    <w:rsid w:val="001000E3"/>
    <w:rsid w:val="001008EC"/>
    <w:rsid w:val="00102AF1"/>
    <w:rsid w:val="00102CA5"/>
    <w:rsid w:val="00103958"/>
    <w:rsid w:val="00105111"/>
    <w:rsid w:val="00105DC8"/>
    <w:rsid w:val="00105DD1"/>
    <w:rsid w:val="00110639"/>
    <w:rsid w:val="00110A62"/>
    <w:rsid w:val="00110A90"/>
    <w:rsid w:val="00111596"/>
    <w:rsid w:val="00111736"/>
    <w:rsid w:val="00112B96"/>
    <w:rsid w:val="001142F9"/>
    <w:rsid w:val="00115DD4"/>
    <w:rsid w:val="00116251"/>
    <w:rsid w:val="001166F4"/>
    <w:rsid w:val="001174C6"/>
    <w:rsid w:val="00117756"/>
    <w:rsid w:val="00120288"/>
    <w:rsid w:val="0012062C"/>
    <w:rsid w:val="001209F2"/>
    <w:rsid w:val="00122CCF"/>
    <w:rsid w:val="001231CF"/>
    <w:rsid w:val="001253EF"/>
    <w:rsid w:val="00126711"/>
    <w:rsid w:val="00130F5E"/>
    <w:rsid w:val="00131109"/>
    <w:rsid w:val="00133906"/>
    <w:rsid w:val="0013489D"/>
    <w:rsid w:val="0013517D"/>
    <w:rsid w:val="00137BDD"/>
    <w:rsid w:val="00140E4D"/>
    <w:rsid w:val="0014170E"/>
    <w:rsid w:val="00141AF5"/>
    <w:rsid w:val="001420B8"/>
    <w:rsid w:val="00142949"/>
    <w:rsid w:val="0014315C"/>
    <w:rsid w:val="001436B4"/>
    <w:rsid w:val="00143A0F"/>
    <w:rsid w:val="00144AD9"/>
    <w:rsid w:val="001450CD"/>
    <w:rsid w:val="00145C24"/>
    <w:rsid w:val="00146842"/>
    <w:rsid w:val="00146A77"/>
    <w:rsid w:val="00147102"/>
    <w:rsid w:val="001479A3"/>
    <w:rsid w:val="00147EC6"/>
    <w:rsid w:val="00150245"/>
    <w:rsid w:val="00151924"/>
    <w:rsid w:val="001526BF"/>
    <w:rsid w:val="00152B5A"/>
    <w:rsid w:val="00155173"/>
    <w:rsid w:val="00160509"/>
    <w:rsid w:val="00160846"/>
    <w:rsid w:val="00160E5C"/>
    <w:rsid w:val="00160EC5"/>
    <w:rsid w:val="00161085"/>
    <w:rsid w:val="00161AF4"/>
    <w:rsid w:val="00162292"/>
    <w:rsid w:val="00162433"/>
    <w:rsid w:val="00163488"/>
    <w:rsid w:val="001639F9"/>
    <w:rsid w:val="00164BE9"/>
    <w:rsid w:val="001658CC"/>
    <w:rsid w:val="00167036"/>
    <w:rsid w:val="00170646"/>
    <w:rsid w:val="00171826"/>
    <w:rsid w:val="00171B6C"/>
    <w:rsid w:val="00171FB9"/>
    <w:rsid w:val="0017318F"/>
    <w:rsid w:val="00174610"/>
    <w:rsid w:val="0017497E"/>
    <w:rsid w:val="0017532E"/>
    <w:rsid w:val="00175995"/>
    <w:rsid w:val="00175C66"/>
    <w:rsid w:val="0017758A"/>
    <w:rsid w:val="001777F8"/>
    <w:rsid w:val="00183DE1"/>
    <w:rsid w:val="00185288"/>
    <w:rsid w:val="0018628F"/>
    <w:rsid w:val="001862F3"/>
    <w:rsid w:val="00186B51"/>
    <w:rsid w:val="00187D6D"/>
    <w:rsid w:val="00190E8B"/>
    <w:rsid w:val="001922DC"/>
    <w:rsid w:val="00193A58"/>
    <w:rsid w:val="00194190"/>
    <w:rsid w:val="0019498A"/>
    <w:rsid w:val="001961F3"/>
    <w:rsid w:val="00196B93"/>
    <w:rsid w:val="00196FC8"/>
    <w:rsid w:val="00197367"/>
    <w:rsid w:val="001A217D"/>
    <w:rsid w:val="001A30A5"/>
    <w:rsid w:val="001A3ACA"/>
    <w:rsid w:val="001A6E1E"/>
    <w:rsid w:val="001AFC7A"/>
    <w:rsid w:val="001B1EEB"/>
    <w:rsid w:val="001B22C3"/>
    <w:rsid w:val="001B2557"/>
    <w:rsid w:val="001B2C51"/>
    <w:rsid w:val="001B3995"/>
    <w:rsid w:val="001B3BD0"/>
    <w:rsid w:val="001B40F4"/>
    <w:rsid w:val="001B4767"/>
    <w:rsid w:val="001B53FB"/>
    <w:rsid w:val="001B6F83"/>
    <w:rsid w:val="001B7662"/>
    <w:rsid w:val="001C002C"/>
    <w:rsid w:val="001C053C"/>
    <w:rsid w:val="001C0D30"/>
    <w:rsid w:val="001C1D22"/>
    <w:rsid w:val="001C2D87"/>
    <w:rsid w:val="001C3992"/>
    <w:rsid w:val="001C39E3"/>
    <w:rsid w:val="001C5916"/>
    <w:rsid w:val="001C59D0"/>
    <w:rsid w:val="001C6651"/>
    <w:rsid w:val="001C6A70"/>
    <w:rsid w:val="001C774A"/>
    <w:rsid w:val="001D015E"/>
    <w:rsid w:val="001D0C2F"/>
    <w:rsid w:val="001D131F"/>
    <w:rsid w:val="001D1B47"/>
    <w:rsid w:val="001D2CB6"/>
    <w:rsid w:val="001D2E05"/>
    <w:rsid w:val="001D40D9"/>
    <w:rsid w:val="001D498F"/>
    <w:rsid w:val="001D4C8F"/>
    <w:rsid w:val="001D590C"/>
    <w:rsid w:val="001D7A37"/>
    <w:rsid w:val="001D7A6E"/>
    <w:rsid w:val="001E011A"/>
    <w:rsid w:val="001E0846"/>
    <w:rsid w:val="001E16BA"/>
    <w:rsid w:val="001E25F7"/>
    <w:rsid w:val="001E2904"/>
    <w:rsid w:val="001E3118"/>
    <w:rsid w:val="001E47C9"/>
    <w:rsid w:val="001E48F4"/>
    <w:rsid w:val="001E5BB6"/>
    <w:rsid w:val="001E6EE8"/>
    <w:rsid w:val="001E734E"/>
    <w:rsid w:val="001E75DB"/>
    <w:rsid w:val="001E7F07"/>
    <w:rsid w:val="001F3219"/>
    <w:rsid w:val="001F39E3"/>
    <w:rsid w:val="001F5BE2"/>
    <w:rsid w:val="001F5EE4"/>
    <w:rsid w:val="001F7BC5"/>
    <w:rsid w:val="0020039B"/>
    <w:rsid w:val="00201EAE"/>
    <w:rsid w:val="00202CB6"/>
    <w:rsid w:val="00203C1A"/>
    <w:rsid w:val="00204AFF"/>
    <w:rsid w:val="0020519C"/>
    <w:rsid w:val="00205B5F"/>
    <w:rsid w:val="00206AC5"/>
    <w:rsid w:val="00207BAC"/>
    <w:rsid w:val="00211FC5"/>
    <w:rsid w:val="00212220"/>
    <w:rsid w:val="0021324E"/>
    <w:rsid w:val="002134F9"/>
    <w:rsid w:val="00213765"/>
    <w:rsid w:val="002138E7"/>
    <w:rsid w:val="00214CA2"/>
    <w:rsid w:val="00215AB6"/>
    <w:rsid w:val="00215E15"/>
    <w:rsid w:val="0021611B"/>
    <w:rsid w:val="0021790D"/>
    <w:rsid w:val="00221678"/>
    <w:rsid w:val="00221B90"/>
    <w:rsid w:val="002228F2"/>
    <w:rsid w:val="00223EE5"/>
    <w:rsid w:val="00223F88"/>
    <w:rsid w:val="00224089"/>
    <w:rsid w:val="0022423C"/>
    <w:rsid w:val="00227891"/>
    <w:rsid w:val="00230099"/>
    <w:rsid w:val="00230ADA"/>
    <w:rsid w:val="00230BD7"/>
    <w:rsid w:val="002318BF"/>
    <w:rsid w:val="002329D5"/>
    <w:rsid w:val="00233AE4"/>
    <w:rsid w:val="002340C8"/>
    <w:rsid w:val="002341B3"/>
    <w:rsid w:val="002347DA"/>
    <w:rsid w:val="0023582C"/>
    <w:rsid w:val="00235D21"/>
    <w:rsid w:val="002365CA"/>
    <w:rsid w:val="00236971"/>
    <w:rsid w:val="002371BF"/>
    <w:rsid w:val="00242F65"/>
    <w:rsid w:val="00244E08"/>
    <w:rsid w:val="00245015"/>
    <w:rsid w:val="00245BD6"/>
    <w:rsid w:val="00245FB4"/>
    <w:rsid w:val="00246F44"/>
    <w:rsid w:val="00247BF4"/>
    <w:rsid w:val="00247CB3"/>
    <w:rsid w:val="002520F4"/>
    <w:rsid w:val="00252526"/>
    <w:rsid w:val="00252F68"/>
    <w:rsid w:val="002538BE"/>
    <w:rsid w:val="00255C36"/>
    <w:rsid w:val="00257785"/>
    <w:rsid w:val="00257949"/>
    <w:rsid w:val="00261E40"/>
    <w:rsid w:val="00264A07"/>
    <w:rsid w:val="00264D42"/>
    <w:rsid w:val="00265397"/>
    <w:rsid w:val="0026540A"/>
    <w:rsid w:val="00265739"/>
    <w:rsid w:val="00266FD4"/>
    <w:rsid w:val="00267821"/>
    <w:rsid w:val="00267B1D"/>
    <w:rsid w:val="00267B70"/>
    <w:rsid w:val="00273282"/>
    <w:rsid w:val="002735F9"/>
    <w:rsid w:val="00273A00"/>
    <w:rsid w:val="002746C5"/>
    <w:rsid w:val="00275E8C"/>
    <w:rsid w:val="0027739B"/>
    <w:rsid w:val="00277DFC"/>
    <w:rsid w:val="0027FED4"/>
    <w:rsid w:val="00280085"/>
    <w:rsid w:val="002810E7"/>
    <w:rsid w:val="00281C31"/>
    <w:rsid w:val="00281F61"/>
    <w:rsid w:val="00282456"/>
    <w:rsid w:val="00282B53"/>
    <w:rsid w:val="0028417E"/>
    <w:rsid w:val="002847E4"/>
    <w:rsid w:val="00284E58"/>
    <w:rsid w:val="002871A9"/>
    <w:rsid w:val="00291710"/>
    <w:rsid w:val="0029302A"/>
    <w:rsid w:val="00293147"/>
    <w:rsid w:val="00294016"/>
    <w:rsid w:val="0029524A"/>
    <w:rsid w:val="0029565C"/>
    <w:rsid w:val="00295F14"/>
    <w:rsid w:val="002A0C88"/>
    <w:rsid w:val="002A147A"/>
    <w:rsid w:val="002A2DBB"/>
    <w:rsid w:val="002A35B1"/>
    <w:rsid w:val="002A3612"/>
    <w:rsid w:val="002A52AA"/>
    <w:rsid w:val="002A5333"/>
    <w:rsid w:val="002A54CD"/>
    <w:rsid w:val="002A57CB"/>
    <w:rsid w:val="002A5EE5"/>
    <w:rsid w:val="002A64CB"/>
    <w:rsid w:val="002A6C48"/>
    <w:rsid w:val="002A7021"/>
    <w:rsid w:val="002A7B54"/>
    <w:rsid w:val="002B03FD"/>
    <w:rsid w:val="002B1F5A"/>
    <w:rsid w:val="002B38A8"/>
    <w:rsid w:val="002B3FB2"/>
    <w:rsid w:val="002B43A9"/>
    <w:rsid w:val="002B488F"/>
    <w:rsid w:val="002B56D0"/>
    <w:rsid w:val="002B5F8C"/>
    <w:rsid w:val="002B67D4"/>
    <w:rsid w:val="002B6FA1"/>
    <w:rsid w:val="002BC12E"/>
    <w:rsid w:val="002C098F"/>
    <w:rsid w:val="002C15B3"/>
    <w:rsid w:val="002C2FEE"/>
    <w:rsid w:val="002C51CE"/>
    <w:rsid w:val="002C5C73"/>
    <w:rsid w:val="002C6938"/>
    <w:rsid w:val="002C734A"/>
    <w:rsid w:val="002D0E82"/>
    <w:rsid w:val="002D1695"/>
    <w:rsid w:val="002D33EA"/>
    <w:rsid w:val="002D3727"/>
    <w:rsid w:val="002D3DA9"/>
    <w:rsid w:val="002D4ABB"/>
    <w:rsid w:val="002D4DF6"/>
    <w:rsid w:val="002D547D"/>
    <w:rsid w:val="002D5C5E"/>
    <w:rsid w:val="002D5FC9"/>
    <w:rsid w:val="002D6170"/>
    <w:rsid w:val="002D6407"/>
    <w:rsid w:val="002D7EEE"/>
    <w:rsid w:val="002E095A"/>
    <w:rsid w:val="002E1202"/>
    <w:rsid w:val="002E1B00"/>
    <w:rsid w:val="002E1EA4"/>
    <w:rsid w:val="002E2565"/>
    <w:rsid w:val="002E416A"/>
    <w:rsid w:val="002E4EA5"/>
    <w:rsid w:val="002E56E7"/>
    <w:rsid w:val="002E59C4"/>
    <w:rsid w:val="002E5D5B"/>
    <w:rsid w:val="002E6BAD"/>
    <w:rsid w:val="002E6E65"/>
    <w:rsid w:val="002F0DB6"/>
    <w:rsid w:val="002F1290"/>
    <w:rsid w:val="002F19D9"/>
    <w:rsid w:val="002F26FA"/>
    <w:rsid w:val="002F430E"/>
    <w:rsid w:val="002F49AC"/>
    <w:rsid w:val="002F4CBE"/>
    <w:rsid w:val="002F510A"/>
    <w:rsid w:val="002F5ECA"/>
    <w:rsid w:val="002F6730"/>
    <w:rsid w:val="002F6BAC"/>
    <w:rsid w:val="002F6D7A"/>
    <w:rsid w:val="002F7CB1"/>
    <w:rsid w:val="00300175"/>
    <w:rsid w:val="0030556F"/>
    <w:rsid w:val="0030611B"/>
    <w:rsid w:val="00306ACF"/>
    <w:rsid w:val="00306BF9"/>
    <w:rsid w:val="0030740B"/>
    <w:rsid w:val="003077C9"/>
    <w:rsid w:val="003119B0"/>
    <w:rsid w:val="003125BB"/>
    <w:rsid w:val="00313894"/>
    <w:rsid w:val="00313D70"/>
    <w:rsid w:val="00313FB6"/>
    <w:rsid w:val="00314CF4"/>
    <w:rsid w:val="003150AB"/>
    <w:rsid w:val="003156DA"/>
    <w:rsid w:val="00316914"/>
    <w:rsid w:val="00317A46"/>
    <w:rsid w:val="003215B7"/>
    <w:rsid w:val="00321BAA"/>
    <w:rsid w:val="00321FC4"/>
    <w:rsid w:val="00322581"/>
    <w:rsid w:val="003233B3"/>
    <w:rsid w:val="00323E83"/>
    <w:rsid w:val="0032421D"/>
    <w:rsid w:val="0032449B"/>
    <w:rsid w:val="00324944"/>
    <w:rsid w:val="0032508A"/>
    <w:rsid w:val="003270A0"/>
    <w:rsid w:val="00330103"/>
    <w:rsid w:val="0033028E"/>
    <w:rsid w:val="003319F1"/>
    <w:rsid w:val="00333E20"/>
    <w:rsid w:val="003344C4"/>
    <w:rsid w:val="00335CB9"/>
    <w:rsid w:val="0033682C"/>
    <w:rsid w:val="003400EB"/>
    <w:rsid w:val="003409FA"/>
    <w:rsid w:val="00340F83"/>
    <w:rsid w:val="00341115"/>
    <w:rsid w:val="00341150"/>
    <w:rsid w:val="00341EB9"/>
    <w:rsid w:val="003431AA"/>
    <w:rsid w:val="00344666"/>
    <w:rsid w:val="00344DB2"/>
    <w:rsid w:val="0034578D"/>
    <w:rsid w:val="00346419"/>
    <w:rsid w:val="003474F5"/>
    <w:rsid w:val="00350993"/>
    <w:rsid w:val="003528ED"/>
    <w:rsid w:val="00352B28"/>
    <w:rsid w:val="003530A0"/>
    <w:rsid w:val="00353FF6"/>
    <w:rsid w:val="00354A9C"/>
    <w:rsid w:val="0035509D"/>
    <w:rsid w:val="003558E2"/>
    <w:rsid w:val="00356BED"/>
    <w:rsid w:val="00357705"/>
    <w:rsid w:val="0035781D"/>
    <w:rsid w:val="00357C33"/>
    <w:rsid w:val="00357C44"/>
    <w:rsid w:val="00357C98"/>
    <w:rsid w:val="003609D1"/>
    <w:rsid w:val="003611B2"/>
    <w:rsid w:val="00361338"/>
    <w:rsid w:val="003617F7"/>
    <w:rsid w:val="0036236A"/>
    <w:rsid w:val="003634BF"/>
    <w:rsid w:val="003638AF"/>
    <w:rsid w:val="0036445E"/>
    <w:rsid w:val="003650C8"/>
    <w:rsid w:val="00365AFA"/>
    <w:rsid w:val="00366498"/>
    <w:rsid w:val="00370779"/>
    <w:rsid w:val="00372A1F"/>
    <w:rsid w:val="003735FE"/>
    <w:rsid w:val="00373A58"/>
    <w:rsid w:val="003741E6"/>
    <w:rsid w:val="00374746"/>
    <w:rsid w:val="003747A1"/>
    <w:rsid w:val="00375384"/>
    <w:rsid w:val="0037549C"/>
    <w:rsid w:val="003761D2"/>
    <w:rsid w:val="00376E92"/>
    <w:rsid w:val="00376EFD"/>
    <w:rsid w:val="00377BD2"/>
    <w:rsid w:val="00377DC5"/>
    <w:rsid w:val="00380D9F"/>
    <w:rsid w:val="00380ED2"/>
    <w:rsid w:val="003818D0"/>
    <w:rsid w:val="00383629"/>
    <w:rsid w:val="003836BB"/>
    <w:rsid w:val="00384BCA"/>
    <w:rsid w:val="00385356"/>
    <w:rsid w:val="0038568B"/>
    <w:rsid w:val="00387B4D"/>
    <w:rsid w:val="003904FE"/>
    <w:rsid w:val="0039212E"/>
    <w:rsid w:val="00392BED"/>
    <w:rsid w:val="00392F2F"/>
    <w:rsid w:val="00392FB3"/>
    <w:rsid w:val="00393BD7"/>
    <w:rsid w:val="00394D9A"/>
    <w:rsid w:val="00395EF6"/>
    <w:rsid w:val="00396CB2"/>
    <w:rsid w:val="00397B59"/>
    <w:rsid w:val="003A041A"/>
    <w:rsid w:val="003A0540"/>
    <w:rsid w:val="003A186B"/>
    <w:rsid w:val="003A36C9"/>
    <w:rsid w:val="003A3D63"/>
    <w:rsid w:val="003A4CEB"/>
    <w:rsid w:val="003A7DB8"/>
    <w:rsid w:val="003B117C"/>
    <w:rsid w:val="003B1515"/>
    <w:rsid w:val="003B4C40"/>
    <w:rsid w:val="003B54AA"/>
    <w:rsid w:val="003B5721"/>
    <w:rsid w:val="003B637A"/>
    <w:rsid w:val="003B7F76"/>
    <w:rsid w:val="003C016C"/>
    <w:rsid w:val="003C03BC"/>
    <w:rsid w:val="003C154E"/>
    <w:rsid w:val="003C1613"/>
    <w:rsid w:val="003C1947"/>
    <w:rsid w:val="003C2043"/>
    <w:rsid w:val="003C21A9"/>
    <w:rsid w:val="003C315D"/>
    <w:rsid w:val="003C508D"/>
    <w:rsid w:val="003C50AA"/>
    <w:rsid w:val="003C6A81"/>
    <w:rsid w:val="003C6D91"/>
    <w:rsid w:val="003C6DF9"/>
    <w:rsid w:val="003C6E6F"/>
    <w:rsid w:val="003C7B21"/>
    <w:rsid w:val="003C7BD4"/>
    <w:rsid w:val="003C7DEF"/>
    <w:rsid w:val="003D01F9"/>
    <w:rsid w:val="003D05B1"/>
    <w:rsid w:val="003D13F5"/>
    <w:rsid w:val="003D1FDE"/>
    <w:rsid w:val="003D2D6D"/>
    <w:rsid w:val="003D4BDA"/>
    <w:rsid w:val="003D604B"/>
    <w:rsid w:val="003D679F"/>
    <w:rsid w:val="003D68CB"/>
    <w:rsid w:val="003D6AE9"/>
    <w:rsid w:val="003E0EC5"/>
    <w:rsid w:val="003E5B0D"/>
    <w:rsid w:val="003E61E3"/>
    <w:rsid w:val="003F0275"/>
    <w:rsid w:val="003F0353"/>
    <w:rsid w:val="003F0C96"/>
    <w:rsid w:val="003F262F"/>
    <w:rsid w:val="003F2A64"/>
    <w:rsid w:val="003F7459"/>
    <w:rsid w:val="00400283"/>
    <w:rsid w:val="00401544"/>
    <w:rsid w:val="0040160B"/>
    <w:rsid w:val="004030C0"/>
    <w:rsid w:val="00403571"/>
    <w:rsid w:val="0040361E"/>
    <w:rsid w:val="00403658"/>
    <w:rsid w:val="004038EA"/>
    <w:rsid w:val="004068C8"/>
    <w:rsid w:val="004069D1"/>
    <w:rsid w:val="00406A5F"/>
    <w:rsid w:val="00406BAA"/>
    <w:rsid w:val="00406D99"/>
    <w:rsid w:val="00407ACB"/>
    <w:rsid w:val="0040C303"/>
    <w:rsid w:val="0041084C"/>
    <w:rsid w:val="0041179A"/>
    <w:rsid w:val="00411B41"/>
    <w:rsid w:val="004120C9"/>
    <w:rsid w:val="0041212A"/>
    <w:rsid w:val="004123B4"/>
    <w:rsid w:val="00413434"/>
    <w:rsid w:val="004138FC"/>
    <w:rsid w:val="0041577F"/>
    <w:rsid w:val="0041652A"/>
    <w:rsid w:val="00417513"/>
    <w:rsid w:val="00421983"/>
    <w:rsid w:val="0042267C"/>
    <w:rsid w:val="004234FC"/>
    <w:rsid w:val="004241DB"/>
    <w:rsid w:val="004256FB"/>
    <w:rsid w:val="004260AB"/>
    <w:rsid w:val="00427F5B"/>
    <w:rsid w:val="0042CF46"/>
    <w:rsid w:val="004318F5"/>
    <w:rsid w:val="0043335D"/>
    <w:rsid w:val="00433384"/>
    <w:rsid w:val="004341BC"/>
    <w:rsid w:val="004344DA"/>
    <w:rsid w:val="00434880"/>
    <w:rsid w:val="004348AC"/>
    <w:rsid w:val="004362EC"/>
    <w:rsid w:val="00437909"/>
    <w:rsid w:val="0044030B"/>
    <w:rsid w:val="00440F69"/>
    <w:rsid w:val="00441383"/>
    <w:rsid w:val="00442B5E"/>
    <w:rsid w:val="004439EA"/>
    <w:rsid w:val="004441EE"/>
    <w:rsid w:val="0044477E"/>
    <w:rsid w:val="00445579"/>
    <w:rsid w:val="0044726B"/>
    <w:rsid w:val="0044EB82"/>
    <w:rsid w:val="0045103E"/>
    <w:rsid w:val="0045242B"/>
    <w:rsid w:val="00452BD6"/>
    <w:rsid w:val="00452F57"/>
    <w:rsid w:val="004533CF"/>
    <w:rsid w:val="00453964"/>
    <w:rsid w:val="00455EE5"/>
    <w:rsid w:val="00456197"/>
    <w:rsid w:val="00456CED"/>
    <w:rsid w:val="0045779B"/>
    <w:rsid w:val="0045BFCF"/>
    <w:rsid w:val="004605EF"/>
    <w:rsid w:val="00460983"/>
    <w:rsid w:val="004619B1"/>
    <w:rsid w:val="00462D85"/>
    <w:rsid w:val="00463A54"/>
    <w:rsid w:val="0046453E"/>
    <w:rsid w:val="00465BD4"/>
    <w:rsid w:val="00466593"/>
    <w:rsid w:val="00467C7E"/>
    <w:rsid w:val="00470043"/>
    <w:rsid w:val="00471A1F"/>
    <w:rsid w:val="00471E74"/>
    <w:rsid w:val="0047230F"/>
    <w:rsid w:val="00472CB2"/>
    <w:rsid w:val="00472CE5"/>
    <w:rsid w:val="00473B7D"/>
    <w:rsid w:val="0047406C"/>
    <w:rsid w:val="004743CD"/>
    <w:rsid w:val="0047608A"/>
    <w:rsid w:val="0048116E"/>
    <w:rsid w:val="004818A5"/>
    <w:rsid w:val="00482040"/>
    <w:rsid w:val="00484BD7"/>
    <w:rsid w:val="00484E36"/>
    <w:rsid w:val="00485495"/>
    <w:rsid w:val="00490431"/>
    <w:rsid w:val="00490BDC"/>
    <w:rsid w:val="00492C35"/>
    <w:rsid w:val="00492C7A"/>
    <w:rsid w:val="0049537F"/>
    <w:rsid w:val="00495704"/>
    <w:rsid w:val="0049618B"/>
    <w:rsid w:val="00496208"/>
    <w:rsid w:val="0049621E"/>
    <w:rsid w:val="00496A34"/>
    <w:rsid w:val="00496D72"/>
    <w:rsid w:val="004A08CC"/>
    <w:rsid w:val="004A2899"/>
    <w:rsid w:val="004A7180"/>
    <w:rsid w:val="004B26D2"/>
    <w:rsid w:val="004B31F3"/>
    <w:rsid w:val="004B3CB5"/>
    <w:rsid w:val="004B3EBE"/>
    <w:rsid w:val="004B46C4"/>
    <w:rsid w:val="004B51F9"/>
    <w:rsid w:val="004B6F6F"/>
    <w:rsid w:val="004C027E"/>
    <w:rsid w:val="004C1078"/>
    <w:rsid w:val="004C27F9"/>
    <w:rsid w:val="004C3481"/>
    <w:rsid w:val="004C352A"/>
    <w:rsid w:val="004C3C82"/>
    <w:rsid w:val="004C406A"/>
    <w:rsid w:val="004C7525"/>
    <w:rsid w:val="004D1009"/>
    <w:rsid w:val="004D19CA"/>
    <w:rsid w:val="004D2CC8"/>
    <w:rsid w:val="004D2D41"/>
    <w:rsid w:val="004D3334"/>
    <w:rsid w:val="004D5B4D"/>
    <w:rsid w:val="004D6248"/>
    <w:rsid w:val="004D6287"/>
    <w:rsid w:val="004D74F1"/>
    <w:rsid w:val="004D7A69"/>
    <w:rsid w:val="004E054E"/>
    <w:rsid w:val="004E197C"/>
    <w:rsid w:val="004E1B00"/>
    <w:rsid w:val="004E26E0"/>
    <w:rsid w:val="004E3645"/>
    <w:rsid w:val="004E3A13"/>
    <w:rsid w:val="004E4D64"/>
    <w:rsid w:val="004E4F7B"/>
    <w:rsid w:val="004E543E"/>
    <w:rsid w:val="004E61E7"/>
    <w:rsid w:val="004F1755"/>
    <w:rsid w:val="004F18E7"/>
    <w:rsid w:val="004F2CDD"/>
    <w:rsid w:val="004F3D3C"/>
    <w:rsid w:val="004F410F"/>
    <w:rsid w:val="004F44D6"/>
    <w:rsid w:val="004F613F"/>
    <w:rsid w:val="004F627A"/>
    <w:rsid w:val="004F773A"/>
    <w:rsid w:val="00500200"/>
    <w:rsid w:val="00501C17"/>
    <w:rsid w:val="00501FA6"/>
    <w:rsid w:val="005036CF"/>
    <w:rsid w:val="00504C84"/>
    <w:rsid w:val="00505395"/>
    <w:rsid w:val="00505745"/>
    <w:rsid w:val="00506625"/>
    <w:rsid w:val="00507433"/>
    <w:rsid w:val="00507539"/>
    <w:rsid w:val="0050778B"/>
    <w:rsid w:val="00507A2F"/>
    <w:rsid w:val="00507AB6"/>
    <w:rsid w:val="00510E80"/>
    <w:rsid w:val="0051177A"/>
    <w:rsid w:val="00513E65"/>
    <w:rsid w:val="0051491B"/>
    <w:rsid w:val="0051538E"/>
    <w:rsid w:val="00515732"/>
    <w:rsid w:val="00517551"/>
    <w:rsid w:val="0052379D"/>
    <w:rsid w:val="005247F8"/>
    <w:rsid w:val="00525210"/>
    <w:rsid w:val="00525EE6"/>
    <w:rsid w:val="005269A9"/>
    <w:rsid w:val="00526E88"/>
    <w:rsid w:val="005311F7"/>
    <w:rsid w:val="00531234"/>
    <w:rsid w:val="00534693"/>
    <w:rsid w:val="00534EE3"/>
    <w:rsid w:val="00535D45"/>
    <w:rsid w:val="00535F4C"/>
    <w:rsid w:val="00536F2C"/>
    <w:rsid w:val="0054090D"/>
    <w:rsid w:val="00540AD9"/>
    <w:rsid w:val="00541E2F"/>
    <w:rsid w:val="00541F39"/>
    <w:rsid w:val="00543852"/>
    <w:rsid w:val="00543D63"/>
    <w:rsid w:val="0054471E"/>
    <w:rsid w:val="00546136"/>
    <w:rsid w:val="00547A00"/>
    <w:rsid w:val="0055062F"/>
    <w:rsid w:val="00551CA0"/>
    <w:rsid w:val="00551FEC"/>
    <w:rsid w:val="00553889"/>
    <w:rsid w:val="00553BE7"/>
    <w:rsid w:val="0055441E"/>
    <w:rsid w:val="005544C4"/>
    <w:rsid w:val="00554573"/>
    <w:rsid w:val="005550E9"/>
    <w:rsid w:val="00555FB0"/>
    <w:rsid w:val="005570EA"/>
    <w:rsid w:val="00560748"/>
    <w:rsid w:val="00560910"/>
    <w:rsid w:val="00560E7D"/>
    <w:rsid w:val="00561023"/>
    <w:rsid w:val="00561A6D"/>
    <w:rsid w:val="00561F5F"/>
    <w:rsid w:val="00562AF4"/>
    <w:rsid w:val="005634F9"/>
    <w:rsid w:val="0056421F"/>
    <w:rsid w:val="00564F89"/>
    <w:rsid w:val="00565511"/>
    <w:rsid w:val="00567596"/>
    <w:rsid w:val="005677FB"/>
    <w:rsid w:val="00571923"/>
    <w:rsid w:val="00572161"/>
    <w:rsid w:val="00572844"/>
    <w:rsid w:val="005737B7"/>
    <w:rsid w:val="00574EB2"/>
    <w:rsid w:val="00575102"/>
    <w:rsid w:val="00575C21"/>
    <w:rsid w:val="0057654E"/>
    <w:rsid w:val="00576650"/>
    <w:rsid w:val="0057691B"/>
    <w:rsid w:val="00576A22"/>
    <w:rsid w:val="00576A45"/>
    <w:rsid w:val="00576EDA"/>
    <w:rsid w:val="005774DD"/>
    <w:rsid w:val="0057AEDB"/>
    <w:rsid w:val="00580054"/>
    <w:rsid w:val="005802A2"/>
    <w:rsid w:val="005806B0"/>
    <w:rsid w:val="00581A4A"/>
    <w:rsid w:val="00583FF7"/>
    <w:rsid w:val="00584006"/>
    <w:rsid w:val="0058588E"/>
    <w:rsid w:val="0058655C"/>
    <w:rsid w:val="0058675F"/>
    <w:rsid w:val="005869CB"/>
    <w:rsid w:val="00587586"/>
    <w:rsid w:val="0059054E"/>
    <w:rsid w:val="00591172"/>
    <w:rsid w:val="00591BEF"/>
    <w:rsid w:val="00591C45"/>
    <w:rsid w:val="00591F02"/>
    <w:rsid w:val="00593967"/>
    <w:rsid w:val="00593DF5"/>
    <w:rsid w:val="005948DB"/>
    <w:rsid w:val="00594B24"/>
    <w:rsid w:val="00595BA5"/>
    <w:rsid w:val="0059626F"/>
    <w:rsid w:val="0059733C"/>
    <w:rsid w:val="00597C44"/>
    <w:rsid w:val="005A0569"/>
    <w:rsid w:val="005A275A"/>
    <w:rsid w:val="005A3332"/>
    <w:rsid w:val="005A3E48"/>
    <w:rsid w:val="005A4118"/>
    <w:rsid w:val="005A4F95"/>
    <w:rsid w:val="005A6550"/>
    <w:rsid w:val="005B00C8"/>
    <w:rsid w:val="005B135D"/>
    <w:rsid w:val="005B3700"/>
    <w:rsid w:val="005B480B"/>
    <w:rsid w:val="005B50AE"/>
    <w:rsid w:val="005B5126"/>
    <w:rsid w:val="005B7324"/>
    <w:rsid w:val="005C0250"/>
    <w:rsid w:val="005C0A6B"/>
    <w:rsid w:val="005C0AD4"/>
    <w:rsid w:val="005C2D22"/>
    <w:rsid w:val="005C3308"/>
    <w:rsid w:val="005C3731"/>
    <w:rsid w:val="005C63AE"/>
    <w:rsid w:val="005C67B1"/>
    <w:rsid w:val="005D0BA1"/>
    <w:rsid w:val="005D17E1"/>
    <w:rsid w:val="005D2FAD"/>
    <w:rsid w:val="005D3789"/>
    <w:rsid w:val="005D3E6A"/>
    <w:rsid w:val="005D64BB"/>
    <w:rsid w:val="005D6751"/>
    <w:rsid w:val="005D67D2"/>
    <w:rsid w:val="005D7983"/>
    <w:rsid w:val="005E0011"/>
    <w:rsid w:val="005E114F"/>
    <w:rsid w:val="005E194E"/>
    <w:rsid w:val="005E1B2C"/>
    <w:rsid w:val="005E1D8E"/>
    <w:rsid w:val="005E1E98"/>
    <w:rsid w:val="005E23A5"/>
    <w:rsid w:val="005E2BD8"/>
    <w:rsid w:val="005E3238"/>
    <w:rsid w:val="005E34E5"/>
    <w:rsid w:val="005E3761"/>
    <w:rsid w:val="005E5270"/>
    <w:rsid w:val="005E5D9A"/>
    <w:rsid w:val="005E78B2"/>
    <w:rsid w:val="005F00B2"/>
    <w:rsid w:val="005F1B91"/>
    <w:rsid w:val="005F29F5"/>
    <w:rsid w:val="005F4C64"/>
    <w:rsid w:val="005F50E7"/>
    <w:rsid w:val="005F7EA6"/>
    <w:rsid w:val="00600061"/>
    <w:rsid w:val="006042D1"/>
    <w:rsid w:val="00604F05"/>
    <w:rsid w:val="00604F16"/>
    <w:rsid w:val="00605C96"/>
    <w:rsid w:val="006065C3"/>
    <w:rsid w:val="00606E92"/>
    <w:rsid w:val="00607B32"/>
    <w:rsid w:val="00607C62"/>
    <w:rsid w:val="00607ECF"/>
    <w:rsid w:val="0060E440"/>
    <w:rsid w:val="00610BBB"/>
    <w:rsid w:val="00610C7D"/>
    <w:rsid w:val="00611434"/>
    <w:rsid w:val="006118D7"/>
    <w:rsid w:val="00611E94"/>
    <w:rsid w:val="00612053"/>
    <w:rsid w:val="006120BA"/>
    <w:rsid w:val="0061264A"/>
    <w:rsid w:val="00613A92"/>
    <w:rsid w:val="00613CA6"/>
    <w:rsid w:val="0061500E"/>
    <w:rsid w:val="0061509A"/>
    <w:rsid w:val="0062015D"/>
    <w:rsid w:val="00620743"/>
    <w:rsid w:val="00620C33"/>
    <w:rsid w:val="0062229E"/>
    <w:rsid w:val="00623604"/>
    <w:rsid w:val="00623F64"/>
    <w:rsid w:val="00624D53"/>
    <w:rsid w:val="0062519F"/>
    <w:rsid w:val="0062752E"/>
    <w:rsid w:val="006303BC"/>
    <w:rsid w:val="00630570"/>
    <w:rsid w:val="00632683"/>
    <w:rsid w:val="00632926"/>
    <w:rsid w:val="006359A9"/>
    <w:rsid w:val="00636777"/>
    <w:rsid w:val="00641C59"/>
    <w:rsid w:val="006462B0"/>
    <w:rsid w:val="00646F81"/>
    <w:rsid w:val="00650723"/>
    <w:rsid w:val="0065165C"/>
    <w:rsid w:val="00651CAD"/>
    <w:rsid w:val="0065255B"/>
    <w:rsid w:val="00652E6C"/>
    <w:rsid w:val="006550BD"/>
    <w:rsid w:val="00656A1D"/>
    <w:rsid w:val="006573C9"/>
    <w:rsid w:val="0065767C"/>
    <w:rsid w:val="006579C0"/>
    <w:rsid w:val="00657F07"/>
    <w:rsid w:val="006604D2"/>
    <w:rsid w:val="00663582"/>
    <w:rsid w:val="006644BC"/>
    <w:rsid w:val="00665A39"/>
    <w:rsid w:val="00665EEB"/>
    <w:rsid w:val="00666605"/>
    <w:rsid w:val="0066689F"/>
    <w:rsid w:val="00666C92"/>
    <w:rsid w:val="00667C1E"/>
    <w:rsid w:val="00671409"/>
    <w:rsid w:val="00671B42"/>
    <w:rsid w:val="00671B7F"/>
    <w:rsid w:val="00671C3C"/>
    <w:rsid w:val="006729A7"/>
    <w:rsid w:val="00672DCE"/>
    <w:rsid w:val="006735C9"/>
    <w:rsid w:val="00673BDE"/>
    <w:rsid w:val="0067568D"/>
    <w:rsid w:val="006759EE"/>
    <w:rsid w:val="00680E00"/>
    <w:rsid w:val="00681462"/>
    <w:rsid w:val="00683F49"/>
    <w:rsid w:val="006840A5"/>
    <w:rsid w:val="00684CA1"/>
    <w:rsid w:val="00684FAF"/>
    <w:rsid w:val="006857ED"/>
    <w:rsid w:val="00685C93"/>
    <w:rsid w:val="00685E4D"/>
    <w:rsid w:val="00687103"/>
    <w:rsid w:val="00687D36"/>
    <w:rsid w:val="00687E44"/>
    <w:rsid w:val="00690710"/>
    <w:rsid w:val="00690853"/>
    <w:rsid w:val="00690CD7"/>
    <w:rsid w:val="00690D6E"/>
    <w:rsid w:val="00692ADA"/>
    <w:rsid w:val="00695865"/>
    <w:rsid w:val="00695F1A"/>
    <w:rsid w:val="00695FAA"/>
    <w:rsid w:val="00696B21"/>
    <w:rsid w:val="00697661"/>
    <w:rsid w:val="006A1407"/>
    <w:rsid w:val="006A1711"/>
    <w:rsid w:val="006A248C"/>
    <w:rsid w:val="006A2C8B"/>
    <w:rsid w:val="006A38D0"/>
    <w:rsid w:val="006A38EA"/>
    <w:rsid w:val="006A43EB"/>
    <w:rsid w:val="006A5871"/>
    <w:rsid w:val="006A5954"/>
    <w:rsid w:val="006A5B31"/>
    <w:rsid w:val="006A5E51"/>
    <w:rsid w:val="006A5F39"/>
    <w:rsid w:val="006A7842"/>
    <w:rsid w:val="006B06DC"/>
    <w:rsid w:val="006B1482"/>
    <w:rsid w:val="006B2969"/>
    <w:rsid w:val="006B2CCB"/>
    <w:rsid w:val="006B3AB0"/>
    <w:rsid w:val="006B4819"/>
    <w:rsid w:val="006B4D90"/>
    <w:rsid w:val="006B5D1C"/>
    <w:rsid w:val="006B6CC2"/>
    <w:rsid w:val="006B753A"/>
    <w:rsid w:val="006C0925"/>
    <w:rsid w:val="006C255D"/>
    <w:rsid w:val="006C43A8"/>
    <w:rsid w:val="006C5538"/>
    <w:rsid w:val="006C72B2"/>
    <w:rsid w:val="006C7363"/>
    <w:rsid w:val="006C7420"/>
    <w:rsid w:val="006C76FC"/>
    <w:rsid w:val="006C7738"/>
    <w:rsid w:val="006C7EC9"/>
    <w:rsid w:val="006D15AE"/>
    <w:rsid w:val="006D2590"/>
    <w:rsid w:val="006D2934"/>
    <w:rsid w:val="006D2C2E"/>
    <w:rsid w:val="006D6A1C"/>
    <w:rsid w:val="006D7B56"/>
    <w:rsid w:val="006E0751"/>
    <w:rsid w:val="006E0865"/>
    <w:rsid w:val="006E0F9C"/>
    <w:rsid w:val="006E269D"/>
    <w:rsid w:val="006E44BA"/>
    <w:rsid w:val="006E4675"/>
    <w:rsid w:val="006E47BD"/>
    <w:rsid w:val="006E4F54"/>
    <w:rsid w:val="006E5ECA"/>
    <w:rsid w:val="006E6212"/>
    <w:rsid w:val="006E6E47"/>
    <w:rsid w:val="006E75A6"/>
    <w:rsid w:val="006F23C3"/>
    <w:rsid w:val="006F2698"/>
    <w:rsid w:val="006F2A2F"/>
    <w:rsid w:val="006F2C6A"/>
    <w:rsid w:val="006F414C"/>
    <w:rsid w:val="006F5076"/>
    <w:rsid w:val="006F5F1B"/>
    <w:rsid w:val="006F60CA"/>
    <w:rsid w:val="006F69D1"/>
    <w:rsid w:val="006F7FE6"/>
    <w:rsid w:val="006F95DC"/>
    <w:rsid w:val="006FE875"/>
    <w:rsid w:val="00703E98"/>
    <w:rsid w:val="00704783"/>
    <w:rsid w:val="00704EDB"/>
    <w:rsid w:val="0070616B"/>
    <w:rsid w:val="00706BAE"/>
    <w:rsid w:val="0071007E"/>
    <w:rsid w:val="007103A9"/>
    <w:rsid w:val="00711636"/>
    <w:rsid w:val="007136DA"/>
    <w:rsid w:val="00713DFF"/>
    <w:rsid w:val="00714DC1"/>
    <w:rsid w:val="007153C4"/>
    <w:rsid w:val="00715E07"/>
    <w:rsid w:val="0071649C"/>
    <w:rsid w:val="007166A5"/>
    <w:rsid w:val="00716B5F"/>
    <w:rsid w:val="00716D8B"/>
    <w:rsid w:val="00716F10"/>
    <w:rsid w:val="007175B1"/>
    <w:rsid w:val="007200F1"/>
    <w:rsid w:val="0072088D"/>
    <w:rsid w:val="007210E5"/>
    <w:rsid w:val="00722AEC"/>
    <w:rsid w:val="00724399"/>
    <w:rsid w:val="00724F55"/>
    <w:rsid w:val="00725357"/>
    <w:rsid w:val="007259D6"/>
    <w:rsid w:val="007260B5"/>
    <w:rsid w:val="00727B22"/>
    <w:rsid w:val="00727D77"/>
    <w:rsid w:val="00732825"/>
    <w:rsid w:val="007334F3"/>
    <w:rsid w:val="00733516"/>
    <w:rsid w:val="00733681"/>
    <w:rsid w:val="00733C51"/>
    <w:rsid w:val="00733D67"/>
    <w:rsid w:val="00734124"/>
    <w:rsid w:val="0073498D"/>
    <w:rsid w:val="00735B14"/>
    <w:rsid w:val="0073669E"/>
    <w:rsid w:val="0074158F"/>
    <w:rsid w:val="007419D9"/>
    <w:rsid w:val="00744566"/>
    <w:rsid w:val="00744669"/>
    <w:rsid w:val="00744B8F"/>
    <w:rsid w:val="00745AAA"/>
    <w:rsid w:val="00745DB7"/>
    <w:rsid w:val="00746FB8"/>
    <w:rsid w:val="00747386"/>
    <w:rsid w:val="007474B7"/>
    <w:rsid w:val="00752910"/>
    <w:rsid w:val="00753CD2"/>
    <w:rsid w:val="0075446F"/>
    <w:rsid w:val="00756FD0"/>
    <w:rsid w:val="007609A9"/>
    <w:rsid w:val="007609C0"/>
    <w:rsid w:val="00761116"/>
    <w:rsid w:val="0076148A"/>
    <w:rsid w:val="00762691"/>
    <w:rsid w:val="007644AE"/>
    <w:rsid w:val="00766D47"/>
    <w:rsid w:val="00766F80"/>
    <w:rsid w:val="0076727A"/>
    <w:rsid w:val="00767C2B"/>
    <w:rsid w:val="007703BC"/>
    <w:rsid w:val="00771168"/>
    <w:rsid w:val="00771929"/>
    <w:rsid w:val="00771C75"/>
    <w:rsid w:val="0077216E"/>
    <w:rsid w:val="00772A42"/>
    <w:rsid w:val="00772A4C"/>
    <w:rsid w:val="007734A1"/>
    <w:rsid w:val="00774314"/>
    <w:rsid w:val="0077479D"/>
    <w:rsid w:val="00774903"/>
    <w:rsid w:val="00775540"/>
    <w:rsid w:val="00775748"/>
    <w:rsid w:val="0077613F"/>
    <w:rsid w:val="00782B94"/>
    <w:rsid w:val="00784196"/>
    <w:rsid w:val="0078439D"/>
    <w:rsid w:val="00785D66"/>
    <w:rsid w:val="00786A6A"/>
    <w:rsid w:val="00787B00"/>
    <w:rsid w:val="00787E7C"/>
    <w:rsid w:val="00790142"/>
    <w:rsid w:val="00790996"/>
    <w:rsid w:val="007914CB"/>
    <w:rsid w:val="007917BA"/>
    <w:rsid w:val="007919AB"/>
    <w:rsid w:val="00796410"/>
    <w:rsid w:val="00796451"/>
    <w:rsid w:val="007967D0"/>
    <w:rsid w:val="007A141D"/>
    <w:rsid w:val="007A16DA"/>
    <w:rsid w:val="007A1876"/>
    <w:rsid w:val="007A2338"/>
    <w:rsid w:val="007A23BA"/>
    <w:rsid w:val="007A4549"/>
    <w:rsid w:val="007A4D29"/>
    <w:rsid w:val="007A4E28"/>
    <w:rsid w:val="007A5F6B"/>
    <w:rsid w:val="007B08CC"/>
    <w:rsid w:val="007B2065"/>
    <w:rsid w:val="007B2775"/>
    <w:rsid w:val="007B3949"/>
    <w:rsid w:val="007B3AF6"/>
    <w:rsid w:val="007B5116"/>
    <w:rsid w:val="007B5248"/>
    <w:rsid w:val="007B5656"/>
    <w:rsid w:val="007B5EAA"/>
    <w:rsid w:val="007B6B98"/>
    <w:rsid w:val="007B7FE3"/>
    <w:rsid w:val="007C128D"/>
    <w:rsid w:val="007C1E35"/>
    <w:rsid w:val="007C369D"/>
    <w:rsid w:val="007C386D"/>
    <w:rsid w:val="007C38D7"/>
    <w:rsid w:val="007C40FA"/>
    <w:rsid w:val="007C47A3"/>
    <w:rsid w:val="007C49CE"/>
    <w:rsid w:val="007C5B24"/>
    <w:rsid w:val="007C680F"/>
    <w:rsid w:val="007C6860"/>
    <w:rsid w:val="007C730D"/>
    <w:rsid w:val="007D03C9"/>
    <w:rsid w:val="007D1131"/>
    <w:rsid w:val="007D13D5"/>
    <w:rsid w:val="007D1A2F"/>
    <w:rsid w:val="007D207A"/>
    <w:rsid w:val="007D2962"/>
    <w:rsid w:val="007D3387"/>
    <w:rsid w:val="007D48D2"/>
    <w:rsid w:val="007D4BFE"/>
    <w:rsid w:val="007D65A6"/>
    <w:rsid w:val="007D70A1"/>
    <w:rsid w:val="007D70A6"/>
    <w:rsid w:val="007D730D"/>
    <w:rsid w:val="007D73BA"/>
    <w:rsid w:val="007E16AF"/>
    <w:rsid w:val="007E1A97"/>
    <w:rsid w:val="007E21B1"/>
    <w:rsid w:val="007E23B3"/>
    <w:rsid w:val="007E2504"/>
    <w:rsid w:val="007E2A9C"/>
    <w:rsid w:val="007E3185"/>
    <w:rsid w:val="007E4D02"/>
    <w:rsid w:val="007E4F8D"/>
    <w:rsid w:val="007E5694"/>
    <w:rsid w:val="007E68B1"/>
    <w:rsid w:val="007E6EAB"/>
    <w:rsid w:val="007E7A6B"/>
    <w:rsid w:val="007F03A0"/>
    <w:rsid w:val="007F0790"/>
    <w:rsid w:val="007F0E1D"/>
    <w:rsid w:val="007F2BA4"/>
    <w:rsid w:val="007F2D08"/>
    <w:rsid w:val="007F3242"/>
    <w:rsid w:val="007F3570"/>
    <w:rsid w:val="007F5BCE"/>
    <w:rsid w:val="007F627A"/>
    <w:rsid w:val="007F64E6"/>
    <w:rsid w:val="007F6974"/>
    <w:rsid w:val="007F6A85"/>
    <w:rsid w:val="007F7D45"/>
    <w:rsid w:val="007F972B"/>
    <w:rsid w:val="008030BA"/>
    <w:rsid w:val="0080332B"/>
    <w:rsid w:val="008055BA"/>
    <w:rsid w:val="00806DDA"/>
    <w:rsid w:val="00810203"/>
    <w:rsid w:val="00811278"/>
    <w:rsid w:val="00812091"/>
    <w:rsid w:val="0081239A"/>
    <w:rsid w:val="00812756"/>
    <w:rsid w:val="00812C47"/>
    <w:rsid w:val="0081451F"/>
    <w:rsid w:val="008155E9"/>
    <w:rsid w:val="00817BC3"/>
    <w:rsid w:val="00820433"/>
    <w:rsid w:val="00820B7A"/>
    <w:rsid w:val="0082166E"/>
    <w:rsid w:val="00821B89"/>
    <w:rsid w:val="00822C50"/>
    <w:rsid w:val="00823060"/>
    <w:rsid w:val="00823231"/>
    <w:rsid w:val="00823A80"/>
    <w:rsid w:val="00823DF4"/>
    <w:rsid w:val="0082415B"/>
    <w:rsid w:val="00824401"/>
    <w:rsid w:val="0082472F"/>
    <w:rsid w:val="00825776"/>
    <w:rsid w:val="00826E47"/>
    <w:rsid w:val="00827EF9"/>
    <w:rsid w:val="00827FE5"/>
    <w:rsid w:val="0082DF1C"/>
    <w:rsid w:val="00830A09"/>
    <w:rsid w:val="00831AFC"/>
    <w:rsid w:val="008349F9"/>
    <w:rsid w:val="008354C0"/>
    <w:rsid w:val="00835C27"/>
    <w:rsid w:val="00837810"/>
    <w:rsid w:val="00837ED9"/>
    <w:rsid w:val="00840BB3"/>
    <w:rsid w:val="008412FE"/>
    <w:rsid w:val="00841C7C"/>
    <w:rsid w:val="00844510"/>
    <w:rsid w:val="008447B1"/>
    <w:rsid w:val="00844903"/>
    <w:rsid w:val="00844F50"/>
    <w:rsid w:val="00845A98"/>
    <w:rsid w:val="00845BF8"/>
    <w:rsid w:val="00845D1D"/>
    <w:rsid w:val="00845F6E"/>
    <w:rsid w:val="008461D7"/>
    <w:rsid w:val="00846DB2"/>
    <w:rsid w:val="008473E8"/>
    <w:rsid w:val="0084747B"/>
    <w:rsid w:val="008518FC"/>
    <w:rsid w:val="0085284B"/>
    <w:rsid w:val="00853FC8"/>
    <w:rsid w:val="00854C62"/>
    <w:rsid w:val="00855E81"/>
    <w:rsid w:val="00855F51"/>
    <w:rsid w:val="00856000"/>
    <w:rsid w:val="00856078"/>
    <w:rsid w:val="0085731C"/>
    <w:rsid w:val="0086128D"/>
    <w:rsid w:val="0086148A"/>
    <w:rsid w:val="00861766"/>
    <w:rsid w:val="00862666"/>
    <w:rsid w:val="00863107"/>
    <w:rsid w:val="00864053"/>
    <w:rsid w:val="00864729"/>
    <w:rsid w:val="00864AEA"/>
    <w:rsid w:val="00865318"/>
    <w:rsid w:val="0086540E"/>
    <w:rsid w:val="00866E4E"/>
    <w:rsid w:val="00870A98"/>
    <w:rsid w:val="00871AA6"/>
    <w:rsid w:val="008739CE"/>
    <w:rsid w:val="00873C84"/>
    <w:rsid w:val="00874B4A"/>
    <w:rsid w:val="00875C04"/>
    <w:rsid w:val="00877288"/>
    <w:rsid w:val="008778E8"/>
    <w:rsid w:val="00877ACB"/>
    <w:rsid w:val="00877E68"/>
    <w:rsid w:val="00880A73"/>
    <w:rsid w:val="00881E8E"/>
    <w:rsid w:val="008828B7"/>
    <w:rsid w:val="0088378F"/>
    <w:rsid w:val="00884373"/>
    <w:rsid w:val="00884F4C"/>
    <w:rsid w:val="008871A7"/>
    <w:rsid w:val="00887C2F"/>
    <w:rsid w:val="00893723"/>
    <w:rsid w:val="00894213"/>
    <w:rsid w:val="008956B8"/>
    <w:rsid w:val="0089732E"/>
    <w:rsid w:val="00897574"/>
    <w:rsid w:val="008A006B"/>
    <w:rsid w:val="008A083B"/>
    <w:rsid w:val="008A130A"/>
    <w:rsid w:val="008A152B"/>
    <w:rsid w:val="008A32A0"/>
    <w:rsid w:val="008A35B4"/>
    <w:rsid w:val="008A46BF"/>
    <w:rsid w:val="008A5097"/>
    <w:rsid w:val="008A5249"/>
    <w:rsid w:val="008A5E5D"/>
    <w:rsid w:val="008A6529"/>
    <w:rsid w:val="008A70BA"/>
    <w:rsid w:val="008A7C56"/>
    <w:rsid w:val="008B04EA"/>
    <w:rsid w:val="008B172D"/>
    <w:rsid w:val="008B1930"/>
    <w:rsid w:val="008B1BE4"/>
    <w:rsid w:val="008B2423"/>
    <w:rsid w:val="008B4078"/>
    <w:rsid w:val="008B41C9"/>
    <w:rsid w:val="008B454F"/>
    <w:rsid w:val="008B4F5B"/>
    <w:rsid w:val="008B5F2F"/>
    <w:rsid w:val="008B7446"/>
    <w:rsid w:val="008C08D0"/>
    <w:rsid w:val="008C0C73"/>
    <w:rsid w:val="008C1DE2"/>
    <w:rsid w:val="008C3799"/>
    <w:rsid w:val="008C5E0A"/>
    <w:rsid w:val="008C5F6F"/>
    <w:rsid w:val="008C698B"/>
    <w:rsid w:val="008C6F10"/>
    <w:rsid w:val="008C7102"/>
    <w:rsid w:val="008C7222"/>
    <w:rsid w:val="008C764F"/>
    <w:rsid w:val="008C7EDF"/>
    <w:rsid w:val="008D007F"/>
    <w:rsid w:val="008D0B78"/>
    <w:rsid w:val="008D0F3E"/>
    <w:rsid w:val="008D1124"/>
    <w:rsid w:val="008D1C62"/>
    <w:rsid w:val="008D1F37"/>
    <w:rsid w:val="008D42E9"/>
    <w:rsid w:val="008D452F"/>
    <w:rsid w:val="008D4DC9"/>
    <w:rsid w:val="008D6898"/>
    <w:rsid w:val="008D6C95"/>
    <w:rsid w:val="008D7A63"/>
    <w:rsid w:val="008E001B"/>
    <w:rsid w:val="008E0080"/>
    <w:rsid w:val="008E0DED"/>
    <w:rsid w:val="008E1E6A"/>
    <w:rsid w:val="008E2097"/>
    <w:rsid w:val="008E2FDE"/>
    <w:rsid w:val="008E300F"/>
    <w:rsid w:val="008E4135"/>
    <w:rsid w:val="008E43C6"/>
    <w:rsid w:val="008E48DB"/>
    <w:rsid w:val="008E627A"/>
    <w:rsid w:val="008E7C0D"/>
    <w:rsid w:val="008F0E99"/>
    <w:rsid w:val="008F15B5"/>
    <w:rsid w:val="008F238E"/>
    <w:rsid w:val="008F311F"/>
    <w:rsid w:val="008F3552"/>
    <w:rsid w:val="008F3833"/>
    <w:rsid w:val="008F3ABA"/>
    <w:rsid w:val="008F4591"/>
    <w:rsid w:val="008F45F6"/>
    <w:rsid w:val="008F6DE5"/>
    <w:rsid w:val="008F71B0"/>
    <w:rsid w:val="00900CCC"/>
    <w:rsid w:val="00901780"/>
    <w:rsid w:val="009017FC"/>
    <w:rsid w:val="00901BBA"/>
    <w:rsid w:val="009034D3"/>
    <w:rsid w:val="00903F90"/>
    <w:rsid w:val="00904E8A"/>
    <w:rsid w:val="009054AD"/>
    <w:rsid w:val="00905DB0"/>
    <w:rsid w:val="00907315"/>
    <w:rsid w:val="0091113F"/>
    <w:rsid w:val="009114BC"/>
    <w:rsid w:val="009114F0"/>
    <w:rsid w:val="00914160"/>
    <w:rsid w:val="00915382"/>
    <w:rsid w:val="00915B9D"/>
    <w:rsid w:val="00920EFC"/>
    <w:rsid w:val="00922AFB"/>
    <w:rsid w:val="009237B3"/>
    <w:rsid w:val="009262CB"/>
    <w:rsid w:val="009262DB"/>
    <w:rsid w:val="0092677B"/>
    <w:rsid w:val="00926F4D"/>
    <w:rsid w:val="00928FAE"/>
    <w:rsid w:val="009306F4"/>
    <w:rsid w:val="009312E7"/>
    <w:rsid w:val="0093147B"/>
    <w:rsid w:val="00931B07"/>
    <w:rsid w:val="00932FA7"/>
    <w:rsid w:val="00936770"/>
    <w:rsid w:val="00937049"/>
    <w:rsid w:val="00937E49"/>
    <w:rsid w:val="00940962"/>
    <w:rsid w:val="00940AE0"/>
    <w:rsid w:val="00941039"/>
    <w:rsid w:val="009433BB"/>
    <w:rsid w:val="0094384A"/>
    <w:rsid w:val="00947900"/>
    <w:rsid w:val="009517B7"/>
    <w:rsid w:val="00952376"/>
    <w:rsid w:val="0095355B"/>
    <w:rsid w:val="0095364D"/>
    <w:rsid w:val="00955368"/>
    <w:rsid w:val="009554C3"/>
    <w:rsid w:val="00955F82"/>
    <w:rsid w:val="009563B4"/>
    <w:rsid w:val="009572EF"/>
    <w:rsid w:val="00957E61"/>
    <w:rsid w:val="00960A19"/>
    <w:rsid w:val="00961ECC"/>
    <w:rsid w:val="009629A4"/>
    <w:rsid w:val="00962AD4"/>
    <w:rsid w:val="009636D0"/>
    <w:rsid w:val="009639BE"/>
    <w:rsid w:val="00965AB9"/>
    <w:rsid w:val="00966642"/>
    <w:rsid w:val="009732A4"/>
    <w:rsid w:val="00973B62"/>
    <w:rsid w:val="009744B4"/>
    <w:rsid w:val="00974A96"/>
    <w:rsid w:val="00974F52"/>
    <w:rsid w:val="00975A41"/>
    <w:rsid w:val="00976FC0"/>
    <w:rsid w:val="009771A4"/>
    <w:rsid w:val="00977348"/>
    <w:rsid w:val="00977EF4"/>
    <w:rsid w:val="009836E2"/>
    <w:rsid w:val="00983D60"/>
    <w:rsid w:val="00984859"/>
    <w:rsid w:val="009849EC"/>
    <w:rsid w:val="00986849"/>
    <w:rsid w:val="00990906"/>
    <w:rsid w:val="00992419"/>
    <w:rsid w:val="0099293D"/>
    <w:rsid w:val="00992D04"/>
    <w:rsid w:val="00992D76"/>
    <w:rsid w:val="00994E6E"/>
    <w:rsid w:val="00996C59"/>
    <w:rsid w:val="00997BD3"/>
    <w:rsid w:val="009A08E6"/>
    <w:rsid w:val="009A1470"/>
    <w:rsid w:val="009A1722"/>
    <w:rsid w:val="009A1CD6"/>
    <w:rsid w:val="009A1EFB"/>
    <w:rsid w:val="009A2994"/>
    <w:rsid w:val="009A2AEB"/>
    <w:rsid w:val="009A2B5B"/>
    <w:rsid w:val="009A2B7D"/>
    <w:rsid w:val="009A2C99"/>
    <w:rsid w:val="009A3572"/>
    <w:rsid w:val="009A4021"/>
    <w:rsid w:val="009A4B58"/>
    <w:rsid w:val="009A4BCE"/>
    <w:rsid w:val="009A4F53"/>
    <w:rsid w:val="009A54E2"/>
    <w:rsid w:val="009A61CF"/>
    <w:rsid w:val="009A61D2"/>
    <w:rsid w:val="009A62E1"/>
    <w:rsid w:val="009A6DE5"/>
    <w:rsid w:val="009A7144"/>
    <w:rsid w:val="009B1178"/>
    <w:rsid w:val="009B150A"/>
    <w:rsid w:val="009B1D96"/>
    <w:rsid w:val="009B2137"/>
    <w:rsid w:val="009B2507"/>
    <w:rsid w:val="009B25F3"/>
    <w:rsid w:val="009B4134"/>
    <w:rsid w:val="009B442F"/>
    <w:rsid w:val="009B4DBB"/>
    <w:rsid w:val="009B510C"/>
    <w:rsid w:val="009B5B18"/>
    <w:rsid w:val="009B5B3E"/>
    <w:rsid w:val="009B5FB2"/>
    <w:rsid w:val="009B67FD"/>
    <w:rsid w:val="009B71F8"/>
    <w:rsid w:val="009B79A9"/>
    <w:rsid w:val="009B7FE4"/>
    <w:rsid w:val="009C04DF"/>
    <w:rsid w:val="009C11F6"/>
    <w:rsid w:val="009C1425"/>
    <w:rsid w:val="009C181D"/>
    <w:rsid w:val="009C1CAC"/>
    <w:rsid w:val="009C2619"/>
    <w:rsid w:val="009C39F8"/>
    <w:rsid w:val="009C41E6"/>
    <w:rsid w:val="009C6537"/>
    <w:rsid w:val="009C7382"/>
    <w:rsid w:val="009C73C7"/>
    <w:rsid w:val="009D2668"/>
    <w:rsid w:val="009D6287"/>
    <w:rsid w:val="009E25CC"/>
    <w:rsid w:val="009E302E"/>
    <w:rsid w:val="009E36EF"/>
    <w:rsid w:val="009E3D0F"/>
    <w:rsid w:val="009E3FF6"/>
    <w:rsid w:val="009E4715"/>
    <w:rsid w:val="009E4B1E"/>
    <w:rsid w:val="009E5386"/>
    <w:rsid w:val="009E70AD"/>
    <w:rsid w:val="009E7790"/>
    <w:rsid w:val="009F0A2A"/>
    <w:rsid w:val="009F2471"/>
    <w:rsid w:val="009F6476"/>
    <w:rsid w:val="009F673D"/>
    <w:rsid w:val="009F6C17"/>
    <w:rsid w:val="009F74A1"/>
    <w:rsid w:val="009F7D15"/>
    <w:rsid w:val="00A0449E"/>
    <w:rsid w:val="00A04808"/>
    <w:rsid w:val="00A04F59"/>
    <w:rsid w:val="00A0550A"/>
    <w:rsid w:val="00A05B22"/>
    <w:rsid w:val="00A063CD"/>
    <w:rsid w:val="00A06439"/>
    <w:rsid w:val="00A07432"/>
    <w:rsid w:val="00A1021A"/>
    <w:rsid w:val="00A10237"/>
    <w:rsid w:val="00A1075C"/>
    <w:rsid w:val="00A10CC7"/>
    <w:rsid w:val="00A125DD"/>
    <w:rsid w:val="00A12961"/>
    <w:rsid w:val="00A12CC1"/>
    <w:rsid w:val="00A14EC9"/>
    <w:rsid w:val="00A153E5"/>
    <w:rsid w:val="00A16BA8"/>
    <w:rsid w:val="00A16DCF"/>
    <w:rsid w:val="00A172CE"/>
    <w:rsid w:val="00A17DEC"/>
    <w:rsid w:val="00A210AB"/>
    <w:rsid w:val="00A226D5"/>
    <w:rsid w:val="00A23213"/>
    <w:rsid w:val="00A23597"/>
    <w:rsid w:val="00A23881"/>
    <w:rsid w:val="00A26B2D"/>
    <w:rsid w:val="00A27157"/>
    <w:rsid w:val="00A27FF6"/>
    <w:rsid w:val="00A30086"/>
    <w:rsid w:val="00A30124"/>
    <w:rsid w:val="00A305CB"/>
    <w:rsid w:val="00A30760"/>
    <w:rsid w:val="00A33B23"/>
    <w:rsid w:val="00A33DAE"/>
    <w:rsid w:val="00A35145"/>
    <w:rsid w:val="00A352E7"/>
    <w:rsid w:val="00A35533"/>
    <w:rsid w:val="00A3CBA6"/>
    <w:rsid w:val="00A40611"/>
    <w:rsid w:val="00A41E3F"/>
    <w:rsid w:val="00A4282A"/>
    <w:rsid w:val="00A43699"/>
    <w:rsid w:val="00A43C15"/>
    <w:rsid w:val="00A45452"/>
    <w:rsid w:val="00A4604E"/>
    <w:rsid w:val="00A467A8"/>
    <w:rsid w:val="00A47332"/>
    <w:rsid w:val="00A473EA"/>
    <w:rsid w:val="00A478AB"/>
    <w:rsid w:val="00A506DD"/>
    <w:rsid w:val="00A51140"/>
    <w:rsid w:val="00A514B6"/>
    <w:rsid w:val="00A5363A"/>
    <w:rsid w:val="00A53CD8"/>
    <w:rsid w:val="00A540C2"/>
    <w:rsid w:val="00A54270"/>
    <w:rsid w:val="00A57102"/>
    <w:rsid w:val="00A60173"/>
    <w:rsid w:val="00A606C0"/>
    <w:rsid w:val="00A62513"/>
    <w:rsid w:val="00A62BA6"/>
    <w:rsid w:val="00A63658"/>
    <w:rsid w:val="00A63A90"/>
    <w:rsid w:val="00A64654"/>
    <w:rsid w:val="00A66C32"/>
    <w:rsid w:val="00A67469"/>
    <w:rsid w:val="00A70742"/>
    <w:rsid w:val="00A72012"/>
    <w:rsid w:val="00A726D2"/>
    <w:rsid w:val="00A7422A"/>
    <w:rsid w:val="00A749F9"/>
    <w:rsid w:val="00A752FA"/>
    <w:rsid w:val="00A7539D"/>
    <w:rsid w:val="00A774EF"/>
    <w:rsid w:val="00A81003"/>
    <w:rsid w:val="00A813DE"/>
    <w:rsid w:val="00A81C14"/>
    <w:rsid w:val="00A84DFF"/>
    <w:rsid w:val="00A85975"/>
    <w:rsid w:val="00A85B63"/>
    <w:rsid w:val="00A8671B"/>
    <w:rsid w:val="00A870C5"/>
    <w:rsid w:val="00A91108"/>
    <w:rsid w:val="00A9111B"/>
    <w:rsid w:val="00A929F2"/>
    <w:rsid w:val="00A93CDA"/>
    <w:rsid w:val="00A94C46"/>
    <w:rsid w:val="00A95035"/>
    <w:rsid w:val="00A95B3D"/>
    <w:rsid w:val="00A95CCD"/>
    <w:rsid w:val="00A96A3E"/>
    <w:rsid w:val="00A971DB"/>
    <w:rsid w:val="00A9768F"/>
    <w:rsid w:val="00AA0204"/>
    <w:rsid w:val="00AA06C5"/>
    <w:rsid w:val="00AA0C1A"/>
    <w:rsid w:val="00AA13F6"/>
    <w:rsid w:val="00AA33F2"/>
    <w:rsid w:val="00AA3D26"/>
    <w:rsid w:val="00AA4051"/>
    <w:rsid w:val="00AA4C70"/>
    <w:rsid w:val="00AA66CA"/>
    <w:rsid w:val="00AA6B42"/>
    <w:rsid w:val="00AA70C3"/>
    <w:rsid w:val="00AB003D"/>
    <w:rsid w:val="00AB0121"/>
    <w:rsid w:val="00AB0B74"/>
    <w:rsid w:val="00AB0BA0"/>
    <w:rsid w:val="00AB0BC8"/>
    <w:rsid w:val="00AB1511"/>
    <w:rsid w:val="00AB244A"/>
    <w:rsid w:val="00AB31C5"/>
    <w:rsid w:val="00AB383F"/>
    <w:rsid w:val="00AB3AB9"/>
    <w:rsid w:val="00AB3BF9"/>
    <w:rsid w:val="00AB63D8"/>
    <w:rsid w:val="00AB6484"/>
    <w:rsid w:val="00AB7FE6"/>
    <w:rsid w:val="00AC1E59"/>
    <w:rsid w:val="00AC295E"/>
    <w:rsid w:val="00AC31ED"/>
    <w:rsid w:val="00AC3FD5"/>
    <w:rsid w:val="00AC4EF7"/>
    <w:rsid w:val="00AC55B9"/>
    <w:rsid w:val="00AC5B52"/>
    <w:rsid w:val="00AC5ED3"/>
    <w:rsid w:val="00AD1161"/>
    <w:rsid w:val="00AD1948"/>
    <w:rsid w:val="00AD1A8B"/>
    <w:rsid w:val="00AD1F91"/>
    <w:rsid w:val="00AD2520"/>
    <w:rsid w:val="00AD3047"/>
    <w:rsid w:val="00AD52A7"/>
    <w:rsid w:val="00AD582F"/>
    <w:rsid w:val="00AE0589"/>
    <w:rsid w:val="00AE1818"/>
    <w:rsid w:val="00AE4420"/>
    <w:rsid w:val="00AE48A2"/>
    <w:rsid w:val="00AE56ED"/>
    <w:rsid w:val="00AE65C3"/>
    <w:rsid w:val="00AE66E9"/>
    <w:rsid w:val="00AE74B6"/>
    <w:rsid w:val="00AE7529"/>
    <w:rsid w:val="00AE7AFE"/>
    <w:rsid w:val="00AF1C85"/>
    <w:rsid w:val="00AF32D1"/>
    <w:rsid w:val="00AF3493"/>
    <w:rsid w:val="00AF42A7"/>
    <w:rsid w:val="00AF466D"/>
    <w:rsid w:val="00AF5FBA"/>
    <w:rsid w:val="00AF76EB"/>
    <w:rsid w:val="00B000FB"/>
    <w:rsid w:val="00B00D5D"/>
    <w:rsid w:val="00B00EB7"/>
    <w:rsid w:val="00B013F3"/>
    <w:rsid w:val="00B01806"/>
    <w:rsid w:val="00B02E45"/>
    <w:rsid w:val="00B03366"/>
    <w:rsid w:val="00B048C1"/>
    <w:rsid w:val="00B04A82"/>
    <w:rsid w:val="00B04E1B"/>
    <w:rsid w:val="00B04FA9"/>
    <w:rsid w:val="00B054E7"/>
    <w:rsid w:val="00B05523"/>
    <w:rsid w:val="00B05ACC"/>
    <w:rsid w:val="00B07142"/>
    <w:rsid w:val="00B07B66"/>
    <w:rsid w:val="00B10029"/>
    <w:rsid w:val="00B10B01"/>
    <w:rsid w:val="00B10B34"/>
    <w:rsid w:val="00B10B39"/>
    <w:rsid w:val="00B1568D"/>
    <w:rsid w:val="00B15C4E"/>
    <w:rsid w:val="00B1724C"/>
    <w:rsid w:val="00B21CE4"/>
    <w:rsid w:val="00B229B2"/>
    <w:rsid w:val="00B23B5A"/>
    <w:rsid w:val="00B25B2E"/>
    <w:rsid w:val="00B26117"/>
    <w:rsid w:val="00B262A0"/>
    <w:rsid w:val="00B26C2C"/>
    <w:rsid w:val="00B275F8"/>
    <w:rsid w:val="00B27A5C"/>
    <w:rsid w:val="00B27DBE"/>
    <w:rsid w:val="00B3121E"/>
    <w:rsid w:val="00B3156B"/>
    <w:rsid w:val="00B317B1"/>
    <w:rsid w:val="00B3185E"/>
    <w:rsid w:val="00B34664"/>
    <w:rsid w:val="00B35326"/>
    <w:rsid w:val="00B35692"/>
    <w:rsid w:val="00B371A4"/>
    <w:rsid w:val="00B37E99"/>
    <w:rsid w:val="00B4012B"/>
    <w:rsid w:val="00B40B8E"/>
    <w:rsid w:val="00B41EE8"/>
    <w:rsid w:val="00B441B5"/>
    <w:rsid w:val="00B4579E"/>
    <w:rsid w:val="00B457FE"/>
    <w:rsid w:val="00B46030"/>
    <w:rsid w:val="00B4628F"/>
    <w:rsid w:val="00B4642E"/>
    <w:rsid w:val="00B46838"/>
    <w:rsid w:val="00B46C6B"/>
    <w:rsid w:val="00B5017D"/>
    <w:rsid w:val="00B5124B"/>
    <w:rsid w:val="00B512EB"/>
    <w:rsid w:val="00B51CB3"/>
    <w:rsid w:val="00B531F4"/>
    <w:rsid w:val="00B532EB"/>
    <w:rsid w:val="00B55631"/>
    <w:rsid w:val="00B563D1"/>
    <w:rsid w:val="00B57450"/>
    <w:rsid w:val="00B57BE4"/>
    <w:rsid w:val="00B57CE8"/>
    <w:rsid w:val="00B60AF2"/>
    <w:rsid w:val="00B60E39"/>
    <w:rsid w:val="00B613BD"/>
    <w:rsid w:val="00B61ED7"/>
    <w:rsid w:val="00B63904"/>
    <w:rsid w:val="00B642B5"/>
    <w:rsid w:val="00B64796"/>
    <w:rsid w:val="00B6532C"/>
    <w:rsid w:val="00B6540D"/>
    <w:rsid w:val="00B66B00"/>
    <w:rsid w:val="00B670BC"/>
    <w:rsid w:val="00B67542"/>
    <w:rsid w:val="00B6791C"/>
    <w:rsid w:val="00B704AB"/>
    <w:rsid w:val="00B70ED2"/>
    <w:rsid w:val="00B71EC6"/>
    <w:rsid w:val="00B740A4"/>
    <w:rsid w:val="00B74369"/>
    <w:rsid w:val="00B749FE"/>
    <w:rsid w:val="00B74B65"/>
    <w:rsid w:val="00B771C9"/>
    <w:rsid w:val="00B82C23"/>
    <w:rsid w:val="00B85583"/>
    <w:rsid w:val="00B86704"/>
    <w:rsid w:val="00B90C73"/>
    <w:rsid w:val="00B90D3E"/>
    <w:rsid w:val="00B90DC4"/>
    <w:rsid w:val="00B91122"/>
    <w:rsid w:val="00B91686"/>
    <w:rsid w:val="00B91FC0"/>
    <w:rsid w:val="00B92070"/>
    <w:rsid w:val="00B93544"/>
    <w:rsid w:val="00B93A06"/>
    <w:rsid w:val="00B952A1"/>
    <w:rsid w:val="00B97913"/>
    <w:rsid w:val="00B97A18"/>
    <w:rsid w:val="00B97D4D"/>
    <w:rsid w:val="00BA0E54"/>
    <w:rsid w:val="00BA454D"/>
    <w:rsid w:val="00BA6ED4"/>
    <w:rsid w:val="00BB1492"/>
    <w:rsid w:val="00BB1C8B"/>
    <w:rsid w:val="00BB282A"/>
    <w:rsid w:val="00BB35D2"/>
    <w:rsid w:val="00BB3690"/>
    <w:rsid w:val="00BB3B36"/>
    <w:rsid w:val="00BB4C04"/>
    <w:rsid w:val="00BB5987"/>
    <w:rsid w:val="00BB5B21"/>
    <w:rsid w:val="00BB5D15"/>
    <w:rsid w:val="00BC09A8"/>
    <w:rsid w:val="00BC1F85"/>
    <w:rsid w:val="00BC2AC2"/>
    <w:rsid w:val="00BC309C"/>
    <w:rsid w:val="00BC6D7C"/>
    <w:rsid w:val="00BC7AB3"/>
    <w:rsid w:val="00BD03C0"/>
    <w:rsid w:val="00BD146F"/>
    <w:rsid w:val="00BD205C"/>
    <w:rsid w:val="00BD33A3"/>
    <w:rsid w:val="00BD36AB"/>
    <w:rsid w:val="00BE3754"/>
    <w:rsid w:val="00BE40EA"/>
    <w:rsid w:val="00BE490F"/>
    <w:rsid w:val="00BE611D"/>
    <w:rsid w:val="00BE7B62"/>
    <w:rsid w:val="00BF0B1F"/>
    <w:rsid w:val="00BF1B7F"/>
    <w:rsid w:val="00BF1BB2"/>
    <w:rsid w:val="00BF5DEA"/>
    <w:rsid w:val="00BF7BAF"/>
    <w:rsid w:val="00C0242E"/>
    <w:rsid w:val="00C03294"/>
    <w:rsid w:val="00C04461"/>
    <w:rsid w:val="00C0456A"/>
    <w:rsid w:val="00C04DA7"/>
    <w:rsid w:val="00C06F43"/>
    <w:rsid w:val="00C07237"/>
    <w:rsid w:val="00C07453"/>
    <w:rsid w:val="00C115AA"/>
    <w:rsid w:val="00C127D8"/>
    <w:rsid w:val="00C13C44"/>
    <w:rsid w:val="00C13F82"/>
    <w:rsid w:val="00C17A81"/>
    <w:rsid w:val="00C17BE6"/>
    <w:rsid w:val="00C17F74"/>
    <w:rsid w:val="00C218B2"/>
    <w:rsid w:val="00C23C0B"/>
    <w:rsid w:val="00C24D96"/>
    <w:rsid w:val="00C252A8"/>
    <w:rsid w:val="00C25515"/>
    <w:rsid w:val="00C25546"/>
    <w:rsid w:val="00C255C3"/>
    <w:rsid w:val="00C2637E"/>
    <w:rsid w:val="00C30350"/>
    <w:rsid w:val="00C3057C"/>
    <w:rsid w:val="00C32103"/>
    <w:rsid w:val="00C3215D"/>
    <w:rsid w:val="00C3297F"/>
    <w:rsid w:val="00C343B7"/>
    <w:rsid w:val="00C34494"/>
    <w:rsid w:val="00C344A3"/>
    <w:rsid w:val="00C34BD5"/>
    <w:rsid w:val="00C353A8"/>
    <w:rsid w:val="00C35EAC"/>
    <w:rsid w:val="00C364E5"/>
    <w:rsid w:val="00C402BE"/>
    <w:rsid w:val="00C40A39"/>
    <w:rsid w:val="00C419A8"/>
    <w:rsid w:val="00C426F4"/>
    <w:rsid w:val="00C42C40"/>
    <w:rsid w:val="00C44256"/>
    <w:rsid w:val="00C50B6B"/>
    <w:rsid w:val="00C515AB"/>
    <w:rsid w:val="00C51765"/>
    <w:rsid w:val="00C52C7E"/>
    <w:rsid w:val="00C530C0"/>
    <w:rsid w:val="00C53AFB"/>
    <w:rsid w:val="00C54A11"/>
    <w:rsid w:val="00C54BC4"/>
    <w:rsid w:val="00C55236"/>
    <w:rsid w:val="00C558A0"/>
    <w:rsid w:val="00C563AA"/>
    <w:rsid w:val="00C57A3D"/>
    <w:rsid w:val="00C60036"/>
    <w:rsid w:val="00C62305"/>
    <w:rsid w:val="00C62ABF"/>
    <w:rsid w:val="00C64790"/>
    <w:rsid w:val="00C64B07"/>
    <w:rsid w:val="00C64D31"/>
    <w:rsid w:val="00C65C2A"/>
    <w:rsid w:val="00C660F9"/>
    <w:rsid w:val="00C66110"/>
    <w:rsid w:val="00C6635E"/>
    <w:rsid w:val="00C6705A"/>
    <w:rsid w:val="00C71863"/>
    <w:rsid w:val="00C727CE"/>
    <w:rsid w:val="00C72982"/>
    <w:rsid w:val="00C72B81"/>
    <w:rsid w:val="00C72E53"/>
    <w:rsid w:val="00C7318D"/>
    <w:rsid w:val="00C7389D"/>
    <w:rsid w:val="00C747D9"/>
    <w:rsid w:val="00C7531D"/>
    <w:rsid w:val="00C75671"/>
    <w:rsid w:val="00C76447"/>
    <w:rsid w:val="00C76573"/>
    <w:rsid w:val="00C76B0B"/>
    <w:rsid w:val="00C81D60"/>
    <w:rsid w:val="00C825B9"/>
    <w:rsid w:val="00C84E9F"/>
    <w:rsid w:val="00C85E6D"/>
    <w:rsid w:val="00C861E6"/>
    <w:rsid w:val="00C86A42"/>
    <w:rsid w:val="00C86E9A"/>
    <w:rsid w:val="00C87220"/>
    <w:rsid w:val="00C90038"/>
    <w:rsid w:val="00C911E4"/>
    <w:rsid w:val="00C92D1B"/>
    <w:rsid w:val="00C93874"/>
    <w:rsid w:val="00C93F1F"/>
    <w:rsid w:val="00C944F5"/>
    <w:rsid w:val="00C945BA"/>
    <w:rsid w:val="00C94C2A"/>
    <w:rsid w:val="00C94D69"/>
    <w:rsid w:val="00C966B9"/>
    <w:rsid w:val="00C96BE8"/>
    <w:rsid w:val="00CA0AE3"/>
    <w:rsid w:val="00CA0D1A"/>
    <w:rsid w:val="00CA0FC7"/>
    <w:rsid w:val="00CA17B9"/>
    <w:rsid w:val="00CA1C8F"/>
    <w:rsid w:val="00CA2BE7"/>
    <w:rsid w:val="00CA4051"/>
    <w:rsid w:val="00CA44C2"/>
    <w:rsid w:val="00CA611F"/>
    <w:rsid w:val="00CA693F"/>
    <w:rsid w:val="00CB0894"/>
    <w:rsid w:val="00CB136E"/>
    <w:rsid w:val="00CB1990"/>
    <w:rsid w:val="00CB2C9E"/>
    <w:rsid w:val="00CB32CD"/>
    <w:rsid w:val="00CB4232"/>
    <w:rsid w:val="00CB7619"/>
    <w:rsid w:val="00CC14F2"/>
    <w:rsid w:val="00CC1F24"/>
    <w:rsid w:val="00CC27EC"/>
    <w:rsid w:val="00CC3701"/>
    <w:rsid w:val="00CC4E91"/>
    <w:rsid w:val="00CC4F7F"/>
    <w:rsid w:val="00CC61DB"/>
    <w:rsid w:val="00CC676F"/>
    <w:rsid w:val="00CC691C"/>
    <w:rsid w:val="00CC6F33"/>
    <w:rsid w:val="00CC71B4"/>
    <w:rsid w:val="00CD0567"/>
    <w:rsid w:val="00CD07A7"/>
    <w:rsid w:val="00CD0C9F"/>
    <w:rsid w:val="00CD1A8F"/>
    <w:rsid w:val="00CD232B"/>
    <w:rsid w:val="00CD28A8"/>
    <w:rsid w:val="00CD347D"/>
    <w:rsid w:val="00CD3FB7"/>
    <w:rsid w:val="00CD4958"/>
    <w:rsid w:val="00CD59D7"/>
    <w:rsid w:val="00CD5A38"/>
    <w:rsid w:val="00CD6095"/>
    <w:rsid w:val="00CD6883"/>
    <w:rsid w:val="00CD7766"/>
    <w:rsid w:val="00CE0C80"/>
    <w:rsid w:val="00CE16A9"/>
    <w:rsid w:val="00CE1B81"/>
    <w:rsid w:val="00CE210E"/>
    <w:rsid w:val="00CE34F2"/>
    <w:rsid w:val="00CE36E0"/>
    <w:rsid w:val="00CE484A"/>
    <w:rsid w:val="00CE56AA"/>
    <w:rsid w:val="00CE6CD9"/>
    <w:rsid w:val="00CE6F7D"/>
    <w:rsid w:val="00CE7503"/>
    <w:rsid w:val="00CF0FD3"/>
    <w:rsid w:val="00CF16D0"/>
    <w:rsid w:val="00CF1D40"/>
    <w:rsid w:val="00CF39EB"/>
    <w:rsid w:val="00CF4611"/>
    <w:rsid w:val="00CF461A"/>
    <w:rsid w:val="00CF4DBE"/>
    <w:rsid w:val="00D00844"/>
    <w:rsid w:val="00D00E60"/>
    <w:rsid w:val="00D00F14"/>
    <w:rsid w:val="00D02280"/>
    <w:rsid w:val="00D0233C"/>
    <w:rsid w:val="00D02891"/>
    <w:rsid w:val="00D03382"/>
    <w:rsid w:val="00D05563"/>
    <w:rsid w:val="00D0575E"/>
    <w:rsid w:val="00D06172"/>
    <w:rsid w:val="00D10B07"/>
    <w:rsid w:val="00D12008"/>
    <w:rsid w:val="00D12B9F"/>
    <w:rsid w:val="00D15A29"/>
    <w:rsid w:val="00D15B7B"/>
    <w:rsid w:val="00D16507"/>
    <w:rsid w:val="00D174BB"/>
    <w:rsid w:val="00D20034"/>
    <w:rsid w:val="00D2018C"/>
    <w:rsid w:val="00D20BDE"/>
    <w:rsid w:val="00D21311"/>
    <w:rsid w:val="00D21BC9"/>
    <w:rsid w:val="00D21FA2"/>
    <w:rsid w:val="00D222F7"/>
    <w:rsid w:val="00D2364F"/>
    <w:rsid w:val="00D23994"/>
    <w:rsid w:val="00D26EA9"/>
    <w:rsid w:val="00D26EFE"/>
    <w:rsid w:val="00D2715E"/>
    <w:rsid w:val="00D27EE0"/>
    <w:rsid w:val="00D35357"/>
    <w:rsid w:val="00D3624F"/>
    <w:rsid w:val="00D363AC"/>
    <w:rsid w:val="00D36C2E"/>
    <w:rsid w:val="00D37F6C"/>
    <w:rsid w:val="00D4023C"/>
    <w:rsid w:val="00D443D1"/>
    <w:rsid w:val="00D444C6"/>
    <w:rsid w:val="00D44665"/>
    <w:rsid w:val="00D44CDF"/>
    <w:rsid w:val="00D45878"/>
    <w:rsid w:val="00D46DAE"/>
    <w:rsid w:val="00D47E58"/>
    <w:rsid w:val="00D5133B"/>
    <w:rsid w:val="00D531CC"/>
    <w:rsid w:val="00D54170"/>
    <w:rsid w:val="00D543AD"/>
    <w:rsid w:val="00D546BD"/>
    <w:rsid w:val="00D54B43"/>
    <w:rsid w:val="00D56B99"/>
    <w:rsid w:val="00D57DE6"/>
    <w:rsid w:val="00D57EAB"/>
    <w:rsid w:val="00D60E7F"/>
    <w:rsid w:val="00D61867"/>
    <w:rsid w:val="00D63939"/>
    <w:rsid w:val="00D64CB6"/>
    <w:rsid w:val="00D6543B"/>
    <w:rsid w:val="00D6654B"/>
    <w:rsid w:val="00D7176D"/>
    <w:rsid w:val="00D729AD"/>
    <w:rsid w:val="00D72DC7"/>
    <w:rsid w:val="00D72EFC"/>
    <w:rsid w:val="00D73ACA"/>
    <w:rsid w:val="00D74245"/>
    <w:rsid w:val="00D745A1"/>
    <w:rsid w:val="00D748B0"/>
    <w:rsid w:val="00D75965"/>
    <w:rsid w:val="00D80DE1"/>
    <w:rsid w:val="00D820FD"/>
    <w:rsid w:val="00D82F0F"/>
    <w:rsid w:val="00D82F85"/>
    <w:rsid w:val="00D83894"/>
    <w:rsid w:val="00D852A5"/>
    <w:rsid w:val="00D85721"/>
    <w:rsid w:val="00D85FB7"/>
    <w:rsid w:val="00D93744"/>
    <w:rsid w:val="00D94934"/>
    <w:rsid w:val="00D94FEA"/>
    <w:rsid w:val="00D95C17"/>
    <w:rsid w:val="00D95D43"/>
    <w:rsid w:val="00D9639A"/>
    <w:rsid w:val="00D9679D"/>
    <w:rsid w:val="00D96A49"/>
    <w:rsid w:val="00D97E8F"/>
    <w:rsid w:val="00DA03B2"/>
    <w:rsid w:val="00DA3AE4"/>
    <w:rsid w:val="00DA3B5D"/>
    <w:rsid w:val="00DA44A4"/>
    <w:rsid w:val="00DA5282"/>
    <w:rsid w:val="00DA611B"/>
    <w:rsid w:val="00DA69E7"/>
    <w:rsid w:val="00DA7486"/>
    <w:rsid w:val="00DA7A64"/>
    <w:rsid w:val="00DB00EF"/>
    <w:rsid w:val="00DB061D"/>
    <w:rsid w:val="00DB177D"/>
    <w:rsid w:val="00DB29D5"/>
    <w:rsid w:val="00DB35EA"/>
    <w:rsid w:val="00DB39FC"/>
    <w:rsid w:val="00DB4AD9"/>
    <w:rsid w:val="00DB4C57"/>
    <w:rsid w:val="00DB56C1"/>
    <w:rsid w:val="00DB5E9B"/>
    <w:rsid w:val="00DB67B8"/>
    <w:rsid w:val="00DB7072"/>
    <w:rsid w:val="00DC09C7"/>
    <w:rsid w:val="00DC0B56"/>
    <w:rsid w:val="00DC0CDB"/>
    <w:rsid w:val="00DC215E"/>
    <w:rsid w:val="00DC2465"/>
    <w:rsid w:val="00DC2B37"/>
    <w:rsid w:val="00DC3B43"/>
    <w:rsid w:val="00DC3F67"/>
    <w:rsid w:val="00DC4919"/>
    <w:rsid w:val="00DC494E"/>
    <w:rsid w:val="00DC55DD"/>
    <w:rsid w:val="00DC5EC1"/>
    <w:rsid w:val="00DC7434"/>
    <w:rsid w:val="00DC75AE"/>
    <w:rsid w:val="00DD1450"/>
    <w:rsid w:val="00DD1DAB"/>
    <w:rsid w:val="00DD22A2"/>
    <w:rsid w:val="00DD372D"/>
    <w:rsid w:val="00DD48C3"/>
    <w:rsid w:val="00DD495E"/>
    <w:rsid w:val="00DD51FC"/>
    <w:rsid w:val="00DD6EC7"/>
    <w:rsid w:val="00DD724B"/>
    <w:rsid w:val="00DD7C3E"/>
    <w:rsid w:val="00DD7F51"/>
    <w:rsid w:val="00DE14F5"/>
    <w:rsid w:val="00DE1812"/>
    <w:rsid w:val="00DE1835"/>
    <w:rsid w:val="00DE20AC"/>
    <w:rsid w:val="00DE223C"/>
    <w:rsid w:val="00DE3915"/>
    <w:rsid w:val="00DE3E6D"/>
    <w:rsid w:val="00DE472F"/>
    <w:rsid w:val="00DE657D"/>
    <w:rsid w:val="00DE7131"/>
    <w:rsid w:val="00DF057D"/>
    <w:rsid w:val="00DF11AF"/>
    <w:rsid w:val="00DF1591"/>
    <w:rsid w:val="00DF1A80"/>
    <w:rsid w:val="00DF3F11"/>
    <w:rsid w:val="00DF5BB4"/>
    <w:rsid w:val="00E0145E"/>
    <w:rsid w:val="00E014E2"/>
    <w:rsid w:val="00E01D23"/>
    <w:rsid w:val="00E0263C"/>
    <w:rsid w:val="00E02E61"/>
    <w:rsid w:val="00E03A53"/>
    <w:rsid w:val="00E04089"/>
    <w:rsid w:val="00E060E7"/>
    <w:rsid w:val="00E0655F"/>
    <w:rsid w:val="00E07033"/>
    <w:rsid w:val="00E07374"/>
    <w:rsid w:val="00E10506"/>
    <w:rsid w:val="00E138C9"/>
    <w:rsid w:val="00E13BF9"/>
    <w:rsid w:val="00E141B9"/>
    <w:rsid w:val="00E14D34"/>
    <w:rsid w:val="00E14FBD"/>
    <w:rsid w:val="00E1628E"/>
    <w:rsid w:val="00E1661D"/>
    <w:rsid w:val="00E169F1"/>
    <w:rsid w:val="00E16CF3"/>
    <w:rsid w:val="00E2000E"/>
    <w:rsid w:val="00E20857"/>
    <w:rsid w:val="00E220F2"/>
    <w:rsid w:val="00E23B95"/>
    <w:rsid w:val="00E24078"/>
    <w:rsid w:val="00E24D24"/>
    <w:rsid w:val="00E24F0C"/>
    <w:rsid w:val="00E26AAD"/>
    <w:rsid w:val="00E27026"/>
    <w:rsid w:val="00E2B1C7"/>
    <w:rsid w:val="00E304E8"/>
    <w:rsid w:val="00E305BF"/>
    <w:rsid w:val="00E30839"/>
    <w:rsid w:val="00E30D68"/>
    <w:rsid w:val="00E30E0E"/>
    <w:rsid w:val="00E31246"/>
    <w:rsid w:val="00E31A4B"/>
    <w:rsid w:val="00E31A67"/>
    <w:rsid w:val="00E32117"/>
    <w:rsid w:val="00E33C1F"/>
    <w:rsid w:val="00E33EC9"/>
    <w:rsid w:val="00E34689"/>
    <w:rsid w:val="00E347E2"/>
    <w:rsid w:val="00E35356"/>
    <w:rsid w:val="00E37186"/>
    <w:rsid w:val="00E43B51"/>
    <w:rsid w:val="00E44674"/>
    <w:rsid w:val="00E45DB3"/>
    <w:rsid w:val="00E462EA"/>
    <w:rsid w:val="00E46536"/>
    <w:rsid w:val="00E46745"/>
    <w:rsid w:val="00E46774"/>
    <w:rsid w:val="00E516AE"/>
    <w:rsid w:val="00E53250"/>
    <w:rsid w:val="00E53F99"/>
    <w:rsid w:val="00E54951"/>
    <w:rsid w:val="00E56A4F"/>
    <w:rsid w:val="00E5704D"/>
    <w:rsid w:val="00E571DC"/>
    <w:rsid w:val="00E6045F"/>
    <w:rsid w:val="00E60C88"/>
    <w:rsid w:val="00E61391"/>
    <w:rsid w:val="00E61566"/>
    <w:rsid w:val="00E62176"/>
    <w:rsid w:val="00E62F44"/>
    <w:rsid w:val="00E64B8C"/>
    <w:rsid w:val="00E64BEF"/>
    <w:rsid w:val="00E64C90"/>
    <w:rsid w:val="00E6579C"/>
    <w:rsid w:val="00E676CB"/>
    <w:rsid w:val="00E67BE8"/>
    <w:rsid w:val="00E7134F"/>
    <w:rsid w:val="00E74A88"/>
    <w:rsid w:val="00E74E02"/>
    <w:rsid w:val="00E75737"/>
    <w:rsid w:val="00E7596F"/>
    <w:rsid w:val="00E75988"/>
    <w:rsid w:val="00E77592"/>
    <w:rsid w:val="00E7783E"/>
    <w:rsid w:val="00E80A65"/>
    <w:rsid w:val="00E8150E"/>
    <w:rsid w:val="00E817B2"/>
    <w:rsid w:val="00E828B4"/>
    <w:rsid w:val="00E82AE7"/>
    <w:rsid w:val="00E84897"/>
    <w:rsid w:val="00E85F87"/>
    <w:rsid w:val="00E86023"/>
    <w:rsid w:val="00E867F1"/>
    <w:rsid w:val="00E87A70"/>
    <w:rsid w:val="00E87B12"/>
    <w:rsid w:val="00E87F3E"/>
    <w:rsid w:val="00E9057B"/>
    <w:rsid w:val="00E907D2"/>
    <w:rsid w:val="00E90A6D"/>
    <w:rsid w:val="00E9172C"/>
    <w:rsid w:val="00E91C81"/>
    <w:rsid w:val="00E926D2"/>
    <w:rsid w:val="00E93A57"/>
    <w:rsid w:val="00E9556C"/>
    <w:rsid w:val="00E95831"/>
    <w:rsid w:val="00E9625D"/>
    <w:rsid w:val="00E97455"/>
    <w:rsid w:val="00E97D98"/>
    <w:rsid w:val="00EA1728"/>
    <w:rsid w:val="00EA1AD5"/>
    <w:rsid w:val="00EA3806"/>
    <w:rsid w:val="00EA4117"/>
    <w:rsid w:val="00EA46B3"/>
    <w:rsid w:val="00EA4710"/>
    <w:rsid w:val="00EA4766"/>
    <w:rsid w:val="00EA4872"/>
    <w:rsid w:val="00EA4BD0"/>
    <w:rsid w:val="00EA57DA"/>
    <w:rsid w:val="00EA7A56"/>
    <w:rsid w:val="00EB3582"/>
    <w:rsid w:val="00EB5020"/>
    <w:rsid w:val="00EB5C20"/>
    <w:rsid w:val="00EB61F5"/>
    <w:rsid w:val="00EB6894"/>
    <w:rsid w:val="00EC1B61"/>
    <w:rsid w:val="00EC21B1"/>
    <w:rsid w:val="00EC22B1"/>
    <w:rsid w:val="00EC3AB7"/>
    <w:rsid w:val="00EC47D6"/>
    <w:rsid w:val="00EC4AFD"/>
    <w:rsid w:val="00EC4C78"/>
    <w:rsid w:val="00EC4D01"/>
    <w:rsid w:val="00EC5B34"/>
    <w:rsid w:val="00EC5F61"/>
    <w:rsid w:val="00ED1008"/>
    <w:rsid w:val="00ED42A5"/>
    <w:rsid w:val="00ED49AA"/>
    <w:rsid w:val="00ED5F77"/>
    <w:rsid w:val="00ED625E"/>
    <w:rsid w:val="00ED651B"/>
    <w:rsid w:val="00ED69D7"/>
    <w:rsid w:val="00ED730E"/>
    <w:rsid w:val="00ED7474"/>
    <w:rsid w:val="00EE0A16"/>
    <w:rsid w:val="00EE3641"/>
    <w:rsid w:val="00EE3D98"/>
    <w:rsid w:val="00EE5377"/>
    <w:rsid w:val="00EE5585"/>
    <w:rsid w:val="00EE5831"/>
    <w:rsid w:val="00EE6090"/>
    <w:rsid w:val="00EE60BC"/>
    <w:rsid w:val="00EE6326"/>
    <w:rsid w:val="00EF1BC9"/>
    <w:rsid w:val="00EF24C6"/>
    <w:rsid w:val="00EF36AF"/>
    <w:rsid w:val="00EF426F"/>
    <w:rsid w:val="00EF4371"/>
    <w:rsid w:val="00EF56CF"/>
    <w:rsid w:val="00EF5805"/>
    <w:rsid w:val="00EF6286"/>
    <w:rsid w:val="00EF62A7"/>
    <w:rsid w:val="00EF7177"/>
    <w:rsid w:val="00F0041B"/>
    <w:rsid w:val="00F00C63"/>
    <w:rsid w:val="00F01F7E"/>
    <w:rsid w:val="00F02C8C"/>
    <w:rsid w:val="00F02D41"/>
    <w:rsid w:val="00F04DD1"/>
    <w:rsid w:val="00F050D8"/>
    <w:rsid w:val="00F1155B"/>
    <w:rsid w:val="00F11F4F"/>
    <w:rsid w:val="00F124D7"/>
    <w:rsid w:val="00F12542"/>
    <w:rsid w:val="00F127DA"/>
    <w:rsid w:val="00F12976"/>
    <w:rsid w:val="00F12A62"/>
    <w:rsid w:val="00F13B98"/>
    <w:rsid w:val="00F16822"/>
    <w:rsid w:val="00F16E24"/>
    <w:rsid w:val="00F17B87"/>
    <w:rsid w:val="00F17D7D"/>
    <w:rsid w:val="00F17E1E"/>
    <w:rsid w:val="00F20110"/>
    <w:rsid w:val="00F203A6"/>
    <w:rsid w:val="00F206E2"/>
    <w:rsid w:val="00F216BD"/>
    <w:rsid w:val="00F21E13"/>
    <w:rsid w:val="00F22273"/>
    <w:rsid w:val="00F236E9"/>
    <w:rsid w:val="00F241F6"/>
    <w:rsid w:val="00F256AB"/>
    <w:rsid w:val="00F25EEB"/>
    <w:rsid w:val="00F2610E"/>
    <w:rsid w:val="00F26F3B"/>
    <w:rsid w:val="00F26F8D"/>
    <w:rsid w:val="00F279B8"/>
    <w:rsid w:val="00F304E6"/>
    <w:rsid w:val="00F30D3A"/>
    <w:rsid w:val="00F3118E"/>
    <w:rsid w:val="00F317A3"/>
    <w:rsid w:val="00F31AEF"/>
    <w:rsid w:val="00F32FBC"/>
    <w:rsid w:val="00F34CCD"/>
    <w:rsid w:val="00F34EC5"/>
    <w:rsid w:val="00F3589C"/>
    <w:rsid w:val="00F35E21"/>
    <w:rsid w:val="00F36271"/>
    <w:rsid w:val="00F36773"/>
    <w:rsid w:val="00F376B5"/>
    <w:rsid w:val="00F376C2"/>
    <w:rsid w:val="00F4044D"/>
    <w:rsid w:val="00F407C4"/>
    <w:rsid w:val="00F415BC"/>
    <w:rsid w:val="00F426B1"/>
    <w:rsid w:val="00F439B3"/>
    <w:rsid w:val="00F445D3"/>
    <w:rsid w:val="00F4704C"/>
    <w:rsid w:val="00F47613"/>
    <w:rsid w:val="00F5212C"/>
    <w:rsid w:val="00F52AE7"/>
    <w:rsid w:val="00F54099"/>
    <w:rsid w:val="00F554E0"/>
    <w:rsid w:val="00F55519"/>
    <w:rsid w:val="00F55B17"/>
    <w:rsid w:val="00F55C74"/>
    <w:rsid w:val="00F56052"/>
    <w:rsid w:val="00F56DAB"/>
    <w:rsid w:val="00F56F5F"/>
    <w:rsid w:val="00F579F9"/>
    <w:rsid w:val="00F60F72"/>
    <w:rsid w:val="00F6348E"/>
    <w:rsid w:val="00F63810"/>
    <w:rsid w:val="00F63F7B"/>
    <w:rsid w:val="00F63FD6"/>
    <w:rsid w:val="00F64711"/>
    <w:rsid w:val="00F6560A"/>
    <w:rsid w:val="00F65666"/>
    <w:rsid w:val="00F659F2"/>
    <w:rsid w:val="00F66E6A"/>
    <w:rsid w:val="00F6700A"/>
    <w:rsid w:val="00F673B3"/>
    <w:rsid w:val="00F677CE"/>
    <w:rsid w:val="00F701DF"/>
    <w:rsid w:val="00F72F9D"/>
    <w:rsid w:val="00F737F4"/>
    <w:rsid w:val="00F7477E"/>
    <w:rsid w:val="00F750D7"/>
    <w:rsid w:val="00F7631F"/>
    <w:rsid w:val="00F7791A"/>
    <w:rsid w:val="00F77DA2"/>
    <w:rsid w:val="00F82613"/>
    <w:rsid w:val="00F83327"/>
    <w:rsid w:val="00F84E4F"/>
    <w:rsid w:val="00F85362"/>
    <w:rsid w:val="00F85D71"/>
    <w:rsid w:val="00F9034E"/>
    <w:rsid w:val="00F90F4F"/>
    <w:rsid w:val="00F91438"/>
    <w:rsid w:val="00F935CF"/>
    <w:rsid w:val="00F93FCE"/>
    <w:rsid w:val="00F9451D"/>
    <w:rsid w:val="00F947B0"/>
    <w:rsid w:val="00F94E10"/>
    <w:rsid w:val="00F95A98"/>
    <w:rsid w:val="00F96086"/>
    <w:rsid w:val="00F9691D"/>
    <w:rsid w:val="00F96A5D"/>
    <w:rsid w:val="00FA0F6F"/>
    <w:rsid w:val="00FA2E37"/>
    <w:rsid w:val="00FA3B10"/>
    <w:rsid w:val="00FA465F"/>
    <w:rsid w:val="00FA57A4"/>
    <w:rsid w:val="00FA6103"/>
    <w:rsid w:val="00FA640E"/>
    <w:rsid w:val="00FB1EF3"/>
    <w:rsid w:val="00FB32C1"/>
    <w:rsid w:val="00FB352E"/>
    <w:rsid w:val="00FB54BE"/>
    <w:rsid w:val="00FB55DC"/>
    <w:rsid w:val="00FB6257"/>
    <w:rsid w:val="00FC1495"/>
    <w:rsid w:val="00FC23D9"/>
    <w:rsid w:val="00FC28A5"/>
    <w:rsid w:val="00FC31FD"/>
    <w:rsid w:val="00FD0304"/>
    <w:rsid w:val="00FD24AC"/>
    <w:rsid w:val="00FD35AF"/>
    <w:rsid w:val="00FD3D2E"/>
    <w:rsid w:val="00FD64C8"/>
    <w:rsid w:val="00FD686B"/>
    <w:rsid w:val="00FE076C"/>
    <w:rsid w:val="00FE18DE"/>
    <w:rsid w:val="00FE1A54"/>
    <w:rsid w:val="00FE2AD2"/>
    <w:rsid w:val="00FE2F2B"/>
    <w:rsid w:val="00FE38E3"/>
    <w:rsid w:val="00FE3A73"/>
    <w:rsid w:val="00FE4550"/>
    <w:rsid w:val="00FE63D7"/>
    <w:rsid w:val="00FE6C81"/>
    <w:rsid w:val="00FE782A"/>
    <w:rsid w:val="00FF2072"/>
    <w:rsid w:val="00FF2BB4"/>
    <w:rsid w:val="00FF3298"/>
    <w:rsid w:val="00FF6A26"/>
    <w:rsid w:val="00FF70B4"/>
    <w:rsid w:val="00FF7A2C"/>
    <w:rsid w:val="00FF7FAC"/>
    <w:rsid w:val="0111DC03"/>
    <w:rsid w:val="0112AB1C"/>
    <w:rsid w:val="01136F9A"/>
    <w:rsid w:val="0117B6F8"/>
    <w:rsid w:val="011BF39D"/>
    <w:rsid w:val="01221B6A"/>
    <w:rsid w:val="0127AF31"/>
    <w:rsid w:val="012DDC17"/>
    <w:rsid w:val="012FD0E2"/>
    <w:rsid w:val="0130B74A"/>
    <w:rsid w:val="0140CF00"/>
    <w:rsid w:val="0149995D"/>
    <w:rsid w:val="0152DBB3"/>
    <w:rsid w:val="01593B6A"/>
    <w:rsid w:val="015A27AF"/>
    <w:rsid w:val="0179E018"/>
    <w:rsid w:val="017DA361"/>
    <w:rsid w:val="017EA2B4"/>
    <w:rsid w:val="0180C5EC"/>
    <w:rsid w:val="01854050"/>
    <w:rsid w:val="01862CA9"/>
    <w:rsid w:val="0197A35F"/>
    <w:rsid w:val="01A7586C"/>
    <w:rsid w:val="01AD9329"/>
    <w:rsid w:val="01AF2C76"/>
    <w:rsid w:val="01B2BF7E"/>
    <w:rsid w:val="01B4DADA"/>
    <w:rsid w:val="01B4FBDB"/>
    <w:rsid w:val="01C46A77"/>
    <w:rsid w:val="01CD2BFB"/>
    <w:rsid w:val="01E31301"/>
    <w:rsid w:val="01F142D1"/>
    <w:rsid w:val="020448C8"/>
    <w:rsid w:val="0214B6C2"/>
    <w:rsid w:val="021DFB93"/>
    <w:rsid w:val="02280FBA"/>
    <w:rsid w:val="023085A1"/>
    <w:rsid w:val="023CDAA0"/>
    <w:rsid w:val="02674C73"/>
    <w:rsid w:val="026F3CE2"/>
    <w:rsid w:val="026F413A"/>
    <w:rsid w:val="0274BAB5"/>
    <w:rsid w:val="027B3A37"/>
    <w:rsid w:val="0283A28F"/>
    <w:rsid w:val="02894240"/>
    <w:rsid w:val="0298DA25"/>
    <w:rsid w:val="029AE32D"/>
    <w:rsid w:val="02A20BCB"/>
    <w:rsid w:val="02A3604E"/>
    <w:rsid w:val="02B9DA26"/>
    <w:rsid w:val="02CBB668"/>
    <w:rsid w:val="02D58C50"/>
    <w:rsid w:val="02EC719D"/>
    <w:rsid w:val="02FB4C2D"/>
    <w:rsid w:val="031CDE4E"/>
    <w:rsid w:val="03321C34"/>
    <w:rsid w:val="0334C844"/>
    <w:rsid w:val="033E08D4"/>
    <w:rsid w:val="0349BE28"/>
    <w:rsid w:val="035774A7"/>
    <w:rsid w:val="036EC973"/>
    <w:rsid w:val="0374F177"/>
    <w:rsid w:val="037FF41D"/>
    <w:rsid w:val="03828E6B"/>
    <w:rsid w:val="03886D88"/>
    <w:rsid w:val="038ED2BF"/>
    <w:rsid w:val="03A12AE7"/>
    <w:rsid w:val="03B99F43"/>
    <w:rsid w:val="03BFB575"/>
    <w:rsid w:val="03CA4731"/>
    <w:rsid w:val="03CF864E"/>
    <w:rsid w:val="03D4865A"/>
    <w:rsid w:val="03DFB053"/>
    <w:rsid w:val="03EDF9B6"/>
    <w:rsid w:val="03FB05B5"/>
    <w:rsid w:val="0419F87A"/>
    <w:rsid w:val="04204881"/>
    <w:rsid w:val="0426054D"/>
    <w:rsid w:val="0436BBDB"/>
    <w:rsid w:val="043B87D2"/>
    <w:rsid w:val="044169FD"/>
    <w:rsid w:val="044A9412"/>
    <w:rsid w:val="044DF366"/>
    <w:rsid w:val="0458804A"/>
    <w:rsid w:val="04601A6D"/>
    <w:rsid w:val="046444F8"/>
    <w:rsid w:val="0475E2CF"/>
    <w:rsid w:val="0476BAA7"/>
    <w:rsid w:val="047BBF0A"/>
    <w:rsid w:val="048A357A"/>
    <w:rsid w:val="0492C37F"/>
    <w:rsid w:val="04A6E8CC"/>
    <w:rsid w:val="04ACCF62"/>
    <w:rsid w:val="04B14F6F"/>
    <w:rsid w:val="04B251B4"/>
    <w:rsid w:val="04CC793C"/>
    <w:rsid w:val="04CFF0C0"/>
    <w:rsid w:val="04D5AAE2"/>
    <w:rsid w:val="04DAC7C5"/>
    <w:rsid w:val="04DF29FC"/>
    <w:rsid w:val="04E9CC0B"/>
    <w:rsid w:val="05089169"/>
    <w:rsid w:val="05144920"/>
    <w:rsid w:val="051D62AD"/>
    <w:rsid w:val="0527E8BE"/>
    <w:rsid w:val="05367CAD"/>
    <w:rsid w:val="055017C7"/>
    <w:rsid w:val="055EE700"/>
    <w:rsid w:val="0560AD3B"/>
    <w:rsid w:val="0569FFAE"/>
    <w:rsid w:val="057E9D35"/>
    <w:rsid w:val="057F409F"/>
    <w:rsid w:val="0595BB5B"/>
    <w:rsid w:val="059D404D"/>
    <w:rsid w:val="05A1C579"/>
    <w:rsid w:val="05A9F69C"/>
    <w:rsid w:val="05B14C38"/>
    <w:rsid w:val="05C704AD"/>
    <w:rsid w:val="05E1FD14"/>
    <w:rsid w:val="05EE5421"/>
    <w:rsid w:val="060CA5A5"/>
    <w:rsid w:val="0623156F"/>
    <w:rsid w:val="0628C163"/>
    <w:rsid w:val="06495FC4"/>
    <w:rsid w:val="064CB252"/>
    <w:rsid w:val="064F6FA3"/>
    <w:rsid w:val="06599DCC"/>
    <w:rsid w:val="065CC308"/>
    <w:rsid w:val="0665BFB2"/>
    <w:rsid w:val="066A3743"/>
    <w:rsid w:val="067AB59A"/>
    <w:rsid w:val="068707E0"/>
    <w:rsid w:val="069300A7"/>
    <w:rsid w:val="0694B0A2"/>
    <w:rsid w:val="0698A81E"/>
    <w:rsid w:val="06A63407"/>
    <w:rsid w:val="06B78AF7"/>
    <w:rsid w:val="06BE160C"/>
    <w:rsid w:val="06C148B2"/>
    <w:rsid w:val="06C73408"/>
    <w:rsid w:val="06C87752"/>
    <w:rsid w:val="06CA08B2"/>
    <w:rsid w:val="06CC68B1"/>
    <w:rsid w:val="06E25C3F"/>
    <w:rsid w:val="06E2C30C"/>
    <w:rsid w:val="06E9CB79"/>
    <w:rsid w:val="06F22CE3"/>
    <w:rsid w:val="06F79450"/>
    <w:rsid w:val="06FD074B"/>
    <w:rsid w:val="0704B1A5"/>
    <w:rsid w:val="070FC08E"/>
    <w:rsid w:val="071CA9B2"/>
    <w:rsid w:val="071D3227"/>
    <w:rsid w:val="07210E94"/>
    <w:rsid w:val="0722B1E0"/>
    <w:rsid w:val="07244260"/>
    <w:rsid w:val="0732FCB2"/>
    <w:rsid w:val="0733C054"/>
    <w:rsid w:val="073723D2"/>
    <w:rsid w:val="073A7C26"/>
    <w:rsid w:val="0757B672"/>
    <w:rsid w:val="0769C589"/>
    <w:rsid w:val="076CA557"/>
    <w:rsid w:val="07704A55"/>
    <w:rsid w:val="0786EA04"/>
    <w:rsid w:val="0798A6BA"/>
    <w:rsid w:val="079FE022"/>
    <w:rsid w:val="07B60D13"/>
    <w:rsid w:val="07D65183"/>
    <w:rsid w:val="07DC0867"/>
    <w:rsid w:val="07F4BB33"/>
    <w:rsid w:val="07F82B22"/>
    <w:rsid w:val="07FAA3C4"/>
    <w:rsid w:val="0807DE66"/>
    <w:rsid w:val="080DC0AE"/>
    <w:rsid w:val="081BA331"/>
    <w:rsid w:val="081CD778"/>
    <w:rsid w:val="081DCFA2"/>
    <w:rsid w:val="082E7B87"/>
    <w:rsid w:val="082F3786"/>
    <w:rsid w:val="083C2A89"/>
    <w:rsid w:val="08440E27"/>
    <w:rsid w:val="084D1D5F"/>
    <w:rsid w:val="0863C41A"/>
    <w:rsid w:val="08759BCE"/>
    <w:rsid w:val="0875E8F5"/>
    <w:rsid w:val="08870F0D"/>
    <w:rsid w:val="0889257E"/>
    <w:rsid w:val="088A1BF0"/>
    <w:rsid w:val="0895F467"/>
    <w:rsid w:val="08C34F62"/>
    <w:rsid w:val="08C9F716"/>
    <w:rsid w:val="08E1AE53"/>
    <w:rsid w:val="08E964A1"/>
    <w:rsid w:val="08FAE1B1"/>
    <w:rsid w:val="08FEDEDA"/>
    <w:rsid w:val="09042982"/>
    <w:rsid w:val="090B020B"/>
    <w:rsid w:val="090FA958"/>
    <w:rsid w:val="09383FA9"/>
    <w:rsid w:val="093F4C8E"/>
    <w:rsid w:val="0946F476"/>
    <w:rsid w:val="09531638"/>
    <w:rsid w:val="095A02E4"/>
    <w:rsid w:val="095B11D3"/>
    <w:rsid w:val="095EE33C"/>
    <w:rsid w:val="09626B55"/>
    <w:rsid w:val="096695BE"/>
    <w:rsid w:val="097D7EDE"/>
    <w:rsid w:val="0995CA57"/>
    <w:rsid w:val="099B0CC7"/>
    <w:rsid w:val="099D5666"/>
    <w:rsid w:val="09A45539"/>
    <w:rsid w:val="09A99D52"/>
    <w:rsid w:val="09BA89AD"/>
    <w:rsid w:val="09BBAE21"/>
    <w:rsid w:val="09BFDAEE"/>
    <w:rsid w:val="09C0403F"/>
    <w:rsid w:val="09C42825"/>
    <w:rsid w:val="09D11516"/>
    <w:rsid w:val="09D5E0FA"/>
    <w:rsid w:val="09D8D790"/>
    <w:rsid w:val="09E8D89D"/>
    <w:rsid w:val="09E94BEC"/>
    <w:rsid w:val="0A00FD58"/>
    <w:rsid w:val="0A07E7C0"/>
    <w:rsid w:val="0A0B8431"/>
    <w:rsid w:val="0A0F4482"/>
    <w:rsid w:val="0A1C0C95"/>
    <w:rsid w:val="0A1F971A"/>
    <w:rsid w:val="0A2D3CD4"/>
    <w:rsid w:val="0A3687DC"/>
    <w:rsid w:val="0A3CC416"/>
    <w:rsid w:val="0A3F1212"/>
    <w:rsid w:val="0A4A4414"/>
    <w:rsid w:val="0A68B871"/>
    <w:rsid w:val="0A7D78A2"/>
    <w:rsid w:val="0A82FE60"/>
    <w:rsid w:val="0A850D98"/>
    <w:rsid w:val="0A89EBE1"/>
    <w:rsid w:val="0A8FC5C3"/>
    <w:rsid w:val="0A94717B"/>
    <w:rsid w:val="0AA01689"/>
    <w:rsid w:val="0AA1774F"/>
    <w:rsid w:val="0AA2E040"/>
    <w:rsid w:val="0AA54CD0"/>
    <w:rsid w:val="0AB12067"/>
    <w:rsid w:val="0AC2953E"/>
    <w:rsid w:val="0AC7E86F"/>
    <w:rsid w:val="0AD48CB7"/>
    <w:rsid w:val="0AD7B885"/>
    <w:rsid w:val="0ADA7FD9"/>
    <w:rsid w:val="0ADD0AFB"/>
    <w:rsid w:val="0AECBC9A"/>
    <w:rsid w:val="0AFA2E33"/>
    <w:rsid w:val="0B005367"/>
    <w:rsid w:val="0B017233"/>
    <w:rsid w:val="0B0A0F08"/>
    <w:rsid w:val="0B1AE977"/>
    <w:rsid w:val="0B3FAB0A"/>
    <w:rsid w:val="0B547CA6"/>
    <w:rsid w:val="0B5F45F8"/>
    <w:rsid w:val="0B67DBAA"/>
    <w:rsid w:val="0B724B6C"/>
    <w:rsid w:val="0B74CEE0"/>
    <w:rsid w:val="0B761739"/>
    <w:rsid w:val="0B77B450"/>
    <w:rsid w:val="0B82D584"/>
    <w:rsid w:val="0B847AED"/>
    <w:rsid w:val="0B96800D"/>
    <w:rsid w:val="0BA16B30"/>
    <w:rsid w:val="0BB7304E"/>
    <w:rsid w:val="0BC322D0"/>
    <w:rsid w:val="0BC7AD60"/>
    <w:rsid w:val="0BCAD468"/>
    <w:rsid w:val="0BD0F9C0"/>
    <w:rsid w:val="0BD184F5"/>
    <w:rsid w:val="0BD278D7"/>
    <w:rsid w:val="0BD708B0"/>
    <w:rsid w:val="0BEE1864"/>
    <w:rsid w:val="0BEEA498"/>
    <w:rsid w:val="0BF026CD"/>
    <w:rsid w:val="0BF493C6"/>
    <w:rsid w:val="0C01AAA0"/>
    <w:rsid w:val="0C042797"/>
    <w:rsid w:val="0C04A995"/>
    <w:rsid w:val="0C106C93"/>
    <w:rsid w:val="0C17DC45"/>
    <w:rsid w:val="0C208215"/>
    <w:rsid w:val="0C42951D"/>
    <w:rsid w:val="0C5A5430"/>
    <w:rsid w:val="0C5B9C96"/>
    <w:rsid w:val="0C64A5D8"/>
    <w:rsid w:val="0C69F766"/>
    <w:rsid w:val="0C6F3D60"/>
    <w:rsid w:val="0C7D8585"/>
    <w:rsid w:val="0C81F0D3"/>
    <w:rsid w:val="0C82E162"/>
    <w:rsid w:val="0C871D64"/>
    <w:rsid w:val="0C8A74D6"/>
    <w:rsid w:val="0C8F255F"/>
    <w:rsid w:val="0C962894"/>
    <w:rsid w:val="0C9B1733"/>
    <w:rsid w:val="0CAFF266"/>
    <w:rsid w:val="0CDDF1FC"/>
    <w:rsid w:val="0CE54A27"/>
    <w:rsid w:val="0D023DA5"/>
    <w:rsid w:val="0D05B465"/>
    <w:rsid w:val="0D0FF766"/>
    <w:rsid w:val="0D116252"/>
    <w:rsid w:val="0D1ABF43"/>
    <w:rsid w:val="0D1F3E9E"/>
    <w:rsid w:val="0D610D5B"/>
    <w:rsid w:val="0D679FDA"/>
    <w:rsid w:val="0D775B57"/>
    <w:rsid w:val="0D8D58EF"/>
    <w:rsid w:val="0D94842B"/>
    <w:rsid w:val="0D9D002F"/>
    <w:rsid w:val="0DA00613"/>
    <w:rsid w:val="0DAB5BD9"/>
    <w:rsid w:val="0DAC187B"/>
    <w:rsid w:val="0DADE88A"/>
    <w:rsid w:val="0DB2418E"/>
    <w:rsid w:val="0DBB8780"/>
    <w:rsid w:val="0DBE9E46"/>
    <w:rsid w:val="0DC42715"/>
    <w:rsid w:val="0DC9053A"/>
    <w:rsid w:val="0DD34A4B"/>
    <w:rsid w:val="0DD52C2E"/>
    <w:rsid w:val="0DF42799"/>
    <w:rsid w:val="0E1C91B4"/>
    <w:rsid w:val="0E25EC23"/>
    <w:rsid w:val="0E275E61"/>
    <w:rsid w:val="0E2B09E4"/>
    <w:rsid w:val="0E386D73"/>
    <w:rsid w:val="0E415F96"/>
    <w:rsid w:val="0E42F969"/>
    <w:rsid w:val="0E439B79"/>
    <w:rsid w:val="0E5E34FF"/>
    <w:rsid w:val="0E65FDDE"/>
    <w:rsid w:val="0E743138"/>
    <w:rsid w:val="0E852339"/>
    <w:rsid w:val="0E8647C3"/>
    <w:rsid w:val="0E86B828"/>
    <w:rsid w:val="0E8E0B33"/>
    <w:rsid w:val="0E904C95"/>
    <w:rsid w:val="0E926116"/>
    <w:rsid w:val="0E982F10"/>
    <w:rsid w:val="0E9A8C03"/>
    <w:rsid w:val="0E9DF187"/>
    <w:rsid w:val="0EA6B2F3"/>
    <w:rsid w:val="0EAC0A7D"/>
    <w:rsid w:val="0EB5EFB9"/>
    <w:rsid w:val="0EBB8532"/>
    <w:rsid w:val="0EBECBD6"/>
    <w:rsid w:val="0EC48B32"/>
    <w:rsid w:val="0EC5CEA2"/>
    <w:rsid w:val="0ECDBC28"/>
    <w:rsid w:val="0ED02970"/>
    <w:rsid w:val="0EE6217E"/>
    <w:rsid w:val="0EF8BFC1"/>
    <w:rsid w:val="0F007A76"/>
    <w:rsid w:val="0F13A572"/>
    <w:rsid w:val="0F167012"/>
    <w:rsid w:val="0F248006"/>
    <w:rsid w:val="0F325008"/>
    <w:rsid w:val="0F4111C7"/>
    <w:rsid w:val="0F538ECD"/>
    <w:rsid w:val="0F53C1FF"/>
    <w:rsid w:val="0F6EFAF2"/>
    <w:rsid w:val="0F737067"/>
    <w:rsid w:val="0F744DFC"/>
    <w:rsid w:val="0F7B6E45"/>
    <w:rsid w:val="0F848399"/>
    <w:rsid w:val="0F8532BD"/>
    <w:rsid w:val="0F960DF1"/>
    <w:rsid w:val="0F98112E"/>
    <w:rsid w:val="0FA0AAAF"/>
    <w:rsid w:val="0FAD2704"/>
    <w:rsid w:val="0FAE1634"/>
    <w:rsid w:val="0FAE18BC"/>
    <w:rsid w:val="0FAE5065"/>
    <w:rsid w:val="0FB0FA6F"/>
    <w:rsid w:val="0FB6EB04"/>
    <w:rsid w:val="0FB79957"/>
    <w:rsid w:val="0FBB01FE"/>
    <w:rsid w:val="0FD0F6CD"/>
    <w:rsid w:val="0FD5B33D"/>
    <w:rsid w:val="0FD7A5DD"/>
    <w:rsid w:val="0FD8B94F"/>
    <w:rsid w:val="0FDA73AC"/>
    <w:rsid w:val="0FEBB86B"/>
    <w:rsid w:val="0FEC9B98"/>
    <w:rsid w:val="0FF3D44B"/>
    <w:rsid w:val="0FFFAA50"/>
    <w:rsid w:val="10228154"/>
    <w:rsid w:val="102FB928"/>
    <w:rsid w:val="1039B675"/>
    <w:rsid w:val="103A48D9"/>
    <w:rsid w:val="104C7044"/>
    <w:rsid w:val="105BAAB6"/>
    <w:rsid w:val="105D178C"/>
    <w:rsid w:val="105EC9FB"/>
    <w:rsid w:val="1062694C"/>
    <w:rsid w:val="1076F218"/>
    <w:rsid w:val="1089DC16"/>
    <w:rsid w:val="108CC06D"/>
    <w:rsid w:val="10991D44"/>
    <w:rsid w:val="10A2948A"/>
    <w:rsid w:val="10B2D89B"/>
    <w:rsid w:val="10B89B12"/>
    <w:rsid w:val="10D53C10"/>
    <w:rsid w:val="10DEDD4D"/>
    <w:rsid w:val="10E1BA15"/>
    <w:rsid w:val="10E714D5"/>
    <w:rsid w:val="10F877BA"/>
    <w:rsid w:val="10FD7B26"/>
    <w:rsid w:val="10FFB7BE"/>
    <w:rsid w:val="11080D92"/>
    <w:rsid w:val="1119714B"/>
    <w:rsid w:val="1119FD65"/>
    <w:rsid w:val="111EFBBD"/>
    <w:rsid w:val="1124730D"/>
    <w:rsid w:val="114DDA12"/>
    <w:rsid w:val="1152C7A8"/>
    <w:rsid w:val="1155FD7A"/>
    <w:rsid w:val="1157C095"/>
    <w:rsid w:val="11657F3B"/>
    <w:rsid w:val="11686DCD"/>
    <w:rsid w:val="116CAD10"/>
    <w:rsid w:val="116ECB33"/>
    <w:rsid w:val="117388E0"/>
    <w:rsid w:val="1175ABE5"/>
    <w:rsid w:val="11782772"/>
    <w:rsid w:val="11981088"/>
    <w:rsid w:val="11AE8689"/>
    <w:rsid w:val="11BD6BD6"/>
    <w:rsid w:val="11C22050"/>
    <w:rsid w:val="11C58F4F"/>
    <w:rsid w:val="11D671C2"/>
    <w:rsid w:val="11EADD69"/>
    <w:rsid w:val="11F23256"/>
    <w:rsid w:val="11F5F956"/>
    <w:rsid w:val="11F9171A"/>
    <w:rsid w:val="1207E208"/>
    <w:rsid w:val="121260A3"/>
    <w:rsid w:val="12199C3F"/>
    <w:rsid w:val="1226E111"/>
    <w:rsid w:val="122D77B1"/>
    <w:rsid w:val="1235FEE2"/>
    <w:rsid w:val="1236F88B"/>
    <w:rsid w:val="1238F019"/>
    <w:rsid w:val="123F7A68"/>
    <w:rsid w:val="124260DC"/>
    <w:rsid w:val="1246EE7B"/>
    <w:rsid w:val="12644D6B"/>
    <w:rsid w:val="126D0545"/>
    <w:rsid w:val="126D2F9B"/>
    <w:rsid w:val="12774518"/>
    <w:rsid w:val="127FF574"/>
    <w:rsid w:val="129C860A"/>
    <w:rsid w:val="129CF1A5"/>
    <w:rsid w:val="12AAC554"/>
    <w:rsid w:val="12AD2F66"/>
    <w:rsid w:val="12B6F462"/>
    <w:rsid w:val="12B92988"/>
    <w:rsid w:val="12C798BC"/>
    <w:rsid w:val="12D5B22A"/>
    <w:rsid w:val="12E2B801"/>
    <w:rsid w:val="12FF1E9A"/>
    <w:rsid w:val="1306DE70"/>
    <w:rsid w:val="1314FD83"/>
    <w:rsid w:val="13240BCC"/>
    <w:rsid w:val="133EAF2A"/>
    <w:rsid w:val="134F82C9"/>
    <w:rsid w:val="134FE5EC"/>
    <w:rsid w:val="13523778"/>
    <w:rsid w:val="135EDC6A"/>
    <w:rsid w:val="1361D665"/>
    <w:rsid w:val="136924FD"/>
    <w:rsid w:val="136C1E9E"/>
    <w:rsid w:val="136CA7E5"/>
    <w:rsid w:val="137D0DDB"/>
    <w:rsid w:val="1386F11F"/>
    <w:rsid w:val="13871462"/>
    <w:rsid w:val="1391B7E1"/>
    <w:rsid w:val="139BBF35"/>
    <w:rsid w:val="13B0E018"/>
    <w:rsid w:val="13BA5E95"/>
    <w:rsid w:val="13BB9E98"/>
    <w:rsid w:val="13BDD68A"/>
    <w:rsid w:val="13C2B4AA"/>
    <w:rsid w:val="13D1F9CD"/>
    <w:rsid w:val="13D7798E"/>
    <w:rsid w:val="13DD08BF"/>
    <w:rsid w:val="13DFD5C1"/>
    <w:rsid w:val="13E76563"/>
    <w:rsid w:val="13EECF7B"/>
    <w:rsid w:val="14016A83"/>
    <w:rsid w:val="1401D570"/>
    <w:rsid w:val="14038FD4"/>
    <w:rsid w:val="140A0641"/>
    <w:rsid w:val="140C6276"/>
    <w:rsid w:val="140D3F35"/>
    <w:rsid w:val="1414A6A2"/>
    <w:rsid w:val="142000CB"/>
    <w:rsid w:val="142A4648"/>
    <w:rsid w:val="143634AD"/>
    <w:rsid w:val="14433771"/>
    <w:rsid w:val="1445AEE4"/>
    <w:rsid w:val="145ED596"/>
    <w:rsid w:val="14635151"/>
    <w:rsid w:val="146F839B"/>
    <w:rsid w:val="1476A223"/>
    <w:rsid w:val="148451AF"/>
    <w:rsid w:val="148AA9A7"/>
    <w:rsid w:val="14A25C99"/>
    <w:rsid w:val="14A984D3"/>
    <w:rsid w:val="14B57950"/>
    <w:rsid w:val="14C47A45"/>
    <w:rsid w:val="14D9B2B1"/>
    <w:rsid w:val="14DFA6FE"/>
    <w:rsid w:val="14E158F2"/>
    <w:rsid w:val="14F54436"/>
    <w:rsid w:val="15077B35"/>
    <w:rsid w:val="150F8736"/>
    <w:rsid w:val="151631E0"/>
    <w:rsid w:val="1523810B"/>
    <w:rsid w:val="1527BB33"/>
    <w:rsid w:val="15290AE6"/>
    <w:rsid w:val="153E1F73"/>
    <w:rsid w:val="1542DB1E"/>
    <w:rsid w:val="1548F6A9"/>
    <w:rsid w:val="154C4F67"/>
    <w:rsid w:val="155D8E86"/>
    <w:rsid w:val="1563454A"/>
    <w:rsid w:val="156391BB"/>
    <w:rsid w:val="1567A3B8"/>
    <w:rsid w:val="1567C597"/>
    <w:rsid w:val="1573497A"/>
    <w:rsid w:val="15786EB1"/>
    <w:rsid w:val="158482A6"/>
    <w:rsid w:val="15863B9C"/>
    <w:rsid w:val="1597B766"/>
    <w:rsid w:val="15B613AF"/>
    <w:rsid w:val="15B7368C"/>
    <w:rsid w:val="15B869BF"/>
    <w:rsid w:val="15B91A29"/>
    <w:rsid w:val="15C0225C"/>
    <w:rsid w:val="15C09766"/>
    <w:rsid w:val="15C218EF"/>
    <w:rsid w:val="15CAF231"/>
    <w:rsid w:val="15D51139"/>
    <w:rsid w:val="15DD1CE4"/>
    <w:rsid w:val="15DFE5E6"/>
    <w:rsid w:val="15F3B253"/>
    <w:rsid w:val="1608C224"/>
    <w:rsid w:val="160F9075"/>
    <w:rsid w:val="1612637A"/>
    <w:rsid w:val="16196892"/>
    <w:rsid w:val="161C0E71"/>
    <w:rsid w:val="161D5452"/>
    <w:rsid w:val="1626A4EE"/>
    <w:rsid w:val="162E4CD4"/>
    <w:rsid w:val="16381986"/>
    <w:rsid w:val="1643492F"/>
    <w:rsid w:val="1645EB42"/>
    <w:rsid w:val="164C819F"/>
    <w:rsid w:val="16542C93"/>
    <w:rsid w:val="16573B6B"/>
    <w:rsid w:val="165A89BE"/>
    <w:rsid w:val="166A798A"/>
    <w:rsid w:val="168FD077"/>
    <w:rsid w:val="169B2593"/>
    <w:rsid w:val="169B51D2"/>
    <w:rsid w:val="16A09DEA"/>
    <w:rsid w:val="16A4A1BB"/>
    <w:rsid w:val="16BBC2D4"/>
    <w:rsid w:val="16CBE4A6"/>
    <w:rsid w:val="16D77217"/>
    <w:rsid w:val="16DD18F4"/>
    <w:rsid w:val="16DEB617"/>
    <w:rsid w:val="16FC30B8"/>
    <w:rsid w:val="1700AC23"/>
    <w:rsid w:val="1702ACA1"/>
    <w:rsid w:val="170649B1"/>
    <w:rsid w:val="1714515D"/>
    <w:rsid w:val="171B99ED"/>
    <w:rsid w:val="1720E90E"/>
    <w:rsid w:val="17244857"/>
    <w:rsid w:val="17263896"/>
    <w:rsid w:val="17321E5A"/>
    <w:rsid w:val="1738E49C"/>
    <w:rsid w:val="173DE6B2"/>
    <w:rsid w:val="174A2B06"/>
    <w:rsid w:val="1756A080"/>
    <w:rsid w:val="175CA052"/>
    <w:rsid w:val="1766148F"/>
    <w:rsid w:val="176C8DB8"/>
    <w:rsid w:val="17702BD9"/>
    <w:rsid w:val="177A451E"/>
    <w:rsid w:val="1785C465"/>
    <w:rsid w:val="178613A6"/>
    <w:rsid w:val="1798D33D"/>
    <w:rsid w:val="17A4D87D"/>
    <w:rsid w:val="17A75B8F"/>
    <w:rsid w:val="17A9E36E"/>
    <w:rsid w:val="17C476A5"/>
    <w:rsid w:val="17C5D0BF"/>
    <w:rsid w:val="17D81DE0"/>
    <w:rsid w:val="17D8D3A9"/>
    <w:rsid w:val="17E11246"/>
    <w:rsid w:val="17ED5671"/>
    <w:rsid w:val="17F11C25"/>
    <w:rsid w:val="17F342FB"/>
    <w:rsid w:val="17F3CDE2"/>
    <w:rsid w:val="17F61215"/>
    <w:rsid w:val="18011666"/>
    <w:rsid w:val="1808F553"/>
    <w:rsid w:val="1809F6C5"/>
    <w:rsid w:val="180E06B2"/>
    <w:rsid w:val="1810A2E1"/>
    <w:rsid w:val="182010A2"/>
    <w:rsid w:val="1834B023"/>
    <w:rsid w:val="18391C88"/>
    <w:rsid w:val="18409976"/>
    <w:rsid w:val="185414BB"/>
    <w:rsid w:val="18565C8E"/>
    <w:rsid w:val="185DA120"/>
    <w:rsid w:val="186FD816"/>
    <w:rsid w:val="187ECD57"/>
    <w:rsid w:val="18805437"/>
    <w:rsid w:val="18886B6D"/>
    <w:rsid w:val="188EA1D6"/>
    <w:rsid w:val="18918476"/>
    <w:rsid w:val="1897B3CA"/>
    <w:rsid w:val="18A70928"/>
    <w:rsid w:val="18A773F6"/>
    <w:rsid w:val="18B3B575"/>
    <w:rsid w:val="18B5AF6F"/>
    <w:rsid w:val="18BD048C"/>
    <w:rsid w:val="18C5FD3E"/>
    <w:rsid w:val="18CCD30A"/>
    <w:rsid w:val="18D2F8BE"/>
    <w:rsid w:val="18DDB59B"/>
    <w:rsid w:val="18E1E435"/>
    <w:rsid w:val="18E836DC"/>
    <w:rsid w:val="18EDC050"/>
    <w:rsid w:val="18F9F11C"/>
    <w:rsid w:val="18FB3CE5"/>
    <w:rsid w:val="18FC5FD5"/>
    <w:rsid w:val="1907469F"/>
    <w:rsid w:val="191951DD"/>
    <w:rsid w:val="19205FEA"/>
    <w:rsid w:val="192E4B5A"/>
    <w:rsid w:val="1935CD9C"/>
    <w:rsid w:val="1943EAE2"/>
    <w:rsid w:val="194C550A"/>
    <w:rsid w:val="1957724F"/>
    <w:rsid w:val="1958DE1D"/>
    <w:rsid w:val="195F4596"/>
    <w:rsid w:val="19699AB9"/>
    <w:rsid w:val="19946D5C"/>
    <w:rsid w:val="19BBEB6F"/>
    <w:rsid w:val="19C665EC"/>
    <w:rsid w:val="19C9735F"/>
    <w:rsid w:val="19CF3686"/>
    <w:rsid w:val="19D7D635"/>
    <w:rsid w:val="19DB9327"/>
    <w:rsid w:val="19DFD54D"/>
    <w:rsid w:val="19E242FA"/>
    <w:rsid w:val="19F21AC3"/>
    <w:rsid w:val="19F9F21B"/>
    <w:rsid w:val="1A032014"/>
    <w:rsid w:val="1A1D5F1B"/>
    <w:rsid w:val="1A236723"/>
    <w:rsid w:val="1A3B61F6"/>
    <w:rsid w:val="1A45023E"/>
    <w:rsid w:val="1A53A521"/>
    <w:rsid w:val="1A584F83"/>
    <w:rsid w:val="1A5B268A"/>
    <w:rsid w:val="1A60DAB1"/>
    <w:rsid w:val="1A612F93"/>
    <w:rsid w:val="1A6F6201"/>
    <w:rsid w:val="1A761454"/>
    <w:rsid w:val="1A8A8A59"/>
    <w:rsid w:val="1A906E78"/>
    <w:rsid w:val="1AA311D6"/>
    <w:rsid w:val="1ACD7788"/>
    <w:rsid w:val="1AD21329"/>
    <w:rsid w:val="1AD22502"/>
    <w:rsid w:val="1AD63726"/>
    <w:rsid w:val="1AE66344"/>
    <w:rsid w:val="1AFBDC4D"/>
    <w:rsid w:val="1B1C7FFB"/>
    <w:rsid w:val="1B2B1449"/>
    <w:rsid w:val="1B35EED9"/>
    <w:rsid w:val="1B44AD7F"/>
    <w:rsid w:val="1B4B6047"/>
    <w:rsid w:val="1B637FB2"/>
    <w:rsid w:val="1B6D4944"/>
    <w:rsid w:val="1B6F0666"/>
    <w:rsid w:val="1B73D2EB"/>
    <w:rsid w:val="1B7646EA"/>
    <w:rsid w:val="1B8458E5"/>
    <w:rsid w:val="1B88FE89"/>
    <w:rsid w:val="1B89EE40"/>
    <w:rsid w:val="1B90D38B"/>
    <w:rsid w:val="1BAD9FF6"/>
    <w:rsid w:val="1BB1A705"/>
    <w:rsid w:val="1BBBDE2C"/>
    <w:rsid w:val="1BDF34B0"/>
    <w:rsid w:val="1BE38BF0"/>
    <w:rsid w:val="1BE97E6F"/>
    <w:rsid w:val="1BECB189"/>
    <w:rsid w:val="1BF4AB19"/>
    <w:rsid w:val="1BF8DD7C"/>
    <w:rsid w:val="1BFF29BF"/>
    <w:rsid w:val="1C0A7690"/>
    <w:rsid w:val="1C0BED03"/>
    <w:rsid w:val="1C11C1CE"/>
    <w:rsid w:val="1C19CF28"/>
    <w:rsid w:val="1C3631DE"/>
    <w:rsid w:val="1C417E30"/>
    <w:rsid w:val="1C47116D"/>
    <w:rsid w:val="1C48A45D"/>
    <w:rsid w:val="1C4B1F7D"/>
    <w:rsid w:val="1C5090F3"/>
    <w:rsid w:val="1C50FE32"/>
    <w:rsid w:val="1C578784"/>
    <w:rsid w:val="1C61F5FA"/>
    <w:rsid w:val="1C635BB6"/>
    <w:rsid w:val="1C6B3E59"/>
    <w:rsid w:val="1C6F60F6"/>
    <w:rsid w:val="1C6F7D9C"/>
    <w:rsid w:val="1C70B11E"/>
    <w:rsid w:val="1C7CEE5C"/>
    <w:rsid w:val="1C83F5CC"/>
    <w:rsid w:val="1C8961C3"/>
    <w:rsid w:val="1C8E8CDC"/>
    <w:rsid w:val="1C8EEF9F"/>
    <w:rsid w:val="1C9E6E8C"/>
    <w:rsid w:val="1CB00E0A"/>
    <w:rsid w:val="1CC148E1"/>
    <w:rsid w:val="1CC19005"/>
    <w:rsid w:val="1CCDD118"/>
    <w:rsid w:val="1CD9EF56"/>
    <w:rsid w:val="1CE0B603"/>
    <w:rsid w:val="1CE6C7ED"/>
    <w:rsid w:val="1CEBBC78"/>
    <w:rsid w:val="1CEC80F6"/>
    <w:rsid w:val="1CF5B7CD"/>
    <w:rsid w:val="1CF79A7A"/>
    <w:rsid w:val="1D00F77B"/>
    <w:rsid w:val="1D0714B1"/>
    <w:rsid w:val="1D074687"/>
    <w:rsid w:val="1D085704"/>
    <w:rsid w:val="1D0E6F8F"/>
    <w:rsid w:val="1D197E78"/>
    <w:rsid w:val="1D1FE5C3"/>
    <w:rsid w:val="1D26F011"/>
    <w:rsid w:val="1D274914"/>
    <w:rsid w:val="1D393193"/>
    <w:rsid w:val="1D40C03D"/>
    <w:rsid w:val="1D4103F9"/>
    <w:rsid w:val="1D51F39A"/>
    <w:rsid w:val="1D54BDBF"/>
    <w:rsid w:val="1D5F3E05"/>
    <w:rsid w:val="1D766341"/>
    <w:rsid w:val="1D7B1131"/>
    <w:rsid w:val="1D888831"/>
    <w:rsid w:val="1DA99E0C"/>
    <w:rsid w:val="1DBA40CE"/>
    <w:rsid w:val="1DBBC386"/>
    <w:rsid w:val="1DBFC57E"/>
    <w:rsid w:val="1DC727C9"/>
    <w:rsid w:val="1DD098B5"/>
    <w:rsid w:val="1DD2E520"/>
    <w:rsid w:val="1DD7CD69"/>
    <w:rsid w:val="1DDFF4DE"/>
    <w:rsid w:val="1DE871DA"/>
    <w:rsid w:val="1DF05E56"/>
    <w:rsid w:val="1DF0F287"/>
    <w:rsid w:val="1DF33743"/>
    <w:rsid w:val="1E046829"/>
    <w:rsid w:val="1E1120A6"/>
    <w:rsid w:val="1E141069"/>
    <w:rsid w:val="1E235057"/>
    <w:rsid w:val="1E3156B7"/>
    <w:rsid w:val="1E4C19D6"/>
    <w:rsid w:val="1E4DCC11"/>
    <w:rsid w:val="1E5203DE"/>
    <w:rsid w:val="1E54FFB1"/>
    <w:rsid w:val="1E633760"/>
    <w:rsid w:val="1E72A457"/>
    <w:rsid w:val="1E7971FD"/>
    <w:rsid w:val="1E890B56"/>
    <w:rsid w:val="1E9176BA"/>
    <w:rsid w:val="1E93A5CD"/>
    <w:rsid w:val="1E9C1551"/>
    <w:rsid w:val="1EA19DBD"/>
    <w:rsid w:val="1EAAC4A8"/>
    <w:rsid w:val="1EABD039"/>
    <w:rsid w:val="1EB5052D"/>
    <w:rsid w:val="1EB6994B"/>
    <w:rsid w:val="1EC48AD3"/>
    <w:rsid w:val="1EC4FA35"/>
    <w:rsid w:val="1ECB6496"/>
    <w:rsid w:val="1ECC6EFD"/>
    <w:rsid w:val="1EDB291E"/>
    <w:rsid w:val="1EE11E6E"/>
    <w:rsid w:val="1EED8D1B"/>
    <w:rsid w:val="1EF419BB"/>
    <w:rsid w:val="1EFA2C2E"/>
    <w:rsid w:val="1EFA3311"/>
    <w:rsid w:val="1EFADB42"/>
    <w:rsid w:val="1F022CC6"/>
    <w:rsid w:val="1F0C1817"/>
    <w:rsid w:val="1F107722"/>
    <w:rsid w:val="1F134024"/>
    <w:rsid w:val="1F1C7134"/>
    <w:rsid w:val="1F284439"/>
    <w:rsid w:val="1F29E0BF"/>
    <w:rsid w:val="1F2A7460"/>
    <w:rsid w:val="1F4E02D3"/>
    <w:rsid w:val="1F5B24F5"/>
    <w:rsid w:val="1F65E04A"/>
    <w:rsid w:val="1F78877A"/>
    <w:rsid w:val="1F7EFC0D"/>
    <w:rsid w:val="1F8E059A"/>
    <w:rsid w:val="1F9BE45F"/>
    <w:rsid w:val="1F9DDEDC"/>
    <w:rsid w:val="1F9F3C6B"/>
    <w:rsid w:val="1FA133BE"/>
    <w:rsid w:val="1FB01182"/>
    <w:rsid w:val="1FB71D2B"/>
    <w:rsid w:val="1FC02308"/>
    <w:rsid w:val="1FC612CF"/>
    <w:rsid w:val="1FCD56CF"/>
    <w:rsid w:val="1FFB9678"/>
    <w:rsid w:val="2003BA3B"/>
    <w:rsid w:val="2006CB76"/>
    <w:rsid w:val="20108D6C"/>
    <w:rsid w:val="20113283"/>
    <w:rsid w:val="204A1032"/>
    <w:rsid w:val="2056B978"/>
    <w:rsid w:val="205AC875"/>
    <w:rsid w:val="205D55A0"/>
    <w:rsid w:val="20600D84"/>
    <w:rsid w:val="2079BA5B"/>
    <w:rsid w:val="207B0026"/>
    <w:rsid w:val="20891E7C"/>
    <w:rsid w:val="2090F69B"/>
    <w:rsid w:val="20953F62"/>
    <w:rsid w:val="20973A34"/>
    <w:rsid w:val="209983AD"/>
    <w:rsid w:val="209D8BA1"/>
    <w:rsid w:val="209DF671"/>
    <w:rsid w:val="20A9D473"/>
    <w:rsid w:val="20C565F8"/>
    <w:rsid w:val="20D5F6C5"/>
    <w:rsid w:val="20DB2C1C"/>
    <w:rsid w:val="20E3FC89"/>
    <w:rsid w:val="20EB4AD5"/>
    <w:rsid w:val="20F25628"/>
    <w:rsid w:val="20F4EA12"/>
    <w:rsid w:val="20F66FEC"/>
    <w:rsid w:val="2102B6B2"/>
    <w:rsid w:val="2103EC1D"/>
    <w:rsid w:val="210F8356"/>
    <w:rsid w:val="2113A8E2"/>
    <w:rsid w:val="21175123"/>
    <w:rsid w:val="2119F5EE"/>
    <w:rsid w:val="212560DC"/>
    <w:rsid w:val="21567096"/>
    <w:rsid w:val="215E3848"/>
    <w:rsid w:val="216B6533"/>
    <w:rsid w:val="2172684C"/>
    <w:rsid w:val="217AC29B"/>
    <w:rsid w:val="2186DBBF"/>
    <w:rsid w:val="2197BAD8"/>
    <w:rsid w:val="219ADB31"/>
    <w:rsid w:val="219CCEC8"/>
    <w:rsid w:val="21A03DF7"/>
    <w:rsid w:val="21B4A9E4"/>
    <w:rsid w:val="21BFE46D"/>
    <w:rsid w:val="21C1F337"/>
    <w:rsid w:val="21CACA38"/>
    <w:rsid w:val="21CCA9CC"/>
    <w:rsid w:val="21CE4DA8"/>
    <w:rsid w:val="21D2F301"/>
    <w:rsid w:val="21DAB7AA"/>
    <w:rsid w:val="21E22FD1"/>
    <w:rsid w:val="21EEB508"/>
    <w:rsid w:val="21F2FBDD"/>
    <w:rsid w:val="21F5B694"/>
    <w:rsid w:val="21FB0F18"/>
    <w:rsid w:val="21FE51B0"/>
    <w:rsid w:val="220446D2"/>
    <w:rsid w:val="22179348"/>
    <w:rsid w:val="221D2AB8"/>
    <w:rsid w:val="222B9BB0"/>
    <w:rsid w:val="222E066A"/>
    <w:rsid w:val="22315C49"/>
    <w:rsid w:val="22315F75"/>
    <w:rsid w:val="223627C2"/>
    <w:rsid w:val="223D9C53"/>
    <w:rsid w:val="22490D93"/>
    <w:rsid w:val="224C5307"/>
    <w:rsid w:val="22530B35"/>
    <w:rsid w:val="22650562"/>
    <w:rsid w:val="226CF60A"/>
    <w:rsid w:val="22700291"/>
    <w:rsid w:val="2271B0B6"/>
    <w:rsid w:val="228A14C9"/>
    <w:rsid w:val="228A25AD"/>
    <w:rsid w:val="228BA4EC"/>
    <w:rsid w:val="228BAEBD"/>
    <w:rsid w:val="22914EC6"/>
    <w:rsid w:val="229152CA"/>
    <w:rsid w:val="22AA7207"/>
    <w:rsid w:val="22B8AC3F"/>
    <w:rsid w:val="22BF692A"/>
    <w:rsid w:val="22D0FDC7"/>
    <w:rsid w:val="22F8DDD1"/>
    <w:rsid w:val="22F9050F"/>
    <w:rsid w:val="231597ED"/>
    <w:rsid w:val="232CCF21"/>
    <w:rsid w:val="23387424"/>
    <w:rsid w:val="234D83A0"/>
    <w:rsid w:val="234E2912"/>
    <w:rsid w:val="2355CE1A"/>
    <w:rsid w:val="23561A0D"/>
    <w:rsid w:val="235AEFF6"/>
    <w:rsid w:val="23660B09"/>
    <w:rsid w:val="236C7BA6"/>
    <w:rsid w:val="236ECED2"/>
    <w:rsid w:val="238BF6A7"/>
    <w:rsid w:val="238D6CE1"/>
    <w:rsid w:val="238EBE31"/>
    <w:rsid w:val="239378F6"/>
    <w:rsid w:val="2396160D"/>
    <w:rsid w:val="23B337AB"/>
    <w:rsid w:val="23B519C3"/>
    <w:rsid w:val="23BE08ED"/>
    <w:rsid w:val="23D1AD32"/>
    <w:rsid w:val="23DE16EB"/>
    <w:rsid w:val="23E36CE3"/>
    <w:rsid w:val="23FE8E65"/>
    <w:rsid w:val="2401A62F"/>
    <w:rsid w:val="24021387"/>
    <w:rsid w:val="2414C1F0"/>
    <w:rsid w:val="2416B24A"/>
    <w:rsid w:val="2418868E"/>
    <w:rsid w:val="24197618"/>
    <w:rsid w:val="2425AB2D"/>
    <w:rsid w:val="24305CDE"/>
    <w:rsid w:val="2434C7CE"/>
    <w:rsid w:val="244A6456"/>
    <w:rsid w:val="245274EE"/>
    <w:rsid w:val="246585A1"/>
    <w:rsid w:val="2479C538"/>
    <w:rsid w:val="247FF21E"/>
    <w:rsid w:val="2482F7A4"/>
    <w:rsid w:val="2491FC0E"/>
    <w:rsid w:val="2497C91D"/>
    <w:rsid w:val="2497EB8B"/>
    <w:rsid w:val="24A60537"/>
    <w:rsid w:val="24B799C0"/>
    <w:rsid w:val="24BAEC19"/>
    <w:rsid w:val="24C5CF3C"/>
    <w:rsid w:val="24CB5FFF"/>
    <w:rsid w:val="24D2DBF3"/>
    <w:rsid w:val="24D3A1F7"/>
    <w:rsid w:val="24DFDD1D"/>
    <w:rsid w:val="24ED309A"/>
    <w:rsid w:val="24F03CCD"/>
    <w:rsid w:val="24FCC099"/>
    <w:rsid w:val="250BBED3"/>
    <w:rsid w:val="2519D31F"/>
    <w:rsid w:val="25245274"/>
    <w:rsid w:val="2524C183"/>
    <w:rsid w:val="252CA426"/>
    <w:rsid w:val="252F96AD"/>
    <w:rsid w:val="25341AF7"/>
    <w:rsid w:val="25365942"/>
    <w:rsid w:val="253FAFFD"/>
    <w:rsid w:val="254D34B6"/>
    <w:rsid w:val="25522C69"/>
    <w:rsid w:val="25565ECF"/>
    <w:rsid w:val="255CD1B6"/>
    <w:rsid w:val="25629FCD"/>
    <w:rsid w:val="25682B56"/>
    <w:rsid w:val="2568EFD4"/>
    <w:rsid w:val="257389CE"/>
    <w:rsid w:val="2578E4E2"/>
    <w:rsid w:val="257D2DB9"/>
    <w:rsid w:val="2581904A"/>
    <w:rsid w:val="25A49DE4"/>
    <w:rsid w:val="25AD45AA"/>
    <w:rsid w:val="25AF82FB"/>
    <w:rsid w:val="25B73414"/>
    <w:rsid w:val="25BF2951"/>
    <w:rsid w:val="25C15741"/>
    <w:rsid w:val="25C59DD4"/>
    <w:rsid w:val="25D4DC94"/>
    <w:rsid w:val="25DCCF7C"/>
    <w:rsid w:val="25F57655"/>
    <w:rsid w:val="26015FEA"/>
    <w:rsid w:val="26065FF2"/>
    <w:rsid w:val="26152B27"/>
    <w:rsid w:val="262BF294"/>
    <w:rsid w:val="2638A5ED"/>
    <w:rsid w:val="2639673D"/>
    <w:rsid w:val="2661A9FA"/>
    <w:rsid w:val="266DCCFE"/>
    <w:rsid w:val="26721AD3"/>
    <w:rsid w:val="267A6BDE"/>
    <w:rsid w:val="2682108F"/>
    <w:rsid w:val="269C50E2"/>
    <w:rsid w:val="269FDE1C"/>
    <w:rsid w:val="26A3910A"/>
    <w:rsid w:val="26A48038"/>
    <w:rsid w:val="26A98AAE"/>
    <w:rsid w:val="26BE60FC"/>
    <w:rsid w:val="26D200DA"/>
    <w:rsid w:val="26DFFE1F"/>
    <w:rsid w:val="26E40F44"/>
    <w:rsid w:val="2703328D"/>
    <w:rsid w:val="2703853D"/>
    <w:rsid w:val="270B0C2F"/>
    <w:rsid w:val="2719C6BB"/>
    <w:rsid w:val="271A045F"/>
    <w:rsid w:val="272B67D3"/>
    <w:rsid w:val="2731CB0B"/>
    <w:rsid w:val="27367A94"/>
    <w:rsid w:val="27403BF5"/>
    <w:rsid w:val="2744E489"/>
    <w:rsid w:val="274E0F0F"/>
    <w:rsid w:val="2750E6B7"/>
    <w:rsid w:val="27536A23"/>
    <w:rsid w:val="2761EAF5"/>
    <w:rsid w:val="277D7A55"/>
    <w:rsid w:val="27A25DCF"/>
    <w:rsid w:val="27AA9651"/>
    <w:rsid w:val="27AE3187"/>
    <w:rsid w:val="27B7BA1E"/>
    <w:rsid w:val="27CA2761"/>
    <w:rsid w:val="27CC70A4"/>
    <w:rsid w:val="27D67229"/>
    <w:rsid w:val="27E02FAC"/>
    <w:rsid w:val="27E24F28"/>
    <w:rsid w:val="27E45909"/>
    <w:rsid w:val="280A185E"/>
    <w:rsid w:val="28103362"/>
    <w:rsid w:val="2813A893"/>
    <w:rsid w:val="28184544"/>
    <w:rsid w:val="281E8F43"/>
    <w:rsid w:val="281FABD4"/>
    <w:rsid w:val="28242A7C"/>
    <w:rsid w:val="282E1B79"/>
    <w:rsid w:val="282FCA1A"/>
    <w:rsid w:val="2836552F"/>
    <w:rsid w:val="2836F8EA"/>
    <w:rsid w:val="28416BC6"/>
    <w:rsid w:val="2845225D"/>
    <w:rsid w:val="285A3DB1"/>
    <w:rsid w:val="286F78B4"/>
    <w:rsid w:val="287637FA"/>
    <w:rsid w:val="287CF0C8"/>
    <w:rsid w:val="288E7F33"/>
    <w:rsid w:val="2890C8F4"/>
    <w:rsid w:val="2894752B"/>
    <w:rsid w:val="2895714A"/>
    <w:rsid w:val="28965065"/>
    <w:rsid w:val="28AD40A1"/>
    <w:rsid w:val="28BBBA1E"/>
    <w:rsid w:val="28C88C0E"/>
    <w:rsid w:val="28D6A7E8"/>
    <w:rsid w:val="28E5DBF9"/>
    <w:rsid w:val="28ED408F"/>
    <w:rsid w:val="28F973F5"/>
    <w:rsid w:val="2932A6BD"/>
    <w:rsid w:val="293A0DB8"/>
    <w:rsid w:val="29628517"/>
    <w:rsid w:val="2963334D"/>
    <w:rsid w:val="2972E962"/>
    <w:rsid w:val="2972FEE7"/>
    <w:rsid w:val="2973AF09"/>
    <w:rsid w:val="297CAF6E"/>
    <w:rsid w:val="298EE068"/>
    <w:rsid w:val="29A9241D"/>
    <w:rsid w:val="29AB0FCF"/>
    <w:rsid w:val="29ABB3D3"/>
    <w:rsid w:val="29B7B913"/>
    <w:rsid w:val="29BC4D4A"/>
    <w:rsid w:val="29BEE6E8"/>
    <w:rsid w:val="29C55C82"/>
    <w:rsid w:val="29CC17DC"/>
    <w:rsid w:val="29D5E256"/>
    <w:rsid w:val="29E84EAD"/>
    <w:rsid w:val="29E97387"/>
    <w:rsid w:val="29EE36F6"/>
    <w:rsid w:val="29F57F96"/>
    <w:rsid w:val="2A038583"/>
    <w:rsid w:val="2A0B993C"/>
    <w:rsid w:val="2A102C13"/>
    <w:rsid w:val="2A14AAE9"/>
    <w:rsid w:val="2A1EE0C2"/>
    <w:rsid w:val="2A3FF297"/>
    <w:rsid w:val="2A494B7B"/>
    <w:rsid w:val="2A4F9EA4"/>
    <w:rsid w:val="2A576460"/>
    <w:rsid w:val="2A61D695"/>
    <w:rsid w:val="2A7B07DF"/>
    <w:rsid w:val="2A7C1041"/>
    <w:rsid w:val="2A959102"/>
    <w:rsid w:val="2AA8A059"/>
    <w:rsid w:val="2AA9CC79"/>
    <w:rsid w:val="2AC602B6"/>
    <w:rsid w:val="2AF8A6E1"/>
    <w:rsid w:val="2AFCCACE"/>
    <w:rsid w:val="2B05BAEE"/>
    <w:rsid w:val="2B07E146"/>
    <w:rsid w:val="2B14C5E6"/>
    <w:rsid w:val="2B217420"/>
    <w:rsid w:val="2B242E88"/>
    <w:rsid w:val="2B276B12"/>
    <w:rsid w:val="2B3A8385"/>
    <w:rsid w:val="2B4CB9CB"/>
    <w:rsid w:val="2B67A845"/>
    <w:rsid w:val="2B6AF7AC"/>
    <w:rsid w:val="2B710E8E"/>
    <w:rsid w:val="2B77A108"/>
    <w:rsid w:val="2B8E4090"/>
    <w:rsid w:val="2BA77167"/>
    <w:rsid w:val="2BAC7200"/>
    <w:rsid w:val="2BAF01A3"/>
    <w:rsid w:val="2BBFD199"/>
    <w:rsid w:val="2BD0F012"/>
    <w:rsid w:val="2BDF522A"/>
    <w:rsid w:val="2BF77132"/>
    <w:rsid w:val="2BF8C5F1"/>
    <w:rsid w:val="2BFFDE61"/>
    <w:rsid w:val="2C005DD4"/>
    <w:rsid w:val="2C0B947B"/>
    <w:rsid w:val="2C1621A2"/>
    <w:rsid w:val="2C1A85ED"/>
    <w:rsid w:val="2C24561C"/>
    <w:rsid w:val="2C2645E9"/>
    <w:rsid w:val="2C26DF62"/>
    <w:rsid w:val="2C52FC3B"/>
    <w:rsid w:val="2C60FF88"/>
    <w:rsid w:val="2C696D58"/>
    <w:rsid w:val="2C79B156"/>
    <w:rsid w:val="2C9C2232"/>
    <w:rsid w:val="2CAAEB86"/>
    <w:rsid w:val="2CAE5FA5"/>
    <w:rsid w:val="2CAFF824"/>
    <w:rsid w:val="2CC0B245"/>
    <w:rsid w:val="2CCF02CB"/>
    <w:rsid w:val="2CD7FF3B"/>
    <w:rsid w:val="2CE16D6A"/>
    <w:rsid w:val="2CF0CBFC"/>
    <w:rsid w:val="2D0852EA"/>
    <w:rsid w:val="2D0A6A0D"/>
    <w:rsid w:val="2D0C5D7D"/>
    <w:rsid w:val="2D1598C1"/>
    <w:rsid w:val="2D246E2E"/>
    <w:rsid w:val="2D2566F8"/>
    <w:rsid w:val="2D32E728"/>
    <w:rsid w:val="2D333CEF"/>
    <w:rsid w:val="2D38A2D4"/>
    <w:rsid w:val="2D45BE6C"/>
    <w:rsid w:val="2D47A49C"/>
    <w:rsid w:val="2D4B289C"/>
    <w:rsid w:val="2D52EFD9"/>
    <w:rsid w:val="2D545838"/>
    <w:rsid w:val="2D590E27"/>
    <w:rsid w:val="2D5C3C31"/>
    <w:rsid w:val="2D5D51D8"/>
    <w:rsid w:val="2D605E6A"/>
    <w:rsid w:val="2D681774"/>
    <w:rsid w:val="2D693B0B"/>
    <w:rsid w:val="2D74C91D"/>
    <w:rsid w:val="2D7CF2AD"/>
    <w:rsid w:val="2D7DE682"/>
    <w:rsid w:val="2D850152"/>
    <w:rsid w:val="2D87A35D"/>
    <w:rsid w:val="2D8EB0F8"/>
    <w:rsid w:val="2D92B954"/>
    <w:rsid w:val="2D99A87D"/>
    <w:rsid w:val="2D9A931E"/>
    <w:rsid w:val="2DA07674"/>
    <w:rsid w:val="2DA33C40"/>
    <w:rsid w:val="2DAC3EFB"/>
    <w:rsid w:val="2DAE9667"/>
    <w:rsid w:val="2DB67969"/>
    <w:rsid w:val="2DBAEC24"/>
    <w:rsid w:val="2DCF8EA9"/>
    <w:rsid w:val="2DD39A95"/>
    <w:rsid w:val="2DD51467"/>
    <w:rsid w:val="2DE12ABD"/>
    <w:rsid w:val="2DF22C90"/>
    <w:rsid w:val="2E06D841"/>
    <w:rsid w:val="2E17C49C"/>
    <w:rsid w:val="2E1EFCE6"/>
    <w:rsid w:val="2E22A029"/>
    <w:rsid w:val="2E310107"/>
    <w:rsid w:val="2E31DAAA"/>
    <w:rsid w:val="2E3204C3"/>
    <w:rsid w:val="2E35046E"/>
    <w:rsid w:val="2E35E9F7"/>
    <w:rsid w:val="2E478C81"/>
    <w:rsid w:val="2E4B44CB"/>
    <w:rsid w:val="2E516F12"/>
    <w:rsid w:val="2E5ABDA2"/>
    <w:rsid w:val="2E8FFD47"/>
    <w:rsid w:val="2E9ED7A9"/>
    <w:rsid w:val="2E9F00CC"/>
    <w:rsid w:val="2EA13A00"/>
    <w:rsid w:val="2EBBCB63"/>
    <w:rsid w:val="2ED360CD"/>
    <w:rsid w:val="2EE89614"/>
    <w:rsid w:val="2EEDF9E1"/>
    <w:rsid w:val="2EF02A4B"/>
    <w:rsid w:val="2F05AE6F"/>
    <w:rsid w:val="2F170F8F"/>
    <w:rsid w:val="2F230FC7"/>
    <w:rsid w:val="2F2E5EDD"/>
    <w:rsid w:val="2F3B7FDD"/>
    <w:rsid w:val="2F3F8293"/>
    <w:rsid w:val="2F46AC0E"/>
    <w:rsid w:val="2F556FBB"/>
    <w:rsid w:val="2F56BF9C"/>
    <w:rsid w:val="2F612728"/>
    <w:rsid w:val="2F64E01E"/>
    <w:rsid w:val="2F6CCD15"/>
    <w:rsid w:val="2F6E736D"/>
    <w:rsid w:val="2F800712"/>
    <w:rsid w:val="2F8483D2"/>
    <w:rsid w:val="2F85F470"/>
    <w:rsid w:val="2F94635F"/>
    <w:rsid w:val="2F95E07D"/>
    <w:rsid w:val="2F988E43"/>
    <w:rsid w:val="2FA95042"/>
    <w:rsid w:val="2FA9658D"/>
    <w:rsid w:val="2FD27343"/>
    <w:rsid w:val="2FD33149"/>
    <w:rsid w:val="2FD6ADA3"/>
    <w:rsid w:val="300D9330"/>
    <w:rsid w:val="300E9FFB"/>
    <w:rsid w:val="30188247"/>
    <w:rsid w:val="3048BB7B"/>
    <w:rsid w:val="304CC0CE"/>
    <w:rsid w:val="30690D5D"/>
    <w:rsid w:val="307B135C"/>
    <w:rsid w:val="308F0473"/>
    <w:rsid w:val="30982D2B"/>
    <w:rsid w:val="309CE84C"/>
    <w:rsid w:val="309D699F"/>
    <w:rsid w:val="30ACE0D3"/>
    <w:rsid w:val="30B24F55"/>
    <w:rsid w:val="30B2C40D"/>
    <w:rsid w:val="30B7EFBC"/>
    <w:rsid w:val="30CC3B21"/>
    <w:rsid w:val="30CE5592"/>
    <w:rsid w:val="30D304F0"/>
    <w:rsid w:val="30D61ADF"/>
    <w:rsid w:val="30DBD113"/>
    <w:rsid w:val="30FD71E0"/>
    <w:rsid w:val="31173632"/>
    <w:rsid w:val="31187D87"/>
    <w:rsid w:val="3129523B"/>
    <w:rsid w:val="312BB065"/>
    <w:rsid w:val="312F17E0"/>
    <w:rsid w:val="312FD87A"/>
    <w:rsid w:val="313BA100"/>
    <w:rsid w:val="3144A021"/>
    <w:rsid w:val="314E95E7"/>
    <w:rsid w:val="316255FA"/>
    <w:rsid w:val="3162A30B"/>
    <w:rsid w:val="31700BF3"/>
    <w:rsid w:val="3173013D"/>
    <w:rsid w:val="3178022A"/>
    <w:rsid w:val="317E7AF7"/>
    <w:rsid w:val="318D2477"/>
    <w:rsid w:val="3197925A"/>
    <w:rsid w:val="31995216"/>
    <w:rsid w:val="31A88171"/>
    <w:rsid w:val="31AF88AB"/>
    <w:rsid w:val="31B56ED8"/>
    <w:rsid w:val="31C42CC5"/>
    <w:rsid w:val="31D88A75"/>
    <w:rsid w:val="31DAA86F"/>
    <w:rsid w:val="31DF4425"/>
    <w:rsid w:val="31EA4517"/>
    <w:rsid w:val="31F09EE8"/>
    <w:rsid w:val="31F40C8A"/>
    <w:rsid w:val="31FF2935"/>
    <w:rsid w:val="31FFFC9A"/>
    <w:rsid w:val="3206452B"/>
    <w:rsid w:val="32071444"/>
    <w:rsid w:val="321ED7BA"/>
    <w:rsid w:val="32209ACD"/>
    <w:rsid w:val="3234463B"/>
    <w:rsid w:val="323588B7"/>
    <w:rsid w:val="3238BC28"/>
    <w:rsid w:val="32408B5D"/>
    <w:rsid w:val="32473573"/>
    <w:rsid w:val="32659E87"/>
    <w:rsid w:val="32751E7E"/>
    <w:rsid w:val="32791EE0"/>
    <w:rsid w:val="3279D246"/>
    <w:rsid w:val="327DF0AF"/>
    <w:rsid w:val="3287EF34"/>
    <w:rsid w:val="32906A2C"/>
    <w:rsid w:val="3296FC37"/>
    <w:rsid w:val="32B123C3"/>
    <w:rsid w:val="32BD1E82"/>
    <w:rsid w:val="32C8543C"/>
    <w:rsid w:val="32D1EC9F"/>
    <w:rsid w:val="32DCEEEE"/>
    <w:rsid w:val="32DD80F5"/>
    <w:rsid w:val="32E9DAAA"/>
    <w:rsid w:val="32EB7759"/>
    <w:rsid w:val="33025971"/>
    <w:rsid w:val="3304CB4D"/>
    <w:rsid w:val="33084305"/>
    <w:rsid w:val="3309AF5E"/>
    <w:rsid w:val="3310D29B"/>
    <w:rsid w:val="3316E02D"/>
    <w:rsid w:val="3316F80E"/>
    <w:rsid w:val="331A7EE2"/>
    <w:rsid w:val="332007DC"/>
    <w:rsid w:val="332BBAD4"/>
    <w:rsid w:val="332C89B3"/>
    <w:rsid w:val="332CD611"/>
    <w:rsid w:val="333DCE72"/>
    <w:rsid w:val="33482520"/>
    <w:rsid w:val="33487F54"/>
    <w:rsid w:val="3382EA34"/>
    <w:rsid w:val="3387DBE0"/>
    <w:rsid w:val="33906DF8"/>
    <w:rsid w:val="3392C78D"/>
    <w:rsid w:val="33A4D668"/>
    <w:rsid w:val="33A4EE1A"/>
    <w:rsid w:val="33B3D72D"/>
    <w:rsid w:val="33B6E060"/>
    <w:rsid w:val="33B89342"/>
    <w:rsid w:val="33B8B57A"/>
    <w:rsid w:val="33BAF7E9"/>
    <w:rsid w:val="33C82D3A"/>
    <w:rsid w:val="33C928A9"/>
    <w:rsid w:val="33E95AC2"/>
    <w:rsid w:val="33F0E26B"/>
    <w:rsid w:val="33FABEF4"/>
    <w:rsid w:val="3403553F"/>
    <w:rsid w:val="341BEBFC"/>
    <w:rsid w:val="341DF348"/>
    <w:rsid w:val="341F2D20"/>
    <w:rsid w:val="342726DE"/>
    <w:rsid w:val="3429AC17"/>
    <w:rsid w:val="342C69D9"/>
    <w:rsid w:val="34348B04"/>
    <w:rsid w:val="3443FEA3"/>
    <w:rsid w:val="345414D0"/>
    <w:rsid w:val="345A2399"/>
    <w:rsid w:val="34695B9A"/>
    <w:rsid w:val="346B9376"/>
    <w:rsid w:val="34878E64"/>
    <w:rsid w:val="3488CB8D"/>
    <w:rsid w:val="34A333DE"/>
    <w:rsid w:val="34AEEB61"/>
    <w:rsid w:val="34B8960D"/>
    <w:rsid w:val="34BEC317"/>
    <w:rsid w:val="34CCDB4C"/>
    <w:rsid w:val="34D10650"/>
    <w:rsid w:val="34D10FCA"/>
    <w:rsid w:val="34D9BB79"/>
    <w:rsid w:val="34E48C49"/>
    <w:rsid w:val="34E634E9"/>
    <w:rsid w:val="34EBD077"/>
    <w:rsid w:val="34F7A757"/>
    <w:rsid w:val="35061036"/>
    <w:rsid w:val="350F81DD"/>
    <w:rsid w:val="350F88B3"/>
    <w:rsid w:val="3515D601"/>
    <w:rsid w:val="3517A556"/>
    <w:rsid w:val="351CFE0E"/>
    <w:rsid w:val="35256039"/>
    <w:rsid w:val="35339E99"/>
    <w:rsid w:val="3534324A"/>
    <w:rsid w:val="354CF722"/>
    <w:rsid w:val="355C5C73"/>
    <w:rsid w:val="355FA2CB"/>
    <w:rsid w:val="356838E5"/>
    <w:rsid w:val="3571FD3C"/>
    <w:rsid w:val="3576358C"/>
    <w:rsid w:val="35890E92"/>
    <w:rsid w:val="358A44A1"/>
    <w:rsid w:val="359CB7AC"/>
    <w:rsid w:val="35A84CB2"/>
    <w:rsid w:val="35A87F83"/>
    <w:rsid w:val="35A8EAE1"/>
    <w:rsid w:val="35AD844E"/>
    <w:rsid w:val="35AE06CD"/>
    <w:rsid w:val="35B048EF"/>
    <w:rsid w:val="35B9169A"/>
    <w:rsid w:val="35C548E5"/>
    <w:rsid w:val="35CF8AE3"/>
    <w:rsid w:val="35D5C036"/>
    <w:rsid w:val="35E6BDA4"/>
    <w:rsid w:val="35E7FCF7"/>
    <w:rsid w:val="35EFB1E1"/>
    <w:rsid w:val="35F3EB1B"/>
    <w:rsid w:val="360919FB"/>
    <w:rsid w:val="360E8361"/>
    <w:rsid w:val="3612D672"/>
    <w:rsid w:val="361BCB16"/>
    <w:rsid w:val="362AECC6"/>
    <w:rsid w:val="363A5C8B"/>
    <w:rsid w:val="364CBE60"/>
    <w:rsid w:val="364FA2AE"/>
    <w:rsid w:val="366F0C79"/>
    <w:rsid w:val="3672C4E1"/>
    <w:rsid w:val="36737886"/>
    <w:rsid w:val="3678893E"/>
    <w:rsid w:val="36792327"/>
    <w:rsid w:val="367945DB"/>
    <w:rsid w:val="368161A7"/>
    <w:rsid w:val="3685B629"/>
    <w:rsid w:val="3689BE49"/>
    <w:rsid w:val="368B6FD6"/>
    <w:rsid w:val="368C8928"/>
    <w:rsid w:val="368F786E"/>
    <w:rsid w:val="3697F46E"/>
    <w:rsid w:val="369AE79C"/>
    <w:rsid w:val="36CF23E2"/>
    <w:rsid w:val="36D37CE8"/>
    <w:rsid w:val="36D92A69"/>
    <w:rsid w:val="36E3CDE8"/>
    <w:rsid w:val="36F40BF0"/>
    <w:rsid w:val="36F508BF"/>
    <w:rsid w:val="36F61A5F"/>
    <w:rsid w:val="36F6EB1C"/>
    <w:rsid w:val="36FBD13D"/>
    <w:rsid w:val="37002DD6"/>
    <w:rsid w:val="370C749C"/>
    <w:rsid w:val="370DAA07"/>
    <w:rsid w:val="370F39CE"/>
    <w:rsid w:val="373D7E7A"/>
    <w:rsid w:val="3740E582"/>
    <w:rsid w:val="3752B358"/>
    <w:rsid w:val="37537D30"/>
    <w:rsid w:val="37588430"/>
    <w:rsid w:val="375C1C48"/>
    <w:rsid w:val="3770C265"/>
    <w:rsid w:val="377ADDE8"/>
    <w:rsid w:val="377DB27D"/>
    <w:rsid w:val="3780D018"/>
    <w:rsid w:val="3782BC87"/>
    <w:rsid w:val="3783E461"/>
    <w:rsid w:val="3793DF67"/>
    <w:rsid w:val="379E64F5"/>
    <w:rsid w:val="37A0ED66"/>
    <w:rsid w:val="37A49E2B"/>
    <w:rsid w:val="37A8540B"/>
    <w:rsid w:val="37AD6664"/>
    <w:rsid w:val="37BFBEBD"/>
    <w:rsid w:val="37D62482"/>
    <w:rsid w:val="37F6D82D"/>
    <w:rsid w:val="37F7E7D5"/>
    <w:rsid w:val="37FBCC93"/>
    <w:rsid w:val="380582D7"/>
    <w:rsid w:val="381A9A24"/>
    <w:rsid w:val="3822E00E"/>
    <w:rsid w:val="3825D46B"/>
    <w:rsid w:val="38475A3D"/>
    <w:rsid w:val="38494286"/>
    <w:rsid w:val="384DCFE7"/>
    <w:rsid w:val="38543A29"/>
    <w:rsid w:val="3858581E"/>
    <w:rsid w:val="385C48FA"/>
    <w:rsid w:val="385CAF94"/>
    <w:rsid w:val="386C6040"/>
    <w:rsid w:val="38748B6D"/>
    <w:rsid w:val="3879D13A"/>
    <w:rsid w:val="3884FEC4"/>
    <w:rsid w:val="38950DCB"/>
    <w:rsid w:val="389A1917"/>
    <w:rsid w:val="389F4828"/>
    <w:rsid w:val="38B9A623"/>
    <w:rsid w:val="38C406D4"/>
    <w:rsid w:val="38C49E5D"/>
    <w:rsid w:val="38CEDFA3"/>
    <w:rsid w:val="38CFDBC2"/>
    <w:rsid w:val="38DC1E76"/>
    <w:rsid w:val="38E64B80"/>
    <w:rsid w:val="38F478BB"/>
    <w:rsid w:val="38F8BB0D"/>
    <w:rsid w:val="38FC3C83"/>
    <w:rsid w:val="390829B6"/>
    <w:rsid w:val="39123863"/>
    <w:rsid w:val="39174BA4"/>
    <w:rsid w:val="391D0838"/>
    <w:rsid w:val="391D217C"/>
    <w:rsid w:val="3923C669"/>
    <w:rsid w:val="3937A627"/>
    <w:rsid w:val="39392D45"/>
    <w:rsid w:val="393B1B03"/>
    <w:rsid w:val="39450C90"/>
    <w:rsid w:val="394D4ECA"/>
    <w:rsid w:val="395C9351"/>
    <w:rsid w:val="3960ADC9"/>
    <w:rsid w:val="396D0842"/>
    <w:rsid w:val="397037B9"/>
    <w:rsid w:val="3975597A"/>
    <w:rsid w:val="3976297C"/>
    <w:rsid w:val="398621C2"/>
    <w:rsid w:val="39915E06"/>
    <w:rsid w:val="39980149"/>
    <w:rsid w:val="39A8BAED"/>
    <w:rsid w:val="39B03E9A"/>
    <w:rsid w:val="39B7400A"/>
    <w:rsid w:val="39BC25E4"/>
    <w:rsid w:val="39BCB831"/>
    <w:rsid w:val="39C20973"/>
    <w:rsid w:val="39C736E3"/>
    <w:rsid w:val="39CB8B40"/>
    <w:rsid w:val="39DCFABB"/>
    <w:rsid w:val="39E3CF5A"/>
    <w:rsid w:val="39EA5E26"/>
    <w:rsid w:val="39EC5001"/>
    <w:rsid w:val="39F47108"/>
    <w:rsid w:val="39F87D4E"/>
    <w:rsid w:val="3A09B069"/>
    <w:rsid w:val="3A0EE98A"/>
    <w:rsid w:val="3A12F951"/>
    <w:rsid w:val="3A1F11D1"/>
    <w:rsid w:val="3A202D66"/>
    <w:rsid w:val="3A2AE8E4"/>
    <w:rsid w:val="3A5522AE"/>
    <w:rsid w:val="3A5917C0"/>
    <w:rsid w:val="3A5BF4B2"/>
    <w:rsid w:val="3A5DF0DE"/>
    <w:rsid w:val="3A643241"/>
    <w:rsid w:val="3A64A15C"/>
    <w:rsid w:val="3A64F202"/>
    <w:rsid w:val="3A6FC19D"/>
    <w:rsid w:val="3A7D4AF1"/>
    <w:rsid w:val="3A838322"/>
    <w:rsid w:val="3A84E9B0"/>
    <w:rsid w:val="3A8AFAA3"/>
    <w:rsid w:val="3A91419E"/>
    <w:rsid w:val="3A9C410D"/>
    <w:rsid w:val="3AB2FCF5"/>
    <w:rsid w:val="3AB985A1"/>
    <w:rsid w:val="3ABA19C8"/>
    <w:rsid w:val="3AC5FCAE"/>
    <w:rsid w:val="3ACC5B25"/>
    <w:rsid w:val="3ACF0106"/>
    <w:rsid w:val="3AE5C9C4"/>
    <w:rsid w:val="3AFB2E77"/>
    <w:rsid w:val="3B03ADD7"/>
    <w:rsid w:val="3B03B1A8"/>
    <w:rsid w:val="3B1562A3"/>
    <w:rsid w:val="3B1763DE"/>
    <w:rsid w:val="3B293498"/>
    <w:rsid w:val="3B2A33E7"/>
    <w:rsid w:val="3B363AD2"/>
    <w:rsid w:val="3B3CDCED"/>
    <w:rsid w:val="3B3E1CC5"/>
    <w:rsid w:val="3B48281C"/>
    <w:rsid w:val="3B55CA1E"/>
    <w:rsid w:val="3B5F6430"/>
    <w:rsid w:val="3B650169"/>
    <w:rsid w:val="3B8D4179"/>
    <w:rsid w:val="3BA62AC2"/>
    <w:rsid w:val="3BAD0D21"/>
    <w:rsid w:val="3BAE3C25"/>
    <w:rsid w:val="3BC2F242"/>
    <w:rsid w:val="3BC4A4EA"/>
    <w:rsid w:val="3BCA8DD1"/>
    <w:rsid w:val="3BD26A3E"/>
    <w:rsid w:val="3BDB2520"/>
    <w:rsid w:val="3BEB702D"/>
    <w:rsid w:val="3C0F61D8"/>
    <w:rsid w:val="3C18013B"/>
    <w:rsid w:val="3C1B323D"/>
    <w:rsid w:val="3C1EE911"/>
    <w:rsid w:val="3C29C022"/>
    <w:rsid w:val="3C2B29AF"/>
    <w:rsid w:val="3C2FCAD4"/>
    <w:rsid w:val="3C318B0D"/>
    <w:rsid w:val="3C389DE7"/>
    <w:rsid w:val="3C449C18"/>
    <w:rsid w:val="3C4CB837"/>
    <w:rsid w:val="3C4E5D21"/>
    <w:rsid w:val="3C5635B8"/>
    <w:rsid w:val="3C6B67E4"/>
    <w:rsid w:val="3C6D705C"/>
    <w:rsid w:val="3C7358BC"/>
    <w:rsid w:val="3C806161"/>
    <w:rsid w:val="3C8ABCED"/>
    <w:rsid w:val="3CB1929A"/>
    <w:rsid w:val="3CB36093"/>
    <w:rsid w:val="3CC0FEEE"/>
    <w:rsid w:val="3CC3F12D"/>
    <w:rsid w:val="3CDE5A7A"/>
    <w:rsid w:val="3CE68363"/>
    <w:rsid w:val="3CFE3124"/>
    <w:rsid w:val="3D06A50A"/>
    <w:rsid w:val="3D08C380"/>
    <w:rsid w:val="3D0FB148"/>
    <w:rsid w:val="3D1038F4"/>
    <w:rsid w:val="3D107AD8"/>
    <w:rsid w:val="3D1B8966"/>
    <w:rsid w:val="3D21C2C3"/>
    <w:rsid w:val="3D26E675"/>
    <w:rsid w:val="3D3923F9"/>
    <w:rsid w:val="3D3B31F5"/>
    <w:rsid w:val="3D3C751F"/>
    <w:rsid w:val="3D4CEB1C"/>
    <w:rsid w:val="3D4EA273"/>
    <w:rsid w:val="3D4EC4E1"/>
    <w:rsid w:val="3D5AF03A"/>
    <w:rsid w:val="3D5BD4A3"/>
    <w:rsid w:val="3D5D7CA7"/>
    <w:rsid w:val="3D625D99"/>
    <w:rsid w:val="3D6C5981"/>
    <w:rsid w:val="3D7421DC"/>
    <w:rsid w:val="3D7ED737"/>
    <w:rsid w:val="3DA86FE5"/>
    <w:rsid w:val="3DA93FC9"/>
    <w:rsid w:val="3DB234BF"/>
    <w:rsid w:val="3DC111B6"/>
    <w:rsid w:val="3DC232B8"/>
    <w:rsid w:val="3DC3411B"/>
    <w:rsid w:val="3DC5BA06"/>
    <w:rsid w:val="3DE16839"/>
    <w:rsid w:val="3DE732FC"/>
    <w:rsid w:val="3DE8BA74"/>
    <w:rsid w:val="3DE8F177"/>
    <w:rsid w:val="3DEA97E6"/>
    <w:rsid w:val="3E0453F2"/>
    <w:rsid w:val="3E284D2D"/>
    <w:rsid w:val="3E424577"/>
    <w:rsid w:val="3E4E5034"/>
    <w:rsid w:val="3E4F29DA"/>
    <w:rsid w:val="3E5E3C2E"/>
    <w:rsid w:val="3E739A46"/>
    <w:rsid w:val="3E811CFE"/>
    <w:rsid w:val="3E86AEB2"/>
    <w:rsid w:val="3E886524"/>
    <w:rsid w:val="3E898961"/>
    <w:rsid w:val="3E8C9609"/>
    <w:rsid w:val="3E8D1F7C"/>
    <w:rsid w:val="3E983D1D"/>
    <w:rsid w:val="3EC57808"/>
    <w:rsid w:val="3EDB1490"/>
    <w:rsid w:val="3EDFA741"/>
    <w:rsid w:val="3EE51700"/>
    <w:rsid w:val="3EEA0FD8"/>
    <w:rsid w:val="3EEC5BAA"/>
    <w:rsid w:val="3F10F9DB"/>
    <w:rsid w:val="3F1B0AD4"/>
    <w:rsid w:val="3F1B1E39"/>
    <w:rsid w:val="3F3E420F"/>
    <w:rsid w:val="3F42FCAC"/>
    <w:rsid w:val="3F46C120"/>
    <w:rsid w:val="3F475510"/>
    <w:rsid w:val="3F4DD009"/>
    <w:rsid w:val="3F4DE275"/>
    <w:rsid w:val="3F4FCEC1"/>
    <w:rsid w:val="3F6A9794"/>
    <w:rsid w:val="3F6BE6DD"/>
    <w:rsid w:val="3F74F82A"/>
    <w:rsid w:val="3F7CA74C"/>
    <w:rsid w:val="3F8DCEE0"/>
    <w:rsid w:val="3F915CE5"/>
    <w:rsid w:val="3FA076A6"/>
    <w:rsid w:val="3FA2B39E"/>
    <w:rsid w:val="3FA31439"/>
    <w:rsid w:val="3FA533B5"/>
    <w:rsid w:val="3FB571BD"/>
    <w:rsid w:val="3FCD5370"/>
    <w:rsid w:val="3FD14442"/>
    <w:rsid w:val="3FD26AB4"/>
    <w:rsid w:val="3FD4847F"/>
    <w:rsid w:val="3FE3EE64"/>
    <w:rsid w:val="3FEA8915"/>
    <w:rsid w:val="3FEF5FBB"/>
    <w:rsid w:val="3FF137C9"/>
    <w:rsid w:val="3FF1C2C1"/>
    <w:rsid w:val="40024B4F"/>
    <w:rsid w:val="4002830B"/>
    <w:rsid w:val="4006AB77"/>
    <w:rsid w:val="400B5F21"/>
    <w:rsid w:val="4019E9FD"/>
    <w:rsid w:val="40211E76"/>
    <w:rsid w:val="402217E8"/>
    <w:rsid w:val="4026167B"/>
    <w:rsid w:val="4027D4E2"/>
    <w:rsid w:val="402EC025"/>
    <w:rsid w:val="4037630D"/>
    <w:rsid w:val="403E96FD"/>
    <w:rsid w:val="4047368A"/>
    <w:rsid w:val="4049B081"/>
    <w:rsid w:val="40523068"/>
    <w:rsid w:val="40530D82"/>
    <w:rsid w:val="40608596"/>
    <w:rsid w:val="406B947F"/>
    <w:rsid w:val="406DB66E"/>
    <w:rsid w:val="4083F2B6"/>
    <w:rsid w:val="408468E2"/>
    <w:rsid w:val="40964C94"/>
    <w:rsid w:val="40970902"/>
    <w:rsid w:val="40A6A762"/>
    <w:rsid w:val="40AC3A17"/>
    <w:rsid w:val="40D3E323"/>
    <w:rsid w:val="40D98CE1"/>
    <w:rsid w:val="40E12A9B"/>
    <w:rsid w:val="40F78FCB"/>
    <w:rsid w:val="40FBB413"/>
    <w:rsid w:val="411105F4"/>
    <w:rsid w:val="41146332"/>
    <w:rsid w:val="41209779"/>
    <w:rsid w:val="4127C5D9"/>
    <w:rsid w:val="412BDA5A"/>
    <w:rsid w:val="412FA0A3"/>
    <w:rsid w:val="412FBEA7"/>
    <w:rsid w:val="41370A52"/>
    <w:rsid w:val="413DC45B"/>
    <w:rsid w:val="414BE27D"/>
    <w:rsid w:val="415E331A"/>
    <w:rsid w:val="41773909"/>
    <w:rsid w:val="41800BE4"/>
    <w:rsid w:val="4180BB8E"/>
    <w:rsid w:val="4194E547"/>
    <w:rsid w:val="4197FE7A"/>
    <w:rsid w:val="41B185BA"/>
    <w:rsid w:val="41BA04E8"/>
    <w:rsid w:val="41BD2C61"/>
    <w:rsid w:val="41D734C8"/>
    <w:rsid w:val="41DC7132"/>
    <w:rsid w:val="41EB2D58"/>
    <w:rsid w:val="4212B74D"/>
    <w:rsid w:val="4214AD90"/>
    <w:rsid w:val="42221396"/>
    <w:rsid w:val="4226337C"/>
    <w:rsid w:val="4235D4C5"/>
    <w:rsid w:val="4238FC8E"/>
    <w:rsid w:val="4241A796"/>
    <w:rsid w:val="42463042"/>
    <w:rsid w:val="425126DD"/>
    <w:rsid w:val="42581C8A"/>
    <w:rsid w:val="425C24C2"/>
    <w:rsid w:val="42609558"/>
    <w:rsid w:val="426B7D49"/>
    <w:rsid w:val="4278E867"/>
    <w:rsid w:val="4279F39F"/>
    <w:rsid w:val="427C8A67"/>
    <w:rsid w:val="428261B5"/>
    <w:rsid w:val="42833174"/>
    <w:rsid w:val="428947B9"/>
    <w:rsid w:val="428D6147"/>
    <w:rsid w:val="42AB9A81"/>
    <w:rsid w:val="42BC1FDD"/>
    <w:rsid w:val="42BE0AFA"/>
    <w:rsid w:val="42EB7187"/>
    <w:rsid w:val="42F15D1F"/>
    <w:rsid w:val="4315F122"/>
    <w:rsid w:val="431D208F"/>
    <w:rsid w:val="4320E374"/>
    <w:rsid w:val="432BF03B"/>
    <w:rsid w:val="4334A868"/>
    <w:rsid w:val="4336DA75"/>
    <w:rsid w:val="43435643"/>
    <w:rsid w:val="434B3D13"/>
    <w:rsid w:val="434F662B"/>
    <w:rsid w:val="4350189E"/>
    <w:rsid w:val="4358E17D"/>
    <w:rsid w:val="435CD149"/>
    <w:rsid w:val="4363B39A"/>
    <w:rsid w:val="436E309F"/>
    <w:rsid w:val="437B9494"/>
    <w:rsid w:val="4382C834"/>
    <w:rsid w:val="4385547F"/>
    <w:rsid w:val="438E7479"/>
    <w:rsid w:val="43A0B402"/>
    <w:rsid w:val="43A1BB59"/>
    <w:rsid w:val="43A24985"/>
    <w:rsid w:val="43AF2BED"/>
    <w:rsid w:val="43BF1166"/>
    <w:rsid w:val="43C81367"/>
    <w:rsid w:val="43D6C920"/>
    <w:rsid w:val="43DBE0DC"/>
    <w:rsid w:val="43E0F11D"/>
    <w:rsid w:val="43EB6DBA"/>
    <w:rsid w:val="43EB99B4"/>
    <w:rsid w:val="43FD4B40"/>
    <w:rsid w:val="4403184F"/>
    <w:rsid w:val="44177BFF"/>
    <w:rsid w:val="441CA5A4"/>
    <w:rsid w:val="442239D2"/>
    <w:rsid w:val="442E1E68"/>
    <w:rsid w:val="443D60DC"/>
    <w:rsid w:val="444086EB"/>
    <w:rsid w:val="44459EAE"/>
    <w:rsid w:val="444885F3"/>
    <w:rsid w:val="445090F4"/>
    <w:rsid w:val="4454CCB9"/>
    <w:rsid w:val="44560224"/>
    <w:rsid w:val="44560CBC"/>
    <w:rsid w:val="4460351D"/>
    <w:rsid w:val="446CA603"/>
    <w:rsid w:val="446EFC9E"/>
    <w:rsid w:val="447A523D"/>
    <w:rsid w:val="4480A1E6"/>
    <w:rsid w:val="4492ABFC"/>
    <w:rsid w:val="44A951CF"/>
    <w:rsid w:val="44B436A0"/>
    <w:rsid w:val="44B6F246"/>
    <w:rsid w:val="44BC5FDC"/>
    <w:rsid w:val="44E4CEDC"/>
    <w:rsid w:val="44F1C206"/>
    <w:rsid w:val="4504F625"/>
    <w:rsid w:val="45068F6B"/>
    <w:rsid w:val="450BD677"/>
    <w:rsid w:val="451EF6C1"/>
    <w:rsid w:val="451F5180"/>
    <w:rsid w:val="452D58E6"/>
    <w:rsid w:val="45350717"/>
    <w:rsid w:val="4540A8ED"/>
    <w:rsid w:val="4546229B"/>
    <w:rsid w:val="4549EC55"/>
    <w:rsid w:val="455067B7"/>
    <w:rsid w:val="455C98AC"/>
    <w:rsid w:val="4583757C"/>
    <w:rsid w:val="4585AD8B"/>
    <w:rsid w:val="4589A22D"/>
    <w:rsid w:val="458FB25A"/>
    <w:rsid w:val="459E690E"/>
    <w:rsid w:val="459F4D57"/>
    <w:rsid w:val="45A667FA"/>
    <w:rsid w:val="45ACFE9C"/>
    <w:rsid w:val="45B0402D"/>
    <w:rsid w:val="45BCAFDC"/>
    <w:rsid w:val="45C46792"/>
    <w:rsid w:val="45C5B1C8"/>
    <w:rsid w:val="45CCF0C1"/>
    <w:rsid w:val="45D994DB"/>
    <w:rsid w:val="45DCEF33"/>
    <w:rsid w:val="45E64C91"/>
    <w:rsid w:val="45EBE400"/>
    <w:rsid w:val="45F275B8"/>
    <w:rsid w:val="45F738F0"/>
    <w:rsid w:val="45F9C4D2"/>
    <w:rsid w:val="461750B1"/>
    <w:rsid w:val="4626D5F2"/>
    <w:rsid w:val="462E88AB"/>
    <w:rsid w:val="462FD908"/>
    <w:rsid w:val="463D823F"/>
    <w:rsid w:val="46467F9F"/>
    <w:rsid w:val="464CF899"/>
    <w:rsid w:val="464DA82D"/>
    <w:rsid w:val="4657704A"/>
    <w:rsid w:val="466032B8"/>
    <w:rsid w:val="467365B4"/>
    <w:rsid w:val="467B2320"/>
    <w:rsid w:val="468BC923"/>
    <w:rsid w:val="469921F2"/>
    <w:rsid w:val="46B33505"/>
    <w:rsid w:val="46B40681"/>
    <w:rsid w:val="46CCEF94"/>
    <w:rsid w:val="46CE9DF2"/>
    <w:rsid w:val="46D15801"/>
    <w:rsid w:val="46D203B4"/>
    <w:rsid w:val="46D2F741"/>
    <w:rsid w:val="46D8137C"/>
    <w:rsid w:val="46DCB4A8"/>
    <w:rsid w:val="46E0D438"/>
    <w:rsid w:val="46F584B9"/>
    <w:rsid w:val="46FF06E1"/>
    <w:rsid w:val="47000D15"/>
    <w:rsid w:val="47031D71"/>
    <w:rsid w:val="47072FCA"/>
    <w:rsid w:val="47076139"/>
    <w:rsid w:val="47165404"/>
    <w:rsid w:val="47179378"/>
    <w:rsid w:val="4723C339"/>
    <w:rsid w:val="472907B3"/>
    <w:rsid w:val="472E761A"/>
    <w:rsid w:val="472EB504"/>
    <w:rsid w:val="4734939E"/>
    <w:rsid w:val="474E1E21"/>
    <w:rsid w:val="474FD4FC"/>
    <w:rsid w:val="474FFB8A"/>
    <w:rsid w:val="4760E8EF"/>
    <w:rsid w:val="4777924F"/>
    <w:rsid w:val="477D9BCC"/>
    <w:rsid w:val="477E9C98"/>
    <w:rsid w:val="4795B7A9"/>
    <w:rsid w:val="4796A7FA"/>
    <w:rsid w:val="479C7A5D"/>
    <w:rsid w:val="47B8C00F"/>
    <w:rsid w:val="47CBDB3F"/>
    <w:rsid w:val="47CC122D"/>
    <w:rsid w:val="47CD1D78"/>
    <w:rsid w:val="47D20825"/>
    <w:rsid w:val="47D66EA6"/>
    <w:rsid w:val="47D6C13F"/>
    <w:rsid w:val="47E0F72A"/>
    <w:rsid w:val="47E41215"/>
    <w:rsid w:val="47E9DF24"/>
    <w:rsid w:val="47EA0192"/>
    <w:rsid w:val="47EAC545"/>
    <w:rsid w:val="47EC6FDC"/>
    <w:rsid w:val="47F8DAF2"/>
    <w:rsid w:val="480B5634"/>
    <w:rsid w:val="481D388F"/>
    <w:rsid w:val="4822CCBE"/>
    <w:rsid w:val="482A3CD3"/>
    <w:rsid w:val="482BFD61"/>
    <w:rsid w:val="48360593"/>
    <w:rsid w:val="483F46A1"/>
    <w:rsid w:val="48463B11"/>
    <w:rsid w:val="4850F35D"/>
    <w:rsid w:val="4855049C"/>
    <w:rsid w:val="485AA246"/>
    <w:rsid w:val="4861DC91"/>
    <w:rsid w:val="4876D78A"/>
    <w:rsid w:val="487E6E4E"/>
    <w:rsid w:val="488EE654"/>
    <w:rsid w:val="48932ED1"/>
    <w:rsid w:val="489E53DF"/>
    <w:rsid w:val="489F4330"/>
    <w:rsid w:val="48AE0EB0"/>
    <w:rsid w:val="48BA8C00"/>
    <w:rsid w:val="48C3FE88"/>
    <w:rsid w:val="48CB1BAA"/>
    <w:rsid w:val="48CFC0A0"/>
    <w:rsid w:val="48D0AC00"/>
    <w:rsid w:val="48D4E108"/>
    <w:rsid w:val="48DDF65B"/>
    <w:rsid w:val="48E30CB1"/>
    <w:rsid w:val="48ED75F9"/>
    <w:rsid w:val="48FAE3B6"/>
    <w:rsid w:val="490B9120"/>
    <w:rsid w:val="490CAE02"/>
    <w:rsid w:val="49136D48"/>
    <w:rsid w:val="4920C03D"/>
    <w:rsid w:val="49226BC6"/>
    <w:rsid w:val="49341549"/>
    <w:rsid w:val="49344D49"/>
    <w:rsid w:val="49478C5C"/>
    <w:rsid w:val="494D443B"/>
    <w:rsid w:val="4957B8B9"/>
    <w:rsid w:val="49646237"/>
    <w:rsid w:val="4967412E"/>
    <w:rsid w:val="49744D70"/>
    <w:rsid w:val="497A426D"/>
    <w:rsid w:val="497C5B07"/>
    <w:rsid w:val="498B7D44"/>
    <w:rsid w:val="498BE7B6"/>
    <w:rsid w:val="499199CA"/>
    <w:rsid w:val="4992A069"/>
    <w:rsid w:val="49934CA0"/>
    <w:rsid w:val="49B09823"/>
    <w:rsid w:val="49B5D0B4"/>
    <w:rsid w:val="49BE3D3D"/>
    <w:rsid w:val="49BED9CF"/>
    <w:rsid w:val="49CC5B81"/>
    <w:rsid w:val="49D565B6"/>
    <w:rsid w:val="49DE5D6A"/>
    <w:rsid w:val="49E2C08E"/>
    <w:rsid w:val="49F8CFDC"/>
    <w:rsid w:val="49FB1110"/>
    <w:rsid w:val="4A155881"/>
    <w:rsid w:val="4A17D965"/>
    <w:rsid w:val="4A191D85"/>
    <w:rsid w:val="4A20B225"/>
    <w:rsid w:val="4A2729CE"/>
    <w:rsid w:val="4A29652B"/>
    <w:rsid w:val="4A2FDA30"/>
    <w:rsid w:val="4A3A8F17"/>
    <w:rsid w:val="4A4CADA1"/>
    <w:rsid w:val="4A708CDA"/>
    <w:rsid w:val="4A81843E"/>
    <w:rsid w:val="4A83CC55"/>
    <w:rsid w:val="4A8B0DEF"/>
    <w:rsid w:val="4A95466F"/>
    <w:rsid w:val="4A9B92AF"/>
    <w:rsid w:val="4A9E46B1"/>
    <w:rsid w:val="4AB1DC0D"/>
    <w:rsid w:val="4AB4C2B3"/>
    <w:rsid w:val="4ABBCAE1"/>
    <w:rsid w:val="4ABFA8BF"/>
    <w:rsid w:val="4AC4C8D7"/>
    <w:rsid w:val="4AC88101"/>
    <w:rsid w:val="4ACA6004"/>
    <w:rsid w:val="4ACFFD6B"/>
    <w:rsid w:val="4AD537F7"/>
    <w:rsid w:val="4AD76F10"/>
    <w:rsid w:val="4ADA0BCE"/>
    <w:rsid w:val="4ADC13ED"/>
    <w:rsid w:val="4AEE1345"/>
    <w:rsid w:val="4AF50979"/>
    <w:rsid w:val="4AF6F820"/>
    <w:rsid w:val="4AF87A30"/>
    <w:rsid w:val="4AFCAC58"/>
    <w:rsid w:val="4B03FC86"/>
    <w:rsid w:val="4B1D6097"/>
    <w:rsid w:val="4B1E3CD7"/>
    <w:rsid w:val="4B322492"/>
    <w:rsid w:val="4B3245B3"/>
    <w:rsid w:val="4B44D50D"/>
    <w:rsid w:val="4B4E60C2"/>
    <w:rsid w:val="4B5099D4"/>
    <w:rsid w:val="4B5E5A21"/>
    <w:rsid w:val="4B6205B5"/>
    <w:rsid w:val="4B6D2F74"/>
    <w:rsid w:val="4B70A54A"/>
    <w:rsid w:val="4B74FAB8"/>
    <w:rsid w:val="4B8AE047"/>
    <w:rsid w:val="4B8CDEF2"/>
    <w:rsid w:val="4B8FE4E8"/>
    <w:rsid w:val="4B986122"/>
    <w:rsid w:val="4BB20A9C"/>
    <w:rsid w:val="4BB3A5F6"/>
    <w:rsid w:val="4BB831BA"/>
    <w:rsid w:val="4BBE1C96"/>
    <w:rsid w:val="4BC18EBB"/>
    <w:rsid w:val="4BCC1272"/>
    <w:rsid w:val="4BD31909"/>
    <w:rsid w:val="4BDE7134"/>
    <w:rsid w:val="4BDF4F46"/>
    <w:rsid w:val="4BF45E12"/>
    <w:rsid w:val="4BF6D460"/>
    <w:rsid w:val="4C0DD025"/>
    <w:rsid w:val="4C0E64F8"/>
    <w:rsid w:val="4C13DDEC"/>
    <w:rsid w:val="4C14B923"/>
    <w:rsid w:val="4C19C13A"/>
    <w:rsid w:val="4C236CAD"/>
    <w:rsid w:val="4C2563DD"/>
    <w:rsid w:val="4C28BDEF"/>
    <w:rsid w:val="4C5F3504"/>
    <w:rsid w:val="4C6B0D9A"/>
    <w:rsid w:val="4C7653DD"/>
    <w:rsid w:val="4C7EAED4"/>
    <w:rsid w:val="4C91E2CC"/>
    <w:rsid w:val="4C92802F"/>
    <w:rsid w:val="4C9AE531"/>
    <w:rsid w:val="4CA60049"/>
    <w:rsid w:val="4CABBA62"/>
    <w:rsid w:val="4CB0AC7A"/>
    <w:rsid w:val="4CB49CA4"/>
    <w:rsid w:val="4CBD3C3E"/>
    <w:rsid w:val="4CC14238"/>
    <w:rsid w:val="4CC71BC4"/>
    <w:rsid w:val="4CCFB191"/>
    <w:rsid w:val="4CD386B7"/>
    <w:rsid w:val="4CD8E1CC"/>
    <w:rsid w:val="4CE77612"/>
    <w:rsid w:val="4CF65E9C"/>
    <w:rsid w:val="4CFD4F70"/>
    <w:rsid w:val="4CFEC6A9"/>
    <w:rsid w:val="4D04355F"/>
    <w:rsid w:val="4D058F27"/>
    <w:rsid w:val="4D06815E"/>
    <w:rsid w:val="4D09CF1A"/>
    <w:rsid w:val="4D0A5481"/>
    <w:rsid w:val="4D1DA172"/>
    <w:rsid w:val="4D303603"/>
    <w:rsid w:val="4D45C6B2"/>
    <w:rsid w:val="4D48E589"/>
    <w:rsid w:val="4D4AA36C"/>
    <w:rsid w:val="4D4C603B"/>
    <w:rsid w:val="4D5D13E8"/>
    <w:rsid w:val="4D62421A"/>
    <w:rsid w:val="4D630882"/>
    <w:rsid w:val="4D65E4CA"/>
    <w:rsid w:val="4D7A3344"/>
    <w:rsid w:val="4D877B1B"/>
    <w:rsid w:val="4D9833B9"/>
    <w:rsid w:val="4D9BC05E"/>
    <w:rsid w:val="4DA1B4AB"/>
    <w:rsid w:val="4DA8DDB3"/>
    <w:rsid w:val="4DAAFB7F"/>
    <w:rsid w:val="4DACD5AD"/>
    <w:rsid w:val="4DB3928D"/>
    <w:rsid w:val="4DB3EC9C"/>
    <w:rsid w:val="4DBECCBC"/>
    <w:rsid w:val="4DC22326"/>
    <w:rsid w:val="4DCD1DE6"/>
    <w:rsid w:val="4DD309AD"/>
    <w:rsid w:val="4DD62996"/>
    <w:rsid w:val="4DDEA834"/>
    <w:rsid w:val="4DE0C1F8"/>
    <w:rsid w:val="4DE7A709"/>
    <w:rsid w:val="4DEA1885"/>
    <w:rsid w:val="4DFBE280"/>
    <w:rsid w:val="4DFCDCAF"/>
    <w:rsid w:val="4E03A7CD"/>
    <w:rsid w:val="4E0E9A13"/>
    <w:rsid w:val="4E163531"/>
    <w:rsid w:val="4E16A0D7"/>
    <w:rsid w:val="4E1A1890"/>
    <w:rsid w:val="4E1B114F"/>
    <w:rsid w:val="4E31C745"/>
    <w:rsid w:val="4E3A3DA2"/>
    <w:rsid w:val="4E3CD2C8"/>
    <w:rsid w:val="4E3D5571"/>
    <w:rsid w:val="4E3F9DC3"/>
    <w:rsid w:val="4E490A3D"/>
    <w:rsid w:val="4E49FE2B"/>
    <w:rsid w:val="4E5553A8"/>
    <w:rsid w:val="4E576683"/>
    <w:rsid w:val="4E60857C"/>
    <w:rsid w:val="4E7A7D91"/>
    <w:rsid w:val="4E7B1AA7"/>
    <w:rsid w:val="4E9E6613"/>
    <w:rsid w:val="4E9ECFD2"/>
    <w:rsid w:val="4E9F5268"/>
    <w:rsid w:val="4EA44CFD"/>
    <w:rsid w:val="4EB68678"/>
    <w:rsid w:val="4EB8D2EA"/>
    <w:rsid w:val="4EB9BE4C"/>
    <w:rsid w:val="4ED5541F"/>
    <w:rsid w:val="4EE3EE39"/>
    <w:rsid w:val="4EECAAC5"/>
    <w:rsid w:val="4EF1496D"/>
    <w:rsid w:val="4EF36ECC"/>
    <w:rsid w:val="4F0BA609"/>
    <w:rsid w:val="4F11530E"/>
    <w:rsid w:val="4F1CB280"/>
    <w:rsid w:val="4F25F8D0"/>
    <w:rsid w:val="4F26C622"/>
    <w:rsid w:val="4F3B5C2A"/>
    <w:rsid w:val="4F3BB9D7"/>
    <w:rsid w:val="4F47AF45"/>
    <w:rsid w:val="4F4BDD5D"/>
    <w:rsid w:val="4F57933F"/>
    <w:rsid w:val="4F5D85D4"/>
    <w:rsid w:val="4F6A6BB3"/>
    <w:rsid w:val="4F714293"/>
    <w:rsid w:val="4F917EAB"/>
    <w:rsid w:val="4F960D93"/>
    <w:rsid w:val="4FB3FC79"/>
    <w:rsid w:val="4FC293FF"/>
    <w:rsid w:val="4FC8BBDF"/>
    <w:rsid w:val="4FCBC75D"/>
    <w:rsid w:val="4FD55B26"/>
    <w:rsid w:val="4FF27280"/>
    <w:rsid w:val="501BCCA2"/>
    <w:rsid w:val="501D150B"/>
    <w:rsid w:val="5020E67B"/>
    <w:rsid w:val="5021364D"/>
    <w:rsid w:val="502C05B1"/>
    <w:rsid w:val="504127DB"/>
    <w:rsid w:val="50456D3C"/>
    <w:rsid w:val="505321DA"/>
    <w:rsid w:val="505C8014"/>
    <w:rsid w:val="505D6608"/>
    <w:rsid w:val="5067AEC8"/>
    <w:rsid w:val="5070C3E3"/>
    <w:rsid w:val="50763456"/>
    <w:rsid w:val="50783CF7"/>
    <w:rsid w:val="50845F8F"/>
    <w:rsid w:val="5094DC50"/>
    <w:rsid w:val="5099BAA3"/>
    <w:rsid w:val="509AC5F6"/>
    <w:rsid w:val="509B2B58"/>
    <w:rsid w:val="50A27DA1"/>
    <w:rsid w:val="50A5A4E8"/>
    <w:rsid w:val="50B27471"/>
    <w:rsid w:val="50C932C4"/>
    <w:rsid w:val="50CFFC89"/>
    <w:rsid w:val="50D9B964"/>
    <w:rsid w:val="50DEF1E1"/>
    <w:rsid w:val="50F32A1C"/>
    <w:rsid w:val="51032D43"/>
    <w:rsid w:val="5104EC61"/>
    <w:rsid w:val="511911A1"/>
    <w:rsid w:val="51209BA2"/>
    <w:rsid w:val="512E593E"/>
    <w:rsid w:val="513E31A4"/>
    <w:rsid w:val="51444297"/>
    <w:rsid w:val="514FA3E3"/>
    <w:rsid w:val="515335B9"/>
    <w:rsid w:val="5153B249"/>
    <w:rsid w:val="51563D0F"/>
    <w:rsid w:val="5158B9A4"/>
    <w:rsid w:val="515A6539"/>
    <w:rsid w:val="515D758C"/>
    <w:rsid w:val="5168D01A"/>
    <w:rsid w:val="5169DAA3"/>
    <w:rsid w:val="516B0417"/>
    <w:rsid w:val="517A12F9"/>
    <w:rsid w:val="518FF881"/>
    <w:rsid w:val="519F2CB1"/>
    <w:rsid w:val="51A60EB4"/>
    <w:rsid w:val="51AFDCB5"/>
    <w:rsid w:val="51B55E30"/>
    <w:rsid w:val="51BD5541"/>
    <w:rsid w:val="51C00046"/>
    <w:rsid w:val="51C90266"/>
    <w:rsid w:val="51D541B3"/>
    <w:rsid w:val="51DC2828"/>
    <w:rsid w:val="51E8AE82"/>
    <w:rsid w:val="5200F099"/>
    <w:rsid w:val="5202DD19"/>
    <w:rsid w:val="5206AA68"/>
    <w:rsid w:val="5207C52D"/>
    <w:rsid w:val="5228A6FB"/>
    <w:rsid w:val="52291370"/>
    <w:rsid w:val="5229E10D"/>
    <w:rsid w:val="5243438A"/>
    <w:rsid w:val="524801B2"/>
    <w:rsid w:val="524DF9EE"/>
    <w:rsid w:val="525B45F5"/>
    <w:rsid w:val="525B5C5C"/>
    <w:rsid w:val="52674EDE"/>
    <w:rsid w:val="526B1BE3"/>
    <w:rsid w:val="526BE60C"/>
    <w:rsid w:val="526F6BFA"/>
    <w:rsid w:val="5273F496"/>
    <w:rsid w:val="527525CE"/>
    <w:rsid w:val="527FD5DB"/>
    <w:rsid w:val="5284591C"/>
    <w:rsid w:val="5289723C"/>
    <w:rsid w:val="528CA8D7"/>
    <w:rsid w:val="52A0645C"/>
    <w:rsid w:val="52A446D4"/>
    <w:rsid w:val="52A5D6AE"/>
    <w:rsid w:val="52B0FE37"/>
    <w:rsid w:val="52B1FDB6"/>
    <w:rsid w:val="52B801E6"/>
    <w:rsid w:val="52C57824"/>
    <w:rsid w:val="52CA1033"/>
    <w:rsid w:val="52D5DF96"/>
    <w:rsid w:val="52DAFE07"/>
    <w:rsid w:val="52E5EDBA"/>
    <w:rsid w:val="52F4649A"/>
    <w:rsid w:val="52FAB253"/>
    <w:rsid w:val="52FC2E43"/>
    <w:rsid w:val="52FDBF5A"/>
    <w:rsid w:val="5310C488"/>
    <w:rsid w:val="531359A4"/>
    <w:rsid w:val="5316C7C6"/>
    <w:rsid w:val="5318D235"/>
    <w:rsid w:val="532206BE"/>
    <w:rsid w:val="5325F0DA"/>
    <w:rsid w:val="532D3C05"/>
    <w:rsid w:val="534B952A"/>
    <w:rsid w:val="53503BE1"/>
    <w:rsid w:val="5352934E"/>
    <w:rsid w:val="535B785B"/>
    <w:rsid w:val="53628FE4"/>
    <w:rsid w:val="5362FD02"/>
    <w:rsid w:val="536A984E"/>
    <w:rsid w:val="538C4B65"/>
    <w:rsid w:val="539BF2B2"/>
    <w:rsid w:val="53A92A41"/>
    <w:rsid w:val="53B0D40D"/>
    <w:rsid w:val="53B76B65"/>
    <w:rsid w:val="53CA092F"/>
    <w:rsid w:val="53CB35F2"/>
    <w:rsid w:val="53D6ED3D"/>
    <w:rsid w:val="53DD6419"/>
    <w:rsid w:val="53E1748A"/>
    <w:rsid w:val="53F13870"/>
    <w:rsid w:val="54206B99"/>
    <w:rsid w:val="542830E6"/>
    <w:rsid w:val="5428C296"/>
    <w:rsid w:val="543656A1"/>
    <w:rsid w:val="5440A7CD"/>
    <w:rsid w:val="54476920"/>
    <w:rsid w:val="544B850B"/>
    <w:rsid w:val="544BD4D4"/>
    <w:rsid w:val="544C7794"/>
    <w:rsid w:val="544FD05C"/>
    <w:rsid w:val="54593DAC"/>
    <w:rsid w:val="546010C2"/>
    <w:rsid w:val="5463F62F"/>
    <w:rsid w:val="54721C4C"/>
    <w:rsid w:val="547BA5F0"/>
    <w:rsid w:val="54869940"/>
    <w:rsid w:val="5495230E"/>
    <w:rsid w:val="54A283BD"/>
    <w:rsid w:val="54B52D7C"/>
    <w:rsid w:val="54C1F72A"/>
    <w:rsid w:val="54C3FFB1"/>
    <w:rsid w:val="54CE3B7E"/>
    <w:rsid w:val="54CF35F2"/>
    <w:rsid w:val="54E18D6A"/>
    <w:rsid w:val="54E4D27A"/>
    <w:rsid w:val="54E52DD5"/>
    <w:rsid w:val="54F0610F"/>
    <w:rsid w:val="54FD9A9E"/>
    <w:rsid w:val="5505E812"/>
    <w:rsid w:val="550EEF0D"/>
    <w:rsid w:val="55286AD8"/>
    <w:rsid w:val="5535283F"/>
    <w:rsid w:val="553C5B1E"/>
    <w:rsid w:val="5544EAB4"/>
    <w:rsid w:val="5547CAA3"/>
    <w:rsid w:val="554ADF01"/>
    <w:rsid w:val="555212A1"/>
    <w:rsid w:val="55540F43"/>
    <w:rsid w:val="55562D97"/>
    <w:rsid w:val="555967B4"/>
    <w:rsid w:val="556A2A15"/>
    <w:rsid w:val="556F8C5C"/>
    <w:rsid w:val="5573D0A1"/>
    <w:rsid w:val="5593C229"/>
    <w:rsid w:val="55B8DC16"/>
    <w:rsid w:val="55D32C86"/>
    <w:rsid w:val="55D513C7"/>
    <w:rsid w:val="55D585B9"/>
    <w:rsid w:val="55EB6D8A"/>
    <w:rsid w:val="55F5D5D4"/>
    <w:rsid w:val="55F7105A"/>
    <w:rsid w:val="55F7E3F7"/>
    <w:rsid w:val="560140E9"/>
    <w:rsid w:val="561F3837"/>
    <w:rsid w:val="562F09A8"/>
    <w:rsid w:val="562F4C58"/>
    <w:rsid w:val="562F96FC"/>
    <w:rsid w:val="563B27B5"/>
    <w:rsid w:val="563B86D8"/>
    <w:rsid w:val="565A590C"/>
    <w:rsid w:val="565F5747"/>
    <w:rsid w:val="5662E8A2"/>
    <w:rsid w:val="56631A78"/>
    <w:rsid w:val="56755269"/>
    <w:rsid w:val="56774E64"/>
    <w:rsid w:val="56856DB4"/>
    <w:rsid w:val="5687E514"/>
    <w:rsid w:val="56952C4F"/>
    <w:rsid w:val="569E7E79"/>
    <w:rsid w:val="56ADC3AE"/>
    <w:rsid w:val="56B99C34"/>
    <w:rsid w:val="56C0C6E7"/>
    <w:rsid w:val="56C2AC0B"/>
    <w:rsid w:val="56C6AE52"/>
    <w:rsid w:val="56E30D79"/>
    <w:rsid w:val="56E37BF1"/>
    <w:rsid w:val="56E565B2"/>
    <w:rsid w:val="56F91218"/>
    <w:rsid w:val="56FFD6C4"/>
    <w:rsid w:val="5702ABCA"/>
    <w:rsid w:val="5706955A"/>
    <w:rsid w:val="570D58C3"/>
    <w:rsid w:val="5710E48F"/>
    <w:rsid w:val="5715395E"/>
    <w:rsid w:val="571896EA"/>
    <w:rsid w:val="571936C2"/>
    <w:rsid w:val="571AC3DE"/>
    <w:rsid w:val="5735F5DA"/>
    <w:rsid w:val="57480172"/>
    <w:rsid w:val="574B3805"/>
    <w:rsid w:val="5756088A"/>
    <w:rsid w:val="575AA30B"/>
    <w:rsid w:val="575F0BD5"/>
    <w:rsid w:val="57885429"/>
    <w:rsid w:val="57910420"/>
    <w:rsid w:val="5794DC6D"/>
    <w:rsid w:val="579FCED8"/>
    <w:rsid w:val="57A3FBF7"/>
    <w:rsid w:val="57C149F1"/>
    <w:rsid w:val="57DAE194"/>
    <w:rsid w:val="57F6F3B6"/>
    <w:rsid w:val="57FB39DE"/>
    <w:rsid w:val="5809AB49"/>
    <w:rsid w:val="580C5C43"/>
    <w:rsid w:val="5810D91E"/>
    <w:rsid w:val="5810EF49"/>
    <w:rsid w:val="58231C57"/>
    <w:rsid w:val="582C0361"/>
    <w:rsid w:val="58308212"/>
    <w:rsid w:val="5836282E"/>
    <w:rsid w:val="5836A250"/>
    <w:rsid w:val="58476305"/>
    <w:rsid w:val="585E017E"/>
    <w:rsid w:val="5867EC08"/>
    <w:rsid w:val="586AD67D"/>
    <w:rsid w:val="586C82DA"/>
    <w:rsid w:val="586F1415"/>
    <w:rsid w:val="58753B33"/>
    <w:rsid w:val="58785053"/>
    <w:rsid w:val="58864503"/>
    <w:rsid w:val="58864851"/>
    <w:rsid w:val="588B0FD7"/>
    <w:rsid w:val="588B8373"/>
    <w:rsid w:val="588E8C05"/>
    <w:rsid w:val="58967DAF"/>
    <w:rsid w:val="589A9D65"/>
    <w:rsid w:val="589E5F41"/>
    <w:rsid w:val="58A03E44"/>
    <w:rsid w:val="58A3D83C"/>
    <w:rsid w:val="58A4BF83"/>
    <w:rsid w:val="58B143BC"/>
    <w:rsid w:val="58C2ECA8"/>
    <w:rsid w:val="58C39C47"/>
    <w:rsid w:val="58D9D4E6"/>
    <w:rsid w:val="58DBB2DE"/>
    <w:rsid w:val="58DCE4FB"/>
    <w:rsid w:val="58EA631B"/>
    <w:rsid w:val="58ECC687"/>
    <w:rsid w:val="58F520E5"/>
    <w:rsid w:val="58FD7AC3"/>
    <w:rsid w:val="5909E2BB"/>
    <w:rsid w:val="5917F51C"/>
    <w:rsid w:val="59261FB8"/>
    <w:rsid w:val="59334169"/>
    <w:rsid w:val="5934BBD2"/>
    <w:rsid w:val="593A12FE"/>
    <w:rsid w:val="593CA781"/>
    <w:rsid w:val="593D1140"/>
    <w:rsid w:val="5945B1A3"/>
    <w:rsid w:val="59473E8D"/>
    <w:rsid w:val="5949D154"/>
    <w:rsid w:val="59559D0D"/>
    <w:rsid w:val="595B2070"/>
    <w:rsid w:val="595B2330"/>
    <w:rsid w:val="596DE446"/>
    <w:rsid w:val="5973583F"/>
    <w:rsid w:val="59917D60"/>
    <w:rsid w:val="5991FF99"/>
    <w:rsid w:val="59B41B22"/>
    <w:rsid w:val="59B78299"/>
    <w:rsid w:val="59B92991"/>
    <w:rsid w:val="59BC4314"/>
    <w:rsid w:val="59CBE543"/>
    <w:rsid w:val="59D2C2D8"/>
    <w:rsid w:val="59D58E4C"/>
    <w:rsid w:val="59DD1245"/>
    <w:rsid w:val="59DE9F2F"/>
    <w:rsid w:val="59E1397D"/>
    <w:rsid w:val="59E1F5F5"/>
    <w:rsid w:val="59F3AED7"/>
    <w:rsid w:val="59FB0CB8"/>
    <w:rsid w:val="5A1E5024"/>
    <w:rsid w:val="5A1FCF3B"/>
    <w:rsid w:val="5A2139E9"/>
    <w:rsid w:val="5A2B4070"/>
    <w:rsid w:val="5A2CF532"/>
    <w:rsid w:val="5A3A03B4"/>
    <w:rsid w:val="5A3CC479"/>
    <w:rsid w:val="5A4621F7"/>
    <w:rsid w:val="5A4D31D4"/>
    <w:rsid w:val="5A4DE744"/>
    <w:rsid w:val="5A5AE11E"/>
    <w:rsid w:val="5A5DA92A"/>
    <w:rsid w:val="5A5E4246"/>
    <w:rsid w:val="5A5E8AA3"/>
    <w:rsid w:val="5A5F027E"/>
    <w:rsid w:val="5A5FC00E"/>
    <w:rsid w:val="5A68F741"/>
    <w:rsid w:val="5A6D6945"/>
    <w:rsid w:val="5A8B4106"/>
    <w:rsid w:val="5ABF3B57"/>
    <w:rsid w:val="5AC074ED"/>
    <w:rsid w:val="5AD50F53"/>
    <w:rsid w:val="5ADDE678"/>
    <w:rsid w:val="5AE90611"/>
    <w:rsid w:val="5AE9B3B4"/>
    <w:rsid w:val="5AEAAA1D"/>
    <w:rsid w:val="5AF313C3"/>
    <w:rsid w:val="5B09094E"/>
    <w:rsid w:val="5B0EBE31"/>
    <w:rsid w:val="5B0EF774"/>
    <w:rsid w:val="5B290F6A"/>
    <w:rsid w:val="5B3C4031"/>
    <w:rsid w:val="5B436AE6"/>
    <w:rsid w:val="5B56F230"/>
    <w:rsid w:val="5B5B7554"/>
    <w:rsid w:val="5B874E53"/>
    <w:rsid w:val="5B90F6D9"/>
    <w:rsid w:val="5BA82130"/>
    <w:rsid w:val="5BAC4C74"/>
    <w:rsid w:val="5BB332FB"/>
    <w:rsid w:val="5BCA21D4"/>
    <w:rsid w:val="5BCBE741"/>
    <w:rsid w:val="5BD23DA1"/>
    <w:rsid w:val="5BD327D6"/>
    <w:rsid w:val="5BED22B7"/>
    <w:rsid w:val="5BF1BE41"/>
    <w:rsid w:val="5BF508D0"/>
    <w:rsid w:val="5BF825F3"/>
    <w:rsid w:val="5C007FBB"/>
    <w:rsid w:val="5C030ED7"/>
    <w:rsid w:val="5C126FF0"/>
    <w:rsid w:val="5C12C5B3"/>
    <w:rsid w:val="5C13DD58"/>
    <w:rsid w:val="5C14CED6"/>
    <w:rsid w:val="5C19E898"/>
    <w:rsid w:val="5C2C2559"/>
    <w:rsid w:val="5C336F50"/>
    <w:rsid w:val="5C391A35"/>
    <w:rsid w:val="5C3996F2"/>
    <w:rsid w:val="5C3BE374"/>
    <w:rsid w:val="5C474029"/>
    <w:rsid w:val="5C786048"/>
    <w:rsid w:val="5C7B00EA"/>
    <w:rsid w:val="5C7BBC48"/>
    <w:rsid w:val="5C7D098C"/>
    <w:rsid w:val="5C7EECBD"/>
    <w:rsid w:val="5C806992"/>
    <w:rsid w:val="5C9114C1"/>
    <w:rsid w:val="5C9C10E1"/>
    <w:rsid w:val="5C9DDC61"/>
    <w:rsid w:val="5CACE15D"/>
    <w:rsid w:val="5CC75CB3"/>
    <w:rsid w:val="5CC76F81"/>
    <w:rsid w:val="5CD5DEFF"/>
    <w:rsid w:val="5CEA1750"/>
    <w:rsid w:val="5CEC6C71"/>
    <w:rsid w:val="5D0C46C6"/>
    <w:rsid w:val="5D10EDB4"/>
    <w:rsid w:val="5D11E196"/>
    <w:rsid w:val="5D239099"/>
    <w:rsid w:val="5D5184C3"/>
    <w:rsid w:val="5D698EA5"/>
    <w:rsid w:val="5D6BB406"/>
    <w:rsid w:val="5D703CA0"/>
    <w:rsid w:val="5D71E0B1"/>
    <w:rsid w:val="5D7CFEEB"/>
    <w:rsid w:val="5D858AEE"/>
    <w:rsid w:val="5D888240"/>
    <w:rsid w:val="5D987A2B"/>
    <w:rsid w:val="5DA63847"/>
    <w:rsid w:val="5DA6F565"/>
    <w:rsid w:val="5DC15992"/>
    <w:rsid w:val="5DC384D4"/>
    <w:rsid w:val="5DD2EA58"/>
    <w:rsid w:val="5DD94A5F"/>
    <w:rsid w:val="5DE96155"/>
    <w:rsid w:val="5DEE5714"/>
    <w:rsid w:val="5DF9BDA6"/>
    <w:rsid w:val="5E0D3601"/>
    <w:rsid w:val="5E14431F"/>
    <w:rsid w:val="5E2C00CB"/>
    <w:rsid w:val="5E3949D3"/>
    <w:rsid w:val="5E3F61E3"/>
    <w:rsid w:val="5E465CA9"/>
    <w:rsid w:val="5E5D5A84"/>
    <w:rsid w:val="5E64D6DD"/>
    <w:rsid w:val="5E6DCF64"/>
    <w:rsid w:val="5E70E7B7"/>
    <w:rsid w:val="5E809574"/>
    <w:rsid w:val="5E8AE4CD"/>
    <w:rsid w:val="5E93C889"/>
    <w:rsid w:val="5E9A3E23"/>
    <w:rsid w:val="5EA3DD3B"/>
    <w:rsid w:val="5EA7DCC1"/>
    <w:rsid w:val="5EA8C7E5"/>
    <w:rsid w:val="5EAC9787"/>
    <w:rsid w:val="5EB232C0"/>
    <w:rsid w:val="5EB34F2B"/>
    <w:rsid w:val="5EBD13A8"/>
    <w:rsid w:val="5EBDDF7E"/>
    <w:rsid w:val="5ECA60EE"/>
    <w:rsid w:val="5ED9F9EF"/>
    <w:rsid w:val="5EE21776"/>
    <w:rsid w:val="5EF840C9"/>
    <w:rsid w:val="5F130805"/>
    <w:rsid w:val="5F1C49E7"/>
    <w:rsid w:val="5F1F2A1F"/>
    <w:rsid w:val="5F2A55F6"/>
    <w:rsid w:val="5F35FBC3"/>
    <w:rsid w:val="5F39B72B"/>
    <w:rsid w:val="5F41005F"/>
    <w:rsid w:val="5F4642B9"/>
    <w:rsid w:val="5F70FF18"/>
    <w:rsid w:val="5F846687"/>
    <w:rsid w:val="5F85D559"/>
    <w:rsid w:val="5F886E04"/>
    <w:rsid w:val="5F90F5DB"/>
    <w:rsid w:val="5F989413"/>
    <w:rsid w:val="5FACEBCD"/>
    <w:rsid w:val="5FAD418D"/>
    <w:rsid w:val="5FBA1D65"/>
    <w:rsid w:val="5FBDFA8A"/>
    <w:rsid w:val="5FBF4291"/>
    <w:rsid w:val="5FE59D75"/>
    <w:rsid w:val="60371D56"/>
    <w:rsid w:val="603CBCB7"/>
    <w:rsid w:val="60491DB1"/>
    <w:rsid w:val="605C13DB"/>
    <w:rsid w:val="60624EFB"/>
    <w:rsid w:val="6062BDD4"/>
    <w:rsid w:val="606D9F6D"/>
    <w:rsid w:val="6088E691"/>
    <w:rsid w:val="609110BB"/>
    <w:rsid w:val="60913C1D"/>
    <w:rsid w:val="6096B668"/>
    <w:rsid w:val="60AF5D29"/>
    <w:rsid w:val="60BBEFF0"/>
    <w:rsid w:val="60CD3EAD"/>
    <w:rsid w:val="60D10055"/>
    <w:rsid w:val="60D5EB37"/>
    <w:rsid w:val="60D6B9C2"/>
    <w:rsid w:val="60DCCA7B"/>
    <w:rsid w:val="60E1320D"/>
    <w:rsid w:val="60E297E0"/>
    <w:rsid w:val="60E849A2"/>
    <w:rsid w:val="60F5CE5B"/>
    <w:rsid w:val="60FE751C"/>
    <w:rsid w:val="60FF8541"/>
    <w:rsid w:val="610A004C"/>
    <w:rsid w:val="6110203E"/>
    <w:rsid w:val="611BFE86"/>
    <w:rsid w:val="6120D8BA"/>
    <w:rsid w:val="612765B4"/>
    <w:rsid w:val="613A5FA6"/>
    <w:rsid w:val="614E738A"/>
    <w:rsid w:val="61547E57"/>
    <w:rsid w:val="61672A2A"/>
    <w:rsid w:val="61763F37"/>
    <w:rsid w:val="617A6334"/>
    <w:rsid w:val="617EB8A2"/>
    <w:rsid w:val="617FFE6D"/>
    <w:rsid w:val="618A985D"/>
    <w:rsid w:val="618A9F99"/>
    <w:rsid w:val="61A1D20B"/>
    <w:rsid w:val="61A4451B"/>
    <w:rsid w:val="61A7329E"/>
    <w:rsid w:val="61B3C96E"/>
    <w:rsid w:val="61BBC886"/>
    <w:rsid w:val="61C1681E"/>
    <w:rsid w:val="61C63FF7"/>
    <w:rsid w:val="61C98119"/>
    <w:rsid w:val="61CB2BE2"/>
    <w:rsid w:val="61D169DB"/>
    <w:rsid w:val="61D8C4B9"/>
    <w:rsid w:val="61F16882"/>
    <w:rsid w:val="61F1B216"/>
    <w:rsid w:val="61F24244"/>
    <w:rsid w:val="61F7FBE5"/>
    <w:rsid w:val="61F87A57"/>
    <w:rsid w:val="61FB45C3"/>
    <w:rsid w:val="61FC12AA"/>
    <w:rsid w:val="6214B708"/>
    <w:rsid w:val="6217FEF9"/>
    <w:rsid w:val="622D2A97"/>
    <w:rsid w:val="62487320"/>
    <w:rsid w:val="624F04AA"/>
    <w:rsid w:val="6274EEA5"/>
    <w:rsid w:val="627BD78A"/>
    <w:rsid w:val="6282A061"/>
    <w:rsid w:val="6287394C"/>
    <w:rsid w:val="6289BFE9"/>
    <w:rsid w:val="628A9601"/>
    <w:rsid w:val="629B9F34"/>
    <w:rsid w:val="62A9582F"/>
    <w:rsid w:val="62B025A0"/>
    <w:rsid w:val="62B1B941"/>
    <w:rsid w:val="62B21454"/>
    <w:rsid w:val="62C9E5DE"/>
    <w:rsid w:val="62CB05CB"/>
    <w:rsid w:val="62CCEADD"/>
    <w:rsid w:val="62DE4C5A"/>
    <w:rsid w:val="62E372EC"/>
    <w:rsid w:val="62F749BC"/>
    <w:rsid w:val="630787C4"/>
    <w:rsid w:val="6312E6B5"/>
    <w:rsid w:val="6317C4D2"/>
    <w:rsid w:val="6318C24B"/>
    <w:rsid w:val="631AC913"/>
    <w:rsid w:val="63213073"/>
    <w:rsid w:val="63241E1B"/>
    <w:rsid w:val="632636BF"/>
    <w:rsid w:val="6332E1C8"/>
    <w:rsid w:val="6354546F"/>
    <w:rsid w:val="63550A86"/>
    <w:rsid w:val="636E736C"/>
    <w:rsid w:val="636F82A1"/>
    <w:rsid w:val="6390AD04"/>
    <w:rsid w:val="63937D6E"/>
    <w:rsid w:val="639EEDB2"/>
    <w:rsid w:val="63A4A967"/>
    <w:rsid w:val="63A52389"/>
    <w:rsid w:val="63A57E48"/>
    <w:rsid w:val="63A8C350"/>
    <w:rsid w:val="63AB7295"/>
    <w:rsid w:val="63B0141B"/>
    <w:rsid w:val="63BCB81C"/>
    <w:rsid w:val="63CB1C1F"/>
    <w:rsid w:val="63D63358"/>
    <w:rsid w:val="63DA4B34"/>
    <w:rsid w:val="63E2803E"/>
    <w:rsid w:val="63E50DCA"/>
    <w:rsid w:val="63EC020E"/>
    <w:rsid w:val="63EFD762"/>
    <w:rsid w:val="63F164F3"/>
    <w:rsid w:val="63FA43F3"/>
    <w:rsid w:val="6400BC98"/>
    <w:rsid w:val="64036A13"/>
    <w:rsid w:val="64066A2B"/>
    <w:rsid w:val="64205547"/>
    <w:rsid w:val="642E4E2C"/>
    <w:rsid w:val="643AE60B"/>
    <w:rsid w:val="644690B2"/>
    <w:rsid w:val="644DCA1A"/>
    <w:rsid w:val="644F6352"/>
    <w:rsid w:val="64618EDF"/>
    <w:rsid w:val="64632D0E"/>
    <w:rsid w:val="647AEDBC"/>
    <w:rsid w:val="648E300A"/>
    <w:rsid w:val="64965776"/>
    <w:rsid w:val="64A754E4"/>
    <w:rsid w:val="64A88DBC"/>
    <w:rsid w:val="64A9B341"/>
    <w:rsid w:val="64B04921"/>
    <w:rsid w:val="64B85252"/>
    <w:rsid w:val="64BDCD91"/>
    <w:rsid w:val="64BFE0C4"/>
    <w:rsid w:val="64C2DC95"/>
    <w:rsid w:val="64C37C36"/>
    <w:rsid w:val="64C42822"/>
    <w:rsid w:val="64C6CB9D"/>
    <w:rsid w:val="64C76D65"/>
    <w:rsid w:val="64C7DDD8"/>
    <w:rsid w:val="64CEBE94"/>
    <w:rsid w:val="64DEC5C2"/>
    <w:rsid w:val="64EA1481"/>
    <w:rsid w:val="64EC16CD"/>
    <w:rsid w:val="64F39F06"/>
    <w:rsid w:val="64FDB14B"/>
    <w:rsid w:val="650E6486"/>
    <w:rsid w:val="6517D3E5"/>
    <w:rsid w:val="651AD8CF"/>
    <w:rsid w:val="651BA58A"/>
    <w:rsid w:val="652DE5A9"/>
    <w:rsid w:val="6540DD3E"/>
    <w:rsid w:val="654FDDFB"/>
    <w:rsid w:val="6562D399"/>
    <w:rsid w:val="65665A35"/>
    <w:rsid w:val="65789C61"/>
    <w:rsid w:val="658AE982"/>
    <w:rsid w:val="6595E38E"/>
    <w:rsid w:val="65A2AF3B"/>
    <w:rsid w:val="65A6301F"/>
    <w:rsid w:val="65B2EB0D"/>
    <w:rsid w:val="65B874BE"/>
    <w:rsid w:val="65BC0073"/>
    <w:rsid w:val="65BD9350"/>
    <w:rsid w:val="65C77A0C"/>
    <w:rsid w:val="65CAFE6E"/>
    <w:rsid w:val="65CEA06E"/>
    <w:rsid w:val="65D58547"/>
    <w:rsid w:val="65DA910B"/>
    <w:rsid w:val="65DD7E12"/>
    <w:rsid w:val="65DFE851"/>
    <w:rsid w:val="65EA64C2"/>
    <w:rsid w:val="65F93D3C"/>
    <w:rsid w:val="6608E2FD"/>
    <w:rsid w:val="660CCD34"/>
    <w:rsid w:val="66170C7B"/>
    <w:rsid w:val="661F2551"/>
    <w:rsid w:val="662360AC"/>
    <w:rsid w:val="66400E7A"/>
    <w:rsid w:val="6641C9F9"/>
    <w:rsid w:val="6647C92F"/>
    <w:rsid w:val="664BB515"/>
    <w:rsid w:val="664D26E0"/>
    <w:rsid w:val="666873A5"/>
    <w:rsid w:val="666A3EDD"/>
    <w:rsid w:val="668DB607"/>
    <w:rsid w:val="669D531A"/>
    <w:rsid w:val="669DCD2F"/>
    <w:rsid w:val="66AB1EC2"/>
    <w:rsid w:val="66AC19F9"/>
    <w:rsid w:val="66AEE750"/>
    <w:rsid w:val="66BCDA22"/>
    <w:rsid w:val="66C2B081"/>
    <w:rsid w:val="66DEDADA"/>
    <w:rsid w:val="67002504"/>
    <w:rsid w:val="67044EC6"/>
    <w:rsid w:val="6714D169"/>
    <w:rsid w:val="671E2A4D"/>
    <w:rsid w:val="672622A5"/>
    <w:rsid w:val="672B629A"/>
    <w:rsid w:val="673DAFBB"/>
    <w:rsid w:val="67434A6F"/>
    <w:rsid w:val="674D2EF6"/>
    <w:rsid w:val="674F6147"/>
    <w:rsid w:val="675C5BBD"/>
    <w:rsid w:val="675E97D1"/>
    <w:rsid w:val="6766F042"/>
    <w:rsid w:val="676D4F21"/>
    <w:rsid w:val="676F4F68"/>
    <w:rsid w:val="67717A82"/>
    <w:rsid w:val="67766A7C"/>
    <w:rsid w:val="6780CCCD"/>
    <w:rsid w:val="678869D1"/>
    <w:rsid w:val="67A6E2C0"/>
    <w:rsid w:val="67B993D7"/>
    <w:rsid w:val="67BB3B5A"/>
    <w:rsid w:val="67BCB496"/>
    <w:rsid w:val="67CE0025"/>
    <w:rsid w:val="67EA164D"/>
    <w:rsid w:val="67F90F3F"/>
    <w:rsid w:val="67FA9C49"/>
    <w:rsid w:val="681912A5"/>
    <w:rsid w:val="68417303"/>
    <w:rsid w:val="68446A05"/>
    <w:rsid w:val="6847F7D2"/>
    <w:rsid w:val="685FCD86"/>
    <w:rsid w:val="686AAEBC"/>
    <w:rsid w:val="68710CC8"/>
    <w:rsid w:val="687D4F71"/>
    <w:rsid w:val="6892E116"/>
    <w:rsid w:val="689A29DC"/>
    <w:rsid w:val="689C025C"/>
    <w:rsid w:val="689C2E95"/>
    <w:rsid w:val="68A5D5B8"/>
    <w:rsid w:val="68B2938D"/>
    <w:rsid w:val="68B62ECD"/>
    <w:rsid w:val="68B7612E"/>
    <w:rsid w:val="68BFF414"/>
    <w:rsid w:val="68C5F973"/>
    <w:rsid w:val="68C687AF"/>
    <w:rsid w:val="68CA57C2"/>
    <w:rsid w:val="68D58B83"/>
    <w:rsid w:val="68D94EF6"/>
    <w:rsid w:val="68DA1C99"/>
    <w:rsid w:val="68E1C861"/>
    <w:rsid w:val="68F0794D"/>
    <w:rsid w:val="68F07F15"/>
    <w:rsid w:val="690EC5E3"/>
    <w:rsid w:val="690F07D3"/>
    <w:rsid w:val="691681C5"/>
    <w:rsid w:val="691C0F53"/>
    <w:rsid w:val="691D35CE"/>
    <w:rsid w:val="69216E88"/>
    <w:rsid w:val="692F053A"/>
    <w:rsid w:val="692FDACB"/>
    <w:rsid w:val="69377FA7"/>
    <w:rsid w:val="69385ECE"/>
    <w:rsid w:val="693E85CD"/>
    <w:rsid w:val="6944A7F7"/>
    <w:rsid w:val="6950EDBE"/>
    <w:rsid w:val="6953390E"/>
    <w:rsid w:val="695D77A7"/>
    <w:rsid w:val="696BAEF6"/>
    <w:rsid w:val="697BA83D"/>
    <w:rsid w:val="697D3E8F"/>
    <w:rsid w:val="6981EF0F"/>
    <w:rsid w:val="698D4E16"/>
    <w:rsid w:val="698F9846"/>
    <w:rsid w:val="69A19880"/>
    <w:rsid w:val="69A2C289"/>
    <w:rsid w:val="69BDE15E"/>
    <w:rsid w:val="69CE8098"/>
    <w:rsid w:val="69D0571E"/>
    <w:rsid w:val="69D0ED35"/>
    <w:rsid w:val="69D5F9E3"/>
    <w:rsid w:val="69EBEB62"/>
    <w:rsid w:val="69EC4094"/>
    <w:rsid w:val="69FA4A67"/>
    <w:rsid w:val="69FAF65A"/>
    <w:rsid w:val="6A25AE7A"/>
    <w:rsid w:val="6A462F97"/>
    <w:rsid w:val="6A4BC3C5"/>
    <w:rsid w:val="6A60C781"/>
    <w:rsid w:val="6A61C9D4"/>
    <w:rsid w:val="6A708AB2"/>
    <w:rsid w:val="6A740DEC"/>
    <w:rsid w:val="6A75D940"/>
    <w:rsid w:val="6A77A2D6"/>
    <w:rsid w:val="6A7B8FDF"/>
    <w:rsid w:val="6A7C2278"/>
    <w:rsid w:val="6A8E8617"/>
    <w:rsid w:val="6AA1EB03"/>
    <w:rsid w:val="6AB4561F"/>
    <w:rsid w:val="6ADDB1F1"/>
    <w:rsid w:val="6AE414D3"/>
    <w:rsid w:val="6AE93DF5"/>
    <w:rsid w:val="6AEE9064"/>
    <w:rsid w:val="6AF5AB89"/>
    <w:rsid w:val="6AF85CA2"/>
    <w:rsid w:val="6B09B1AF"/>
    <w:rsid w:val="6B150080"/>
    <w:rsid w:val="6B1ACA36"/>
    <w:rsid w:val="6B1DA642"/>
    <w:rsid w:val="6B241E2C"/>
    <w:rsid w:val="6B24460F"/>
    <w:rsid w:val="6B326BC6"/>
    <w:rsid w:val="6B4176B3"/>
    <w:rsid w:val="6B5214D8"/>
    <w:rsid w:val="6B538118"/>
    <w:rsid w:val="6B5E5444"/>
    <w:rsid w:val="6B64F39E"/>
    <w:rsid w:val="6B72752A"/>
    <w:rsid w:val="6B823673"/>
    <w:rsid w:val="6B8B419A"/>
    <w:rsid w:val="6B92495F"/>
    <w:rsid w:val="6B9468DB"/>
    <w:rsid w:val="6BB2AD5B"/>
    <w:rsid w:val="6BB307BF"/>
    <w:rsid w:val="6BBF7D31"/>
    <w:rsid w:val="6BC906D3"/>
    <w:rsid w:val="6BCB2B6A"/>
    <w:rsid w:val="6BD9D17C"/>
    <w:rsid w:val="6BDB651C"/>
    <w:rsid w:val="6BF3E15A"/>
    <w:rsid w:val="6C08E55F"/>
    <w:rsid w:val="6C126940"/>
    <w:rsid w:val="6C14E64B"/>
    <w:rsid w:val="6C1C7B71"/>
    <w:rsid w:val="6C1D31B1"/>
    <w:rsid w:val="6C219364"/>
    <w:rsid w:val="6C251855"/>
    <w:rsid w:val="6C258EBA"/>
    <w:rsid w:val="6C331CB5"/>
    <w:rsid w:val="6C3839A4"/>
    <w:rsid w:val="6C3A438F"/>
    <w:rsid w:val="6C56826B"/>
    <w:rsid w:val="6C65834F"/>
    <w:rsid w:val="6C79B9D8"/>
    <w:rsid w:val="6C7FEF76"/>
    <w:rsid w:val="6C8075FE"/>
    <w:rsid w:val="6C84564D"/>
    <w:rsid w:val="6C99A263"/>
    <w:rsid w:val="6C9E4157"/>
    <w:rsid w:val="6C9F5A42"/>
    <w:rsid w:val="6CAA87DA"/>
    <w:rsid w:val="6CADC330"/>
    <w:rsid w:val="6CBCEC95"/>
    <w:rsid w:val="6CC0C377"/>
    <w:rsid w:val="6CD78EE7"/>
    <w:rsid w:val="6CD8F08B"/>
    <w:rsid w:val="6CDDFDBD"/>
    <w:rsid w:val="6CE3AFD1"/>
    <w:rsid w:val="6CE3C72F"/>
    <w:rsid w:val="6D05D608"/>
    <w:rsid w:val="6D0693D2"/>
    <w:rsid w:val="6D08BA38"/>
    <w:rsid w:val="6D0994AE"/>
    <w:rsid w:val="6D0A99B2"/>
    <w:rsid w:val="6D105344"/>
    <w:rsid w:val="6D3A2448"/>
    <w:rsid w:val="6D3E447D"/>
    <w:rsid w:val="6D430550"/>
    <w:rsid w:val="6D46E3BE"/>
    <w:rsid w:val="6D4DB6BC"/>
    <w:rsid w:val="6D581752"/>
    <w:rsid w:val="6D60C293"/>
    <w:rsid w:val="6D617067"/>
    <w:rsid w:val="6D676EE8"/>
    <w:rsid w:val="6D6F02B7"/>
    <w:rsid w:val="6D87EE0A"/>
    <w:rsid w:val="6D8C8B5D"/>
    <w:rsid w:val="6D8DF98D"/>
    <w:rsid w:val="6D999048"/>
    <w:rsid w:val="6DA25E2F"/>
    <w:rsid w:val="6DA87B59"/>
    <w:rsid w:val="6DAAA718"/>
    <w:rsid w:val="6DB9128A"/>
    <w:rsid w:val="6DBE0512"/>
    <w:rsid w:val="6DC52761"/>
    <w:rsid w:val="6DC8CB92"/>
    <w:rsid w:val="6DF9E801"/>
    <w:rsid w:val="6E00B1A0"/>
    <w:rsid w:val="6E14CB2D"/>
    <w:rsid w:val="6E1A9708"/>
    <w:rsid w:val="6E34D0D3"/>
    <w:rsid w:val="6E358F6A"/>
    <w:rsid w:val="6E40294C"/>
    <w:rsid w:val="6E4EC25F"/>
    <w:rsid w:val="6E5DD083"/>
    <w:rsid w:val="6E5F7E5C"/>
    <w:rsid w:val="6E7543DF"/>
    <w:rsid w:val="6E87B9E0"/>
    <w:rsid w:val="6E8CA1A4"/>
    <w:rsid w:val="6E951BBF"/>
    <w:rsid w:val="6E9589A6"/>
    <w:rsid w:val="6E9D2ACC"/>
    <w:rsid w:val="6EA076C9"/>
    <w:rsid w:val="6EA1CE90"/>
    <w:rsid w:val="6EB5CC00"/>
    <w:rsid w:val="6EB79F14"/>
    <w:rsid w:val="6EB961BD"/>
    <w:rsid w:val="6EC550D2"/>
    <w:rsid w:val="6EC8568A"/>
    <w:rsid w:val="6ED2CD03"/>
    <w:rsid w:val="6EEC8DDC"/>
    <w:rsid w:val="6EF207C1"/>
    <w:rsid w:val="6F0C2FEE"/>
    <w:rsid w:val="6F139A7A"/>
    <w:rsid w:val="6F186BF9"/>
    <w:rsid w:val="6F27A3CB"/>
    <w:rsid w:val="6F429195"/>
    <w:rsid w:val="6F5795AA"/>
    <w:rsid w:val="6F5EF7F3"/>
    <w:rsid w:val="6F64DE5A"/>
    <w:rsid w:val="6F7582B4"/>
    <w:rsid w:val="6F768DD5"/>
    <w:rsid w:val="6F77A845"/>
    <w:rsid w:val="6F93B862"/>
    <w:rsid w:val="6F998023"/>
    <w:rsid w:val="6FB511EB"/>
    <w:rsid w:val="6FC2E77B"/>
    <w:rsid w:val="6FCF2472"/>
    <w:rsid w:val="6FE319CC"/>
    <w:rsid w:val="6FF84D4D"/>
    <w:rsid w:val="6FFA688B"/>
    <w:rsid w:val="6FFD6CC1"/>
    <w:rsid w:val="7004D8AF"/>
    <w:rsid w:val="701344B2"/>
    <w:rsid w:val="702AF7D3"/>
    <w:rsid w:val="7030490B"/>
    <w:rsid w:val="70398C19"/>
    <w:rsid w:val="703C0B6C"/>
    <w:rsid w:val="703E43CF"/>
    <w:rsid w:val="703FA1D9"/>
    <w:rsid w:val="7044085A"/>
    <w:rsid w:val="704FDFE1"/>
    <w:rsid w:val="7050DCB0"/>
    <w:rsid w:val="70589765"/>
    <w:rsid w:val="705A0AF1"/>
    <w:rsid w:val="705CDA95"/>
    <w:rsid w:val="70698890"/>
    <w:rsid w:val="708812EC"/>
    <w:rsid w:val="708CC53E"/>
    <w:rsid w:val="708F33AA"/>
    <w:rsid w:val="7092E519"/>
    <w:rsid w:val="709A8DB4"/>
    <w:rsid w:val="709CB973"/>
    <w:rsid w:val="70A1C9D6"/>
    <w:rsid w:val="70A3C4DE"/>
    <w:rsid w:val="70A54909"/>
    <w:rsid w:val="70B1A823"/>
    <w:rsid w:val="70B5369D"/>
    <w:rsid w:val="70B7F039"/>
    <w:rsid w:val="70B81680"/>
    <w:rsid w:val="70BEEFB5"/>
    <w:rsid w:val="70C2506F"/>
    <w:rsid w:val="70D0B149"/>
    <w:rsid w:val="70D83040"/>
    <w:rsid w:val="70DB7269"/>
    <w:rsid w:val="70F3CAB2"/>
    <w:rsid w:val="70F9FC54"/>
    <w:rsid w:val="71044913"/>
    <w:rsid w:val="710602A3"/>
    <w:rsid w:val="71099097"/>
    <w:rsid w:val="710E83BE"/>
    <w:rsid w:val="711741C5"/>
    <w:rsid w:val="711F33ED"/>
    <w:rsid w:val="712B1A71"/>
    <w:rsid w:val="712D99B3"/>
    <w:rsid w:val="712E0795"/>
    <w:rsid w:val="714BC230"/>
    <w:rsid w:val="714DF887"/>
    <w:rsid w:val="715D6829"/>
    <w:rsid w:val="7189ED66"/>
    <w:rsid w:val="718EE8CF"/>
    <w:rsid w:val="718F30A5"/>
    <w:rsid w:val="71962237"/>
    <w:rsid w:val="71B26A44"/>
    <w:rsid w:val="71B6DD5D"/>
    <w:rsid w:val="71BA68E5"/>
    <w:rsid w:val="71CB371A"/>
    <w:rsid w:val="71CF0FF9"/>
    <w:rsid w:val="71D202AE"/>
    <w:rsid w:val="71D9D9D6"/>
    <w:rsid w:val="71F0C516"/>
    <w:rsid w:val="71F13DEA"/>
    <w:rsid w:val="71FC5A1C"/>
    <w:rsid w:val="7208E5EC"/>
    <w:rsid w:val="720BEB3E"/>
    <w:rsid w:val="721163CE"/>
    <w:rsid w:val="721D6889"/>
    <w:rsid w:val="721F1CD7"/>
    <w:rsid w:val="722ACAA2"/>
    <w:rsid w:val="72326C9E"/>
    <w:rsid w:val="7238DEF6"/>
    <w:rsid w:val="723C6D84"/>
    <w:rsid w:val="724111F4"/>
    <w:rsid w:val="72585A87"/>
    <w:rsid w:val="725FEA72"/>
    <w:rsid w:val="7263FDA7"/>
    <w:rsid w:val="7268D512"/>
    <w:rsid w:val="7278DC29"/>
    <w:rsid w:val="7278DE64"/>
    <w:rsid w:val="7284648F"/>
    <w:rsid w:val="72A4D115"/>
    <w:rsid w:val="72B0A4C5"/>
    <w:rsid w:val="72C42644"/>
    <w:rsid w:val="72DFA6B6"/>
    <w:rsid w:val="72E926D8"/>
    <w:rsid w:val="72F3D53A"/>
    <w:rsid w:val="72F943ED"/>
    <w:rsid w:val="72FBA095"/>
    <w:rsid w:val="72FDA1DE"/>
    <w:rsid w:val="7322AC42"/>
    <w:rsid w:val="732485B4"/>
    <w:rsid w:val="7324FFBC"/>
    <w:rsid w:val="7327E841"/>
    <w:rsid w:val="735044F9"/>
    <w:rsid w:val="735D8971"/>
    <w:rsid w:val="73633756"/>
    <w:rsid w:val="73700C95"/>
    <w:rsid w:val="7370667D"/>
    <w:rsid w:val="7375BEE3"/>
    <w:rsid w:val="738BF157"/>
    <w:rsid w:val="738D0661"/>
    <w:rsid w:val="739FDF67"/>
    <w:rsid w:val="73A23FED"/>
    <w:rsid w:val="73A57302"/>
    <w:rsid w:val="73B7F853"/>
    <w:rsid w:val="73C983E5"/>
    <w:rsid w:val="73CA52FE"/>
    <w:rsid w:val="73D0352B"/>
    <w:rsid w:val="73D13C8E"/>
    <w:rsid w:val="73DC6034"/>
    <w:rsid w:val="73DC7574"/>
    <w:rsid w:val="73E0BDA1"/>
    <w:rsid w:val="73E1BED7"/>
    <w:rsid w:val="73E5AB37"/>
    <w:rsid w:val="73EBD0AA"/>
    <w:rsid w:val="73F814FE"/>
    <w:rsid w:val="7412A242"/>
    <w:rsid w:val="741E15D1"/>
    <w:rsid w:val="742B9202"/>
    <w:rsid w:val="7433AD79"/>
    <w:rsid w:val="743C1F52"/>
    <w:rsid w:val="743F7935"/>
    <w:rsid w:val="74570268"/>
    <w:rsid w:val="745BD45D"/>
    <w:rsid w:val="745EFA86"/>
    <w:rsid w:val="7463B23C"/>
    <w:rsid w:val="74713694"/>
    <w:rsid w:val="7473BAB7"/>
    <w:rsid w:val="7478DEF7"/>
    <w:rsid w:val="7486A4D6"/>
    <w:rsid w:val="7486BDA1"/>
    <w:rsid w:val="74883492"/>
    <w:rsid w:val="748903AB"/>
    <w:rsid w:val="7496589E"/>
    <w:rsid w:val="74A48688"/>
    <w:rsid w:val="74AC7B40"/>
    <w:rsid w:val="74B3099C"/>
    <w:rsid w:val="74B70E33"/>
    <w:rsid w:val="74CAB025"/>
    <w:rsid w:val="74CDA015"/>
    <w:rsid w:val="74D93AF1"/>
    <w:rsid w:val="74DC6318"/>
    <w:rsid w:val="74DD7DF2"/>
    <w:rsid w:val="74E55A7C"/>
    <w:rsid w:val="74FE29D6"/>
    <w:rsid w:val="75158A7C"/>
    <w:rsid w:val="751E1B61"/>
    <w:rsid w:val="7521FAD6"/>
    <w:rsid w:val="75222445"/>
    <w:rsid w:val="75271EB4"/>
    <w:rsid w:val="752C2413"/>
    <w:rsid w:val="752E3E2F"/>
    <w:rsid w:val="753094B5"/>
    <w:rsid w:val="753F6E6E"/>
    <w:rsid w:val="754FBF8E"/>
    <w:rsid w:val="7554F320"/>
    <w:rsid w:val="75555A28"/>
    <w:rsid w:val="7556F8DE"/>
    <w:rsid w:val="755855E6"/>
    <w:rsid w:val="75590472"/>
    <w:rsid w:val="7562BF89"/>
    <w:rsid w:val="75696F2D"/>
    <w:rsid w:val="7577AC50"/>
    <w:rsid w:val="757AA313"/>
    <w:rsid w:val="757B0875"/>
    <w:rsid w:val="757FE239"/>
    <w:rsid w:val="758CC222"/>
    <w:rsid w:val="75909BA2"/>
    <w:rsid w:val="75A2DB80"/>
    <w:rsid w:val="75A52E57"/>
    <w:rsid w:val="75AB2A59"/>
    <w:rsid w:val="75ACDFBB"/>
    <w:rsid w:val="75B6F466"/>
    <w:rsid w:val="75BA180C"/>
    <w:rsid w:val="75C19D94"/>
    <w:rsid w:val="75CDC1B3"/>
    <w:rsid w:val="75EAD5DB"/>
    <w:rsid w:val="75FC74F7"/>
    <w:rsid w:val="76067E4F"/>
    <w:rsid w:val="76087B89"/>
    <w:rsid w:val="760A79C0"/>
    <w:rsid w:val="761965DB"/>
    <w:rsid w:val="761D4F13"/>
    <w:rsid w:val="761E2923"/>
    <w:rsid w:val="76260465"/>
    <w:rsid w:val="762683E6"/>
    <w:rsid w:val="762D65B6"/>
    <w:rsid w:val="762FA58C"/>
    <w:rsid w:val="763434BA"/>
    <w:rsid w:val="763502E3"/>
    <w:rsid w:val="763FEE21"/>
    <w:rsid w:val="76467AA1"/>
    <w:rsid w:val="7655B0AC"/>
    <w:rsid w:val="7666A8CD"/>
    <w:rsid w:val="7675174D"/>
    <w:rsid w:val="76775D57"/>
    <w:rsid w:val="767CCAB1"/>
    <w:rsid w:val="767F18BC"/>
    <w:rsid w:val="7694B138"/>
    <w:rsid w:val="76A004BB"/>
    <w:rsid w:val="76A047FB"/>
    <w:rsid w:val="76A18E6A"/>
    <w:rsid w:val="76BCCF18"/>
    <w:rsid w:val="76D35641"/>
    <w:rsid w:val="76E1F665"/>
    <w:rsid w:val="76EAEFF7"/>
    <w:rsid w:val="76EFE3A1"/>
    <w:rsid w:val="76F69CD3"/>
    <w:rsid w:val="76FF771A"/>
    <w:rsid w:val="77018F19"/>
    <w:rsid w:val="77109781"/>
    <w:rsid w:val="771A80D1"/>
    <w:rsid w:val="771D4BF9"/>
    <w:rsid w:val="77338A91"/>
    <w:rsid w:val="77340549"/>
    <w:rsid w:val="773CF460"/>
    <w:rsid w:val="77434E77"/>
    <w:rsid w:val="77461003"/>
    <w:rsid w:val="7756F01B"/>
    <w:rsid w:val="775FE58D"/>
    <w:rsid w:val="776FECD5"/>
    <w:rsid w:val="777281A0"/>
    <w:rsid w:val="777A46ED"/>
    <w:rsid w:val="777B4AE7"/>
    <w:rsid w:val="777FFD21"/>
    <w:rsid w:val="77818423"/>
    <w:rsid w:val="7784211E"/>
    <w:rsid w:val="779AF26A"/>
    <w:rsid w:val="77A3D540"/>
    <w:rsid w:val="77AC074F"/>
    <w:rsid w:val="77B64075"/>
    <w:rsid w:val="77B908D9"/>
    <w:rsid w:val="77BADA23"/>
    <w:rsid w:val="77BBB1F8"/>
    <w:rsid w:val="77BFED8F"/>
    <w:rsid w:val="77CC2860"/>
    <w:rsid w:val="77EB9351"/>
    <w:rsid w:val="77EF1A97"/>
    <w:rsid w:val="7813AD9C"/>
    <w:rsid w:val="78151DE0"/>
    <w:rsid w:val="7819ABF2"/>
    <w:rsid w:val="7821BCE3"/>
    <w:rsid w:val="7830157E"/>
    <w:rsid w:val="7836E881"/>
    <w:rsid w:val="7839879A"/>
    <w:rsid w:val="7842A09E"/>
    <w:rsid w:val="78482540"/>
    <w:rsid w:val="784D6065"/>
    <w:rsid w:val="7852310A"/>
    <w:rsid w:val="7858EFA0"/>
    <w:rsid w:val="785B89EE"/>
    <w:rsid w:val="785E8C1C"/>
    <w:rsid w:val="7861D579"/>
    <w:rsid w:val="787AA86A"/>
    <w:rsid w:val="787B6892"/>
    <w:rsid w:val="787ED47D"/>
    <w:rsid w:val="78809D25"/>
    <w:rsid w:val="78832003"/>
    <w:rsid w:val="788E7125"/>
    <w:rsid w:val="789175E5"/>
    <w:rsid w:val="78A428A8"/>
    <w:rsid w:val="78A766B1"/>
    <w:rsid w:val="78A85459"/>
    <w:rsid w:val="78A89B8A"/>
    <w:rsid w:val="78B5DC4F"/>
    <w:rsid w:val="78BF761D"/>
    <w:rsid w:val="78D870A5"/>
    <w:rsid w:val="78D87B3D"/>
    <w:rsid w:val="78DF81D4"/>
    <w:rsid w:val="78E4F19C"/>
    <w:rsid w:val="78F722DD"/>
    <w:rsid w:val="791D4AEE"/>
    <w:rsid w:val="791F3774"/>
    <w:rsid w:val="792566A3"/>
    <w:rsid w:val="7928A5DC"/>
    <w:rsid w:val="7928D8E3"/>
    <w:rsid w:val="792AD2B2"/>
    <w:rsid w:val="79345F17"/>
    <w:rsid w:val="793D61D6"/>
    <w:rsid w:val="794CF6B3"/>
    <w:rsid w:val="7951B5C2"/>
    <w:rsid w:val="7963C256"/>
    <w:rsid w:val="796E75F2"/>
    <w:rsid w:val="7975BDEE"/>
    <w:rsid w:val="7978493D"/>
    <w:rsid w:val="7981C379"/>
    <w:rsid w:val="7984B1C0"/>
    <w:rsid w:val="79863EA6"/>
    <w:rsid w:val="79891841"/>
    <w:rsid w:val="798A4245"/>
    <w:rsid w:val="798BCB4C"/>
    <w:rsid w:val="798FE31A"/>
    <w:rsid w:val="799BB2B9"/>
    <w:rsid w:val="799E753F"/>
    <w:rsid w:val="79A792DB"/>
    <w:rsid w:val="79AD2D19"/>
    <w:rsid w:val="79B555CE"/>
    <w:rsid w:val="79B5A0B9"/>
    <w:rsid w:val="79BB43ED"/>
    <w:rsid w:val="79BC5987"/>
    <w:rsid w:val="79C030D8"/>
    <w:rsid w:val="79C3802E"/>
    <w:rsid w:val="79C4A26D"/>
    <w:rsid w:val="79C59FB6"/>
    <w:rsid w:val="79C76870"/>
    <w:rsid w:val="79CA0AA7"/>
    <w:rsid w:val="79CDB425"/>
    <w:rsid w:val="79CDE7F2"/>
    <w:rsid w:val="79D4DA09"/>
    <w:rsid w:val="79D4DDCE"/>
    <w:rsid w:val="79E55FB4"/>
    <w:rsid w:val="79FA8D10"/>
    <w:rsid w:val="79FAEB55"/>
    <w:rsid w:val="7A05F380"/>
    <w:rsid w:val="7A120688"/>
    <w:rsid w:val="7A217E70"/>
    <w:rsid w:val="7A23AC08"/>
    <w:rsid w:val="7A26AA75"/>
    <w:rsid w:val="7A2C839C"/>
    <w:rsid w:val="7A3560D2"/>
    <w:rsid w:val="7A533FCB"/>
    <w:rsid w:val="7A578804"/>
    <w:rsid w:val="7A5A3271"/>
    <w:rsid w:val="7A6837C9"/>
    <w:rsid w:val="7A6B4CC9"/>
    <w:rsid w:val="7A6CD9E5"/>
    <w:rsid w:val="7A6DAF76"/>
    <w:rsid w:val="7A733145"/>
    <w:rsid w:val="7A7409EB"/>
    <w:rsid w:val="7A7B18FE"/>
    <w:rsid w:val="7A95A094"/>
    <w:rsid w:val="7A9A6116"/>
    <w:rsid w:val="7A9D4E0C"/>
    <w:rsid w:val="7AA84F08"/>
    <w:rsid w:val="7AB4B174"/>
    <w:rsid w:val="7ABE3ABB"/>
    <w:rsid w:val="7AD4A351"/>
    <w:rsid w:val="7ADFDDF7"/>
    <w:rsid w:val="7AE4E9E1"/>
    <w:rsid w:val="7AF3A115"/>
    <w:rsid w:val="7AFBB609"/>
    <w:rsid w:val="7B04C541"/>
    <w:rsid w:val="7B08AFE8"/>
    <w:rsid w:val="7B09318A"/>
    <w:rsid w:val="7B168206"/>
    <w:rsid w:val="7B265971"/>
    <w:rsid w:val="7B3201D7"/>
    <w:rsid w:val="7B356B1C"/>
    <w:rsid w:val="7B361980"/>
    <w:rsid w:val="7B378382"/>
    <w:rsid w:val="7B386706"/>
    <w:rsid w:val="7B3B5934"/>
    <w:rsid w:val="7B3DA028"/>
    <w:rsid w:val="7B3EAABC"/>
    <w:rsid w:val="7B3F60B2"/>
    <w:rsid w:val="7B4909BD"/>
    <w:rsid w:val="7B52D779"/>
    <w:rsid w:val="7B5B452F"/>
    <w:rsid w:val="7B62EF25"/>
    <w:rsid w:val="7B6B8DB6"/>
    <w:rsid w:val="7B723596"/>
    <w:rsid w:val="7B767439"/>
    <w:rsid w:val="7B7E5941"/>
    <w:rsid w:val="7B843D24"/>
    <w:rsid w:val="7B8604CB"/>
    <w:rsid w:val="7B88B857"/>
    <w:rsid w:val="7B99790C"/>
    <w:rsid w:val="7B9D9016"/>
    <w:rsid w:val="7B9FDC5B"/>
    <w:rsid w:val="7BA7D9A1"/>
    <w:rsid w:val="7BB586DB"/>
    <w:rsid w:val="7BB60416"/>
    <w:rsid w:val="7BBB7900"/>
    <w:rsid w:val="7BBD0460"/>
    <w:rsid w:val="7BC12A1C"/>
    <w:rsid w:val="7BC269D3"/>
    <w:rsid w:val="7BC7513A"/>
    <w:rsid w:val="7BCCB3D7"/>
    <w:rsid w:val="7BD85E58"/>
    <w:rsid w:val="7BD9CF2A"/>
    <w:rsid w:val="7BF9B692"/>
    <w:rsid w:val="7BFA5E58"/>
    <w:rsid w:val="7C01088A"/>
    <w:rsid w:val="7C05A24D"/>
    <w:rsid w:val="7C0824DC"/>
    <w:rsid w:val="7C226ACB"/>
    <w:rsid w:val="7C267C0A"/>
    <w:rsid w:val="7C2849E6"/>
    <w:rsid w:val="7C5027D4"/>
    <w:rsid w:val="7C51CBC5"/>
    <w:rsid w:val="7C64379C"/>
    <w:rsid w:val="7C6974F3"/>
    <w:rsid w:val="7C6CAF5A"/>
    <w:rsid w:val="7C74D990"/>
    <w:rsid w:val="7C80F956"/>
    <w:rsid w:val="7C81F575"/>
    <w:rsid w:val="7C87BA6F"/>
    <w:rsid w:val="7C8C1583"/>
    <w:rsid w:val="7C8C2905"/>
    <w:rsid w:val="7C9F3F74"/>
    <w:rsid w:val="7CA74398"/>
    <w:rsid w:val="7CB31D2C"/>
    <w:rsid w:val="7CB3F94F"/>
    <w:rsid w:val="7CC45D2A"/>
    <w:rsid w:val="7CC608B6"/>
    <w:rsid w:val="7CDA9318"/>
    <w:rsid w:val="7CEC635D"/>
    <w:rsid w:val="7CFB70BE"/>
    <w:rsid w:val="7CFD775D"/>
    <w:rsid w:val="7D0B3F98"/>
    <w:rsid w:val="7D198E30"/>
    <w:rsid w:val="7D21CFAA"/>
    <w:rsid w:val="7D27A453"/>
    <w:rsid w:val="7D28EA1E"/>
    <w:rsid w:val="7D2E672D"/>
    <w:rsid w:val="7D417638"/>
    <w:rsid w:val="7D467796"/>
    <w:rsid w:val="7D4A6810"/>
    <w:rsid w:val="7D522286"/>
    <w:rsid w:val="7D5EEC40"/>
    <w:rsid w:val="7D628EFA"/>
    <w:rsid w:val="7D6B953B"/>
    <w:rsid w:val="7D6EE89D"/>
    <w:rsid w:val="7D70F160"/>
    <w:rsid w:val="7D71E542"/>
    <w:rsid w:val="7D734FF0"/>
    <w:rsid w:val="7D744103"/>
    <w:rsid w:val="7D80CFFB"/>
    <w:rsid w:val="7D8C3A36"/>
    <w:rsid w:val="7D9934CD"/>
    <w:rsid w:val="7D9BF6BE"/>
    <w:rsid w:val="7DB0A0AA"/>
    <w:rsid w:val="7DB15FF0"/>
    <w:rsid w:val="7DB1D615"/>
    <w:rsid w:val="7DBE35D3"/>
    <w:rsid w:val="7DBF7F4C"/>
    <w:rsid w:val="7DD94300"/>
    <w:rsid w:val="7DE3DD31"/>
    <w:rsid w:val="7DE475D9"/>
    <w:rsid w:val="7E08C8FD"/>
    <w:rsid w:val="7E269F1A"/>
    <w:rsid w:val="7E306587"/>
    <w:rsid w:val="7E3AA52E"/>
    <w:rsid w:val="7E3BC9BB"/>
    <w:rsid w:val="7E3C1837"/>
    <w:rsid w:val="7E4E27EF"/>
    <w:rsid w:val="7E53A72C"/>
    <w:rsid w:val="7E597B3A"/>
    <w:rsid w:val="7E6293DC"/>
    <w:rsid w:val="7E73ACA0"/>
    <w:rsid w:val="7E817F60"/>
    <w:rsid w:val="7E81D7C4"/>
    <w:rsid w:val="7E9C9F00"/>
    <w:rsid w:val="7EA78033"/>
    <w:rsid w:val="7EB3DF03"/>
    <w:rsid w:val="7EBCB071"/>
    <w:rsid w:val="7EBEC632"/>
    <w:rsid w:val="7EBFDFF9"/>
    <w:rsid w:val="7EDF496D"/>
    <w:rsid w:val="7EF50BFF"/>
    <w:rsid w:val="7EF6D5EF"/>
    <w:rsid w:val="7EF81B3E"/>
    <w:rsid w:val="7EFB2148"/>
    <w:rsid w:val="7F0C56CE"/>
    <w:rsid w:val="7F14EBB5"/>
    <w:rsid w:val="7F17DA8A"/>
    <w:rsid w:val="7F1C37DB"/>
    <w:rsid w:val="7F3998B5"/>
    <w:rsid w:val="7F47FC88"/>
    <w:rsid w:val="7F50840D"/>
    <w:rsid w:val="7F663C28"/>
    <w:rsid w:val="7F669637"/>
    <w:rsid w:val="7F7656F4"/>
    <w:rsid w:val="7F782A6D"/>
    <w:rsid w:val="7F8BACF9"/>
    <w:rsid w:val="7F8DF97B"/>
    <w:rsid w:val="7F96F02D"/>
    <w:rsid w:val="7F995630"/>
    <w:rsid w:val="7FB8AA7B"/>
    <w:rsid w:val="7FBD0A49"/>
    <w:rsid w:val="7FC3A895"/>
    <w:rsid w:val="7FCA764F"/>
    <w:rsid w:val="7FDFB7CD"/>
    <w:rsid w:val="7FE32162"/>
    <w:rsid w:val="7FE71902"/>
    <w:rsid w:val="7FF6B5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DB98"/>
  <w15:chartTrackingRefBased/>
  <w15:docId w15:val="{7849229A-1577-44B1-B6B3-3A680526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00E138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00D200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581"/>
    <w:rPr>
      <w:color w:val="0563C1" w:themeColor="hyperlink"/>
      <w:u w:val="single"/>
    </w:rPr>
  </w:style>
  <w:style w:type="character" w:customStyle="1" w:styleId="UnresolvedMention1">
    <w:name w:val="Unresolved Mention1"/>
    <w:basedOn w:val="DefaultParagraphFont"/>
    <w:uiPriority w:val="99"/>
    <w:semiHidden/>
    <w:unhideWhenUsed/>
    <w:rsid w:val="00322581"/>
    <w:rPr>
      <w:color w:val="605E5C"/>
      <w:shd w:val="clear" w:color="auto" w:fill="E1DFDD"/>
    </w:rPr>
  </w:style>
  <w:style w:type="character" w:styleId="FollowedHyperlink">
    <w:name w:val="FollowedHyperlink"/>
    <w:basedOn w:val="DefaultParagraphFont"/>
    <w:uiPriority w:val="99"/>
    <w:semiHidden/>
    <w:unhideWhenUsed/>
    <w:rsid w:val="00C04461"/>
    <w:rPr>
      <w:color w:val="954F72" w:themeColor="followedHyperlink"/>
      <w:u w:val="single"/>
    </w:rPr>
  </w:style>
  <w:style w:type="paragraph" w:styleId="ListParagraph">
    <w:name w:val="List Paragraph"/>
    <w:basedOn w:val="Normal"/>
    <w:uiPriority w:val="34"/>
    <w:qFormat/>
    <w:rsid w:val="006A43EB"/>
    <w:pPr>
      <w:ind w:left="720"/>
      <w:contextualSpacing/>
    </w:pPr>
  </w:style>
  <w:style w:type="paragraph" w:styleId="FootnoteText">
    <w:name w:val="footnote text"/>
    <w:basedOn w:val="Normal"/>
    <w:link w:val="FootnoteTextChar"/>
    <w:uiPriority w:val="99"/>
    <w:semiHidden/>
    <w:unhideWhenUsed/>
    <w:rsid w:val="007F62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27A"/>
    <w:rPr>
      <w:sz w:val="20"/>
      <w:szCs w:val="20"/>
    </w:rPr>
  </w:style>
  <w:style w:type="character" w:styleId="FootnoteReference">
    <w:name w:val="footnote reference"/>
    <w:basedOn w:val="DefaultParagraphFont"/>
    <w:uiPriority w:val="99"/>
    <w:semiHidden/>
    <w:unhideWhenUsed/>
    <w:rsid w:val="007F627A"/>
    <w:rPr>
      <w:vertAlign w:val="superscript"/>
    </w:rPr>
  </w:style>
  <w:style w:type="paragraph" w:styleId="EndnoteText">
    <w:name w:val="endnote text"/>
    <w:basedOn w:val="Normal"/>
    <w:link w:val="EndnoteTextChar"/>
    <w:uiPriority w:val="99"/>
    <w:semiHidden/>
    <w:unhideWhenUsed/>
    <w:rsid w:val="009A4B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4BCE"/>
    <w:rPr>
      <w:sz w:val="20"/>
      <w:szCs w:val="20"/>
    </w:rPr>
  </w:style>
  <w:style w:type="character" w:styleId="EndnoteReference">
    <w:name w:val="endnote reference"/>
    <w:basedOn w:val="DefaultParagraphFont"/>
    <w:uiPriority w:val="99"/>
    <w:semiHidden/>
    <w:unhideWhenUsed/>
    <w:rsid w:val="009A4BCE"/>
    <w:rPr>
      <w:vertAlign w:val="superscript"/>
    </w:rPr>
  </w:style>
  <w:style w:type="paragraph" w:styleId="Header">
    <w:name w:val="header"/>
    <w:basedOn w:val="Normal"/>
    <w:link w:val="HeaderChar"/>
    <w:uiPriority w:val="99"/>
    <w:unhideWhenUsed/>
    <w:rsid w:val="00380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D9F"/>
  </w:style>
  <w:style w:type="paragraph" w:styleId="Footer">
    <w:name w:val="footer"/>
    <w:basedOn w:val="Normal"/>
    <w:link w:val="FooterChar"/>
    <w:uiPriority w:val="99"/>
    <w:unhideWhenUsed/>
    <w:rsid w:val="00380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D9F"/>
  </w:style>
  <w:style w:type="character" w:customStyle="1" w:styleId="UnresolvedMention2">
    <w:name w:val="Unresolved Mention2"/>
    <w:basedOn w:val="DefaultParagraphFont"/>
    <w:uiPriority w:val="99"/>
    <w:semiHidden/>
    <w:unhideWhenUsed/>
    <w:rsid w:val="00380D9F"/>
    <w:rPr>
      <w:color w:val="605E5C"/>
      <w:shd w:val="clear" w:color="auto" w:fill="E1DFDD"/>
    </w:rPr>
  </w:style>
  <w:style w:type="paragraph" w:styleId="BalloonText">
    <w:name w:val="Balloon Text"/>
    <w:basedOn w:val="Normal"/>
    <w:link w:val="BalloonTextChar"/>
    <w:uiPriority w:val="99"/>
    <w:semiHidden/>
    <w:unhideWhenUsed/>
    <w:rsid w:val="00215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E15"/>
    <w:rPr>
      <w:rFonts w:ascii="Segoe UI" w:hAnsi="Segoe UI" w:cs="Segoe UI"/>
      <w:sz w:val="18"/>
      <w:szCs w:val="18"/>
    </w:rPr>
  </w:style>
  <w:style w:type="character" w:styleId="UnresolvedMention">
    <w:name w:val="Unresolved Mention"/>
    <w:basedOn w:val="DefaultParagraphFont"/>
    <w:uiPriority w:val="99"/>
    <w:semiHidden/>
    <w:unhideWhenUsed/>
    <w:rsid w:val="00171826"/>
    <w:rPr>
      <w:color w:val="605E5C"/>
      <w:shd w:val="clear" w:color="auto" w:fill="E1DFDD"/>
    </w:rPr>
  </w:style>
  <w:style w:type="table" w:styleId="TableGrid">
    <w:name w:val="Table Grid"/>
    <w:basedOn w:val="TableNormal"/>
    <w:uiPriority w:val="59"/>
    <w:rsid w:val="00AE7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A1EFB"/>
    <w:rPr>
      <w:rFonts w:ascii="Times New Roman" w:hAnsi="Times New Roman" w:cs="Times New Roman"/>
      <w:sz w:val="24"/>
      <w:szCs w:val="24"/>
    </w:rPr>
  </w:style>
  <w:style w:type="character" w:customStyle="1" w:styleId="apple-converted-space">
    <w:name w:val="apple-converted-space"/>
    <w:basedOn w:val="DefaultParagraphFont"/>
    <w:rsid w:val="00E82AE7"/>
  </w:style>
  <w:style w:type="paragraph" w:styleId="Revision">
    <w:name w:val="Revision"/>
    <w:hidden/>
    <w:uiPriority w:val="99"/>
    <w:semiHidden/>
    <w:rsid w:val="00EB3582"/>
    <w:pPr>
      <w:spacing w:after="0" w:line="240" w:lineRule="auto"/>
    </w:pPr>
  </w:style>
  <w:style w:type="character" w:customStyle="1" w:styleId="Heading1Char">
    <w:name w:val="Heading 1 Char"/>
    <w:basedOn w:val="DefaultParagraphFont"/>
    <w:link w:val="Heading1"/>
    <w:uiPriority w:val="9"/>
    <w:rsid w:val="00066BF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870">
      <w:bodyDiv w:val="1"/>
      <w:marLeft w:val="0"/>
      <w:marRight w:val="0"/>
      <w:marTop w:val="0"/>
      <w:marBottom w:val="0"/>
      <w:divBdr>
        <w:top w:val="none" w:sz="0" w:space="0" w:color="auto"/>
        <w:left w:val="none" w:sz="0" w:space="0" w:color="auto"/>
        <w:bottom w:val="none" w:sz="0" w:space="0" w:color="auto"/>
        <w:right w:val="none" w:sz="0" w:space="0" w:color="auto"/>
      </w:divBdr>
    </w:div>
    <w:div w:id="40831370">
      <w:bodyDiv w:val="1"/>
      <w:marLeft w:val="0"/>
      <w:marRight w:val="0"/>
      <w:marTop w:val="0"/>
      <w:marBottom w:val="0"/>
      <w:divBdr>
        <w:top w:val="none" w:sz="0" w:space="0" w:color="auto"/>
        <w:left w:val="none" w:sz="0" w:space="0" w:color="auto"/>
        <w:bottom w:val="none" w:sz="0" w:space="0" w:color="auto"/>
        <w:right w:val="none" w:sz="0" w:space="0" w:color="auto"/>
      </w:divBdr>
      <w:divsChild>
        <w:div w:id="1016807155">
          <w:marLeft w:val="0"/>
          <w:marRight w:val="0"/>
          <w:marTop w:val="0"/>
          <w:marBottom w:val="0"/>
          <w:divBdr>
            <w:top w:val="none" w:sz="0" w:space="0" w:color="auto"/>
            <w:left w:val="none" w:sz="0" w:space="0" w:color="auto"/>
            <w:bottom w:val="none" w:sz="0" w:space="0" w:color="auto"/>
            <w:right w:val="none" w:sz="0" w:space="0" w:color="auto"/>
          </w:divBdr>
          <w:divsChild>
            <w:div w:id="947270871">
              <w:marLeft w:val="0"/>
              <w:marRight w:val="0"/>
              <w:marTop w:val="0"/>
              <w:marBottom w:val="0"/>
              <w:divBdr>
                <w:top w:val="none" w:sz="0" w:space="0" w:color="auto"/>
                <w:left w:val="none" w:sz="0" w:space="0" w:color="auto"/>
                <w:bottom w:val="none" w:sz="0" w:space="0" w:color="auto"/>
                <w:right w:val="none" w:sz="0" w:space="0" w:color="auto"/>
              </w:divBdr>
              <w:divsChild>
                <w:div w:id="145318153">
                  <w:marLeft w:val="0"/>
                  <w:marRight w:val="0"/>
                  <w:marTop w:val="0"/>
                  <w:marBottom w:val="0"/>
                  <w:divBdr>
                    <w:top w:val="none" w:sz="0" w:space="0" w:color="auto"/>
                    <w:left w:val="none" w:sz="0" w:space="0" w:color="auto"/>
                    <w:bottom w:val="none" w:sz="0" w:space="0" w:color="auto"/>
                    <w:right w:val="none" w:sz="0" w:space="0" w:color="auto"/>
                  </w:divBdr>
                  <w:divsChild>
                    <w:div w:id="10379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3535">
      <w:bodyDiv w:val="1"/>
      <w:marLeft w:val="0"/>
      <w:marRight w:val="0"/>
      <w:marTop w:val="0"/>
      <w:marBottom w:val="0"/>
      <w:divBdr>
        <w:top w:val="none" w:sz="0" w:space="0" w:color="auto"/>
        <w:left w:val="none" w:sz="0" w:space="0" w:color="auto"/>
        <w:bottom w:val="none" w:sz="0" w:space="0" w:color="auto"/>
        <w:right w:val="none" w:sz="0" w:space="0" w:color="auto"/>
      </w:divBdr>
      <w:divsChild>
        <w:div w:id="150291190">
          <w:marLeft w:val="0"/>
          <w:marRight w:val="0"/>
          <w:marTop w:val="0"/>
          <w:marBottom w:val="0"/>
          <w:divBdr>
            <w:top w:val="none" w:sz="0" w:space="0" w:color="auto"/>
            <w:left w:val="none" w:sz="0" w:space="0" w:color="auto"/>
            <w:bottom w:val="none" w:sz="0" w:space="0" w:color="auto"/>
            <w:right w:val="none" w:sz="0" w:space="0" w:color="auto"/>
          </w:divBdr>
          <w:divsChild>
            <w:div w:id="422805089">
              <w:marLeft w:val="0"/>
              <w:marRight w:val="0"/>
              <w:marTop w:val="0"/>
              <w:marBottom w:val="0"/>
              <w:divBdr>
                <w:top w:val="none" w:sz="0" w:space="0" w:color="auto"/>
                <w:left w:val="none" w:sz="0" w:space="0" w:color="auto"/>
                <w:bottom w:val="none" w:sz="0" w:space="0" w:color="auto"/>
                <w:right w:val="none" w:sz="0" w:space="0" w:color="auto"/>
              </w:divBdr>
              <w:divsChild>
                <w:div w:id="565073843">
                  <w:marLeft w:val="0"/>
                  <w:marRight w:val="0"/>
                  <w:marTop w:val="0"/>
                  <w:marBottom w:val="0"/>
                  <w:divBdr>
                    <w:top w:val="none" w:sz="0" w:space="0" w:color="auto"/>
                    <w:left w:val="none" w:sz="0" w:space="0" w:color="auto"/>
                    <w:bottom w:val="none" w:sz="0" w:space="0" w:color="auto"/>
                    <w:right w:val="none" w:sz="0" w:space="0" w:color="auto"/>
                  </w:divBdr>
                  <w:divsChild>
                    <w:div w:id="2076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5899">
      <w:bodyDiv w:val="1"/>
      <w:marLeft w:val="0"/>
      <w:marRight w:val="0"/>
      <w:marTop w:val="0"/>
      <w:marBottom w:val="0"/>
      <w:divBdr>
        <w:top w:val="none" w:sz="0" w:space="0" w:color="auto"/>
        <w:left w:val="none" w:sz="0" w:space="0" w:color="auto"/>
        <w:bottom w:val="none" w:sz="0" w:space="0" w:color="auto"/>
        <w:right w:val="none" w:sz="0" w:space="0" w:color="auto"/>
      </w:divBdr>
    </w:div>
    <w:div w:id="59250877">
      <w:bodyDiv w:val="1"/>
      <w:marLeft w:val="0"/>
      <w:marRight w:val="0"/>
      <w:marTop w:val="0"/>
      <w:marBottom w:val="0"/>
      <w:divBdr>
        <w:top w:val="none" w:sz="0" w:space="0" w:color="auto"/>
        <w:left w:val="none" w:sz="0" w:space="0" w:color="auto"/>
        <w:bottom w:val="none" w:sz="0" w:space="0" w:color="auto"/>
        <w:right w:val="none" w:sz="0" w:space="0" w:color="auto"/>
      </w:divBdr>
    </w:div>
    <w:div w:id="75127255">
      <w:bodyDiv w:val="1"/>
      <w:marLeft w:val="0"/>
      <w:marRight w:val="0"/>
      <w:marTop w:val="0"/>
      <w:marBottom w:val="0"/>
      <w:divBdr>
        <w:top w:val="none" w:sz="0" w:space="0" w:color="auto"/>
        <w:left w:val="none" w:sz="0" w:space="0" w:color="auto"/>
        <w:bottom w:val="none" w:sz="0" w:space="0" w:color="auto"/>
        <w:right w:val="none" w:sz="0" w:space="0" w:color="auto"/>
      </w:divBdr>
    </w:div>
    <w:div w:id="183978464">
      <w:bodyDiv w:val="1"/>
      <w:marLeft w:val="0"/>
      <w:marRight w:val="0"/>
      <w:marTop w:val="0"/>
      <w:marBottom w:val="0"/>
      <w:divBdr>
        <w:top w:val="none" w:sz="0" w:space="0" w:color="auto"/>
        <w:left w:val="none" w:sz="0" w:space="0" w:color="auto"/>
        <w:bottom w:val="none" w:sz="0" w:space="0" w:color="auto"/>
        <w:right w:val="none" w:sz="0" w:space="0" w:color="auto"/>
      </w:divBdr>
      <w:divsChild>
        <w:div w:id="647436136">
          <w:marLeft w:val="0"/>
          <w:marRight w:val="0"/>
          <w:marTop w:val="0"/>
          <w:marBottom w:val="0"/>
          <w:divBdr>
            <w:top w:val="none" w:sz="0" w:space="0" w:color="auto"/>
            <w:left w:val="none" w:sz="0" w:space="0" w:color="auto"/>
            <w:bottom w:val="none" w:sz="0" w:space="0" w:color="auto"/>
            <w:right w:val="none" w:sz="0" w:space="0" w:color="auto"/>
          </w:divBdr>
        </w:div>
        <w:div w:id="1851213233">
          <w:marLeft w:val="0"/>
          <w:marRight w:val="0"/>
          <w:marTop w:val="0"/>
          <w:marBottom w:val="0"/>
          <w:divBdr>
            <w:top w:val="none" w:sz="0" w:space="0" w:color="auto"/>
            <w:left w:val="none" w:sz="0" w:space="0" w:color="auto"/>
            <w:bottom w:val="none" w:sz="0" w:space="0" w:color="auto"/>
            <w:right w:val="none" w:sz="0" w:space="0" w:color="auto"/>
          </w:divBdr>
        </w:div>
      </w:divsChild>
    </w:div>
    <w:div w:id="268969994">
      <w:bodyDiv w:val="1"/>
      <w:marLeft w:val="0"/>
      <w:marRight w:val="0"/>
      <w:marTop w:val="0"/>
      <w:marBottom w:val="0"/>
      <w:divBdr>
        <w:top w:val="none" w:sz="0" w:space="0" w:color="auto"/>
        <w:left w:val="none" w:sz="0" w:space="0" w:color="auto"/>
        <w:bottom w:val="none" w:sz="0" w:space="0" w:color="auto"/>
        <w:right w:val="none" w:sz="0" w:space="0" w:color="auto"/>
      </w:divBdr>
      <w:divsChild>
        <w:div w:id="932980225">
          <w:marLeft w:val="0"/>
          <w:marRight w:val="0"/>
          <w:marTop w:val="0"/>
          <w:marBottom w:val="0"/>
          <w:divBdr>
            <w:top w:val="none" w:sz="0" w:space="0" w:color="auto"/>
            <w:left w:val="none" w:sz="0" w:space="0" w:color="auto"/>
            <w:bottom w:val="none" w:sz="0" w:space="0" w:color="auto"/>
            <w:right w:val="none" w:sz="0" w:space="0" w:color="auto"/>
          </w:divBdr>
          <w:divsChild>
            <w:div w:id="2028285113">
              <w:marLeft w:val="0"/>
              <w:marRight w:val="0"/>
              <w:marTop w:val="0"/>
              <w:marBottom w:val="0"/>
              <w:divBdr>
                <w:top w:val="none" w:sz="0" w:space="0" w:color="auto"/>
                <w:left w:val="none" w:sz="0" w:space="0" w:color="auto"/>
                <w:bottom w:val="none" w:sz="0" w:space="0" w:color="auto"/>
                <w:right w:val="none" w:sz="0" w:space="0" w:color="auto"/>
              </w:divBdr>
              <w:divsChild>
                <w:div w:id="1359771176">
                  <w:marLeft w:val="0"/>
                  <w:marRight w:val="0"/>
                  <w:marTop w:val="0"/>
                  <w:marBottom w:val="0"/>
                  <w:divBdr>
                    <w:top w:val="none" w:sz="0" w:space="0" w:color="auto"/>
                    <w:left w:val="none" w:sz="0" w:space="0" w:color="auto"/>
                    <w:bottom w:val="none" w:sz="0" w:space="0" w:color="auto"/>
                    <w:right w:val="none" w:sz="0" w:space="0" w:color="auto"/>
                  </w:divBdr>
                  <w:divsChild>
                    <w:div w:id="9155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12210">
      <w:bodyDiv w:val="1"/>
      <w:marLeft w:val="0"/>
      <w:marRight w:val="0"/>
      <w:marTop w:val="0"/>
      <w:marBottom w:val="0"/>
      <w:divBdr>
        <w:top w:val="none" w:sz="0" w:space="0" w:color="auto"/>
        <w:left w:val="none" w:sz="0" w:space="0" w:color="auto"/>
        <w:bottom w:val="none" w:sz="0" w:space="0" w:color="auto"/>
        <w:right w:val="none" w:sz="0" w:space="0" w:color="auto"/>
      </w:divBdr>
      <w:divsChild>
        <w:div w:id="1677609396">
          <w:marLeft w:val="0"/>
          <w:marRight w:val="0"/>
          <w:marTop w:val="0"/>
          <w:marBottom w:val="0"/>
          <w:divBdr>
            <w:top w:val="none" w:sz="0" w:space="0" w:color="auto"/>
            <w:left w:val="none" w:sz="0" w:space="0" w:color="auto"/>
            <w:bottom w:val="none" w:sz="0" w:space="0" w:color="auto"/>
            <w:right w:val="none" w:sz="0" w:space="0" w:color="auto"/>
          </w:divBdr>
          <w:divsChild>
            <w:div w:id="1087192474">
              <w:marLeft w:val="0"/>
              <w:marRight w:val="0"/>
              <w:marTop w:val="0"/>
              <w:marBottom w:val="0"/>
              <w:divBdr>
                <w:top w:val="none" w:sz="0" w:space="0" w:color="auto"/>
                <w:left w:val="none" w:sz="0" w:space="0" w:color="auto"/>
                <w:bottom w:val="none" w:sz="0" w:space="0" w:color="auto"/>
                <w:right w:val="none" w:sz="0" w:space="0" w:color="auto"/>
              </w:divBdr>
              <w:divsChild>
                <w:div w:id="6749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381">
      <w:bodyDiv w:val="1"/>
      <w:marLeft w:val="0"/>
      <w:marRight w:val="0"/>
      <w:marTop w:val="0"/>
      <w:marBottom w:val="0"/>
      <w:divBdr>
        <w:top w:val="none" w:sz="0" w:space="0" w:color="auto"/>
        <w:left w:val="none" w:sz="0" w:space="0" w:color="auto"/>
        <w:bottom w:val="none" w:sz="0" w:space="0" w:color="auto"/>
        <w:right w:val="none" w:sz="0" w:space="0" w:color="auto"/>
      </w:divBdr>
    </w:div>
    <w:div w:id="323321627">
      <w:bodyDiv w:val="1"/>
      <w:marLeft w:val="0"/>
      <w:marRight w:val="0"/>
      <w:marTop w:val="0"/>
      <w:marBottom w:val="0"/>
      <w:divBdr>
        <w:top w:val="none" w:sz="0" w:space="0" w:color="auto"/>
        <w:left w:val="none" w:sz="0" w:space="0" w:color="auto"/>
        <w:bottom w:val="none" w:sz="0" w:space="0" w:color="auto"/>
        <w:right w:val="none" w:sz="0" w:space="0" w:color="auto"/>
      </w:divBdr>
      <w:divsChild>
        <w:div w:id="1594165129">
          <w:marLeft w:val="0"/>
          <w:marRight w:val="0"/>
          <w:marTop w:val="0"/>
          <w:marBottom w:val="0"/>
          <w:divBdr>
            <w:top w:val="none" w:sz="0" w:space="0" w:color="auto"/>
            <w:left w:val="none" w:sz="0" w:space="0" w:color="auto"/>
            <w:bottom w:val="none" w:sz="0" w:space="0" w:color="auto"/>
            <w:right w:val="none" w:sz="0" w:space="0" w:color="auto"/>
          </w:divBdr>
          <w:divsChild>
            <w:div w:id="1722635606">
              <w:marLeft w:val="0"/>
              <w:marRight w:val="0"/>
              <w:marTop w:val="0"/>
              <w:marBottom w:val="0"/>
              <w:divBdr>
                <w:top w:val="none" w:sz="0" w:space="0" w:color="auto"/>
                <w:left w:val="none" w:sz="0" w:space="0" w:color="auto"/>
                <w:bottom w:val="none" w:sz="0" w:space="0" w:color="auto"/>
                <w:right w:val="none" w:sz="0" w:space="0" w:color="auto"/>
              </w:divBdr>
              <w:divsChild>
                <w:div w:id="406928444">
                  <w:marLeft w:val="0"/>
                  <w:marRight w:val="0"/>
                  <w:marTop w:val="0"/>
                  <w:marBottom w:val="0"/>
                  <w:divBdr>
                    <w:top w:val="none" w:sz="0" w:space="0" w:color="auto"/>
                    <w:left w:val="none" w:sz="0" w:space="0" w:color="auto"/>
                    <w:bottom w:val="none" w:sz="0" w:space="0" w:color="auto"/>
                    <w:right w:val="none" w:sz="0" w:space="0" w:color="auto"/>
                  </w:divBdr>
                  <w:divsChild>
                    <w:div w:id="11042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99860">
      <w:bodyDiv w:val="1"/>
      <w:marLeft w:val="0"/>
      <w:marRight w:val="0"/>
      <w:marTop w:val="0"/>
      <w:marBottom w:val="0"/>
      <w:divBdr>
        <w:top w:val="none" w:sz="0" w:space="0" w:color="auto"/>
        <w:left w:val="none" w:sz="0" w:space="0" w:color="auto"/>
        <w:bottom w:val="none" w:sz="0" w:space="0" w:color="auto"/>
        <w:right w:val="none" w:sz="0" w:space="0" w:color="auto"/>
      </w:divBdr>
      <w:divsChild>
        <w:div w:id="2115662616">
          <w:marLeft w:val="0"/>
          <w:marRight w:val="0"/>
          <w:marTop w:val="0"/>
          <w:marBottom w:val="0"/>
          <w:divBdr>
            <w:top w:val="none" w:sz="0" w:space="0" w:color="auto"/>
            <w:left w:val="none" w:sz="0" w:space="0" w:color="auto"/>
            <w:bottom w:val="none" w:sz="0" w:space="0" w:color="auto"/>
            <w:right w:val="none" w:sz="0" w:space="0" w:color="auto"/>
          </w:divBdr>
          <w:divsChild>
            <w:div w:id="699746656">
              <w:marLeft w:val="0"/>
              <w:marRight w:val="0"/>
              <w:marTop w:val="0"/>
              <w:marBottom w:val="0"/>
              <w:divBdr>
                <w:top w:val="none" w:sz="0" w:space="0" w:color="auto"/>
                <w:left w:val="none" w:sz="0" w:space="0" w:color="auto"/>
                <w:bottom w:val="none" w:sz="0" w:space="0" w:color="auto"/>
                <w:right w:val="none" w:sz="0" w:space="0" w:color="auto"/>
              </w:divBdr>
              <w:divsChild>
                <w:div w:id="1684278023">
                  <w:marLeft w:val="0"/>
                  <w:marRight w:val="0"/>
                  <w:marTop w:val="0"/>
                  <w:marBottom w:val="0"/>
                  <w:divBdr>
                    <w:top w:val="none" w:sz="0" w:space="0" w:color="auto"/>
                    <w:left w:val="none" w:sz="0" w:space="0" w:color="auto"/>
                    <w:bottom w:val="none" w:sz="0" w:space="0" w:color="auto"/>
                    <w:right w:val="none" w:sz="0" w:space="0" w:color="auto"/>
                  </w:divBdr>
                  <w:divsChild>
                    <w:div w:id="11204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99310">
      <w:bodyDiv w:val="1"/>
      <w:marLeft w:val="0"/>
      <w:marRight w:val="0"/>
      <w:marTop w:val="0"/>
      <w:marBottom w:val="0"/>
      <w:divBdr>
        <w:top w:val="none" w:sz="0" w:space="0" w:color="auto"/>
        <w:left w:val="none" w:sz="0" w:space="0" w:color="auto"/>
        <w:bottom w:val="none" w:sz="0" w:space="0" w:color="auto"/>
        <w:right w:val="none" w:sz="0" w:space="0" w:color="auto"/>
      </w:divBdr>
    </w:div>
    <w:div w:id="402532996">
      <w:bodyDiv w:val="1"/>
      <w:marLeft w:val="0"/>
      <w:marRight w:val="0"/>
      <w:marTop w:val="0"/>
      <w:marBottom w:val="0"/>
      <w:divBdr>
        <w:top w:val="none" w:sz="0" w:space="0" w:color="auto"/>
        <w:left w:val="none" w:sz="0" w:space="0" w:color="auto"/>
        <w:bottom w:val="none" w:sz="0" w:space="0" w:color="auto"/>
        <w:right w:val="none" w:sz="0" w:space="0" w:color="auto"/>
      </w:divBdr>
    </w:div>
    <w:div w:id="654263095">
      <w:bodyDiv w:val="1"/>
      <w:marLeft w:val="0"/>
      <w:marRight w:val="0"/>
      <w:marTop w:val="0"/>
      <w:marBottom w:val="0"/>
      <w:divBdr>
        <w:top w:val="none" w:sz="0" w:space="0" w:color="auto"/>
        <w:left w:val="none" w:sz="0" w:space="0" w:color="auto"/>
        <w:bottom w:val="none" w:sz="0" w:space="0" w:color="auto"/>
        <w:right w:val="none" w:sz="0" w:space="0" w:color="auto"/>
      </w:divBdr>
    </w:div>
    <w:div w:id="659892639">
      <w:bodyDiv w:val="1"/>
      <w:marLeft w:val="0"/>
      <w:marRight w:val="0"/>
      <w:marTop w:val="0"/>
      <w:marBottom w:val="0"/>
      <w:divBdr>
        <w:top w:val="none" w:sz="0" w:space="0" w:color="auto"/>
        <w:left w:val="none" w:sz="0" w:space="0" w:color="auto"/>
        <w:bottom w:val="none" w:sz="0" w:space="0" w:color="auto"/>
        <w:right w:val="none" w:sz="0" w:space="0" w:color="auto"/>
      </w:divBdr>
    </w:div>
    <w:div w:id="722679152">
      <w:bodyDiv w:val="1"/>
      <w:marLeft w:val="0"/>
      <w:marRight w:val="0"/>
      <w:marTop w:val="0"/>
      <w:marBottom w:val="0"/>
      <w:divBdr>
        <w:top w:val="none" w:sz="0" w:space="0" w:color="auto"/>
        <w:left w:val="none" w:sz="0" w:space="0" w:color="auto"/>
        <w:bottom w:val="none" w:sz="0" w:space="0" w:color="auto"/>
        <w:right w:val="none" w:sz="0" w:space="0" w:color="auto"/>
      </w:divBdr>
    </w:div>
    <w:div w:id="726487316">
      <w:bodyDiv w:val="1"/>
      <w:marLeft w:val="0"/>
      <w:marRight w:val="0"/>
      <w:marTop w:val="0"/>
      <w:marBottom w:val="0"/>
      <w:divBdr>
        <w:top w:val="none" w:sz="0" w:space="0" w:color="auto"/>
        <w:left w:val="none" w:sz="0" w:space="0" w:color="auto"/>
        <w:bottom w:val="none" w:sz="0" w:space="0" w:color="auto"/>
        <w:right w:val="none" w:sz="0" w:space="0" w:color="auto"/>
      </w:divBdr>
    </w:div>
    <w:div w:id="756295442">
      <w:bodyDiv w:val="1"/>
      <w:marLeft w:val="0"/>
      <w:marRight w:val="0"/>
      <w:marTop w:val="0"/>
      <w:marBottom w:val="0"/>
      <w:divBdr>
        <w:top w:val="none" w:sz="0" w:space="0" w:color="auto"/>
        <w:left w:val="none" w:sz="0" w:space="0" w:color="auto"/>
        <w:bottom w:val="none" w:sz="0" w:space="0" w:color="auto"/>
        <w:right w:val="none" w:sz="0" w:space="0" w:color="auto"/>
      </w:divBdr>
      <w:divsChild>
        <w:div w:id="915818766">
          <w:marLeft w:val="0"/>
          <w:marRight w:val="0"/>
          <w:marTop w:val="0"/>
          <w:marBottom w:val="0"/>
          <w:divBdr>
            <w:top w:val="none" w:sz="0" w:space="0" w:color="auto"/>
            <w:left w:val="none" w:sz="0" w:space="0" w:color="auto"/>
            <w:bottom w:val="none" w:sz="0" w:space="0" w:color="auto"/>
            <w:right w:val="none" w:sz="0" w:space="0" w:color="auto"/>
          </w:divBdr>
          <w:divsChild>
            <w:div w:id="649092567">
              <w:marLeft w:val="0"/>
              <w:marRight w:val="0"/>
              <w:marTop w:val="0"/>
              <w:marBottom w:val="0"/>
              <w:divBdr>
                <w:top w:val="none" w:sz="0" w:space="0" w:color="auto"/>
                <w:left w:val="none" w:sz="0" w:space="0" w:color="auto"/>
                <w:bottom w:val="none" w:sz="0" w:space="0" w:color="auto"/>
                <w:right w:val="none" w:sz="0" w:space="0" w:color="auto"/>
              </w:divBdr>
              <w:divsChild>
                <w:div w:id="114034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801658935">
      <w:bodyDiv w:val="1"/>
      <w:marLeft w:val="0"/>
      <w:marRight w:val="0"/>
      <w:marTop w:val="0"/>
      <w:marBottom w:val="0"/>
      <w:divBdr>
        <w:top w:val="none" w:sz="0" w:space="0" w:color="auto"/>
        <w:left w:val="none" w:sz="0" w:space="0" w:color="auto"/>
        <w:bottom w:val="none" w:sz="0" w:space="0" w:color="auto"/>
        <w:right w:val="none" w:sz="0" w:space="0" w:color="auto"/>
      </w:divBdr>
    </w:div>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861095002">
      <w:bodyDiv w:val="1"/>
      <w:marLeft w:val="0"/>
      <w:marRight w:val="0"/>
      <w:marTop w:val="0"/>
      <w:marBottom w:val="0"/>
      <w:divBdr>
        <w:top w:val="none" w:sz="0" w:space="0" w:color="auto"/>
        <w:left w:val="none" w:sz="0" w:space="0" w:color="auto"/>
        <w:bottom w:val="none" w:sz="0" w:space="0" w:color="auto"/>
        <w:right w:val="none" w:sz="0" w:space="0" w:color="auto"/>
      </w:divBdr>
    </w:div>
    <w:div w:id="906964630">
      <w:bodyDiv w:val="1"/>
      <w:marLeft w:val="0"/>
      <w:marRight w:val="0"/>
      <w:marTop w:val="0"/>
      <w:marBottom w:val="0"/>
      <w:divBdr>
        <w:top w:val="none" w:sz="0" w:space="0" w:color="auto"/>
        <w:left w:val="none" w:sz="0" w:space="0" w:color="auto"/>
        <w:bottom w:val="none" w:sz="0" w:space="0" w:color="auto"/>
        <w:right w:val="none" w:sz="0" w:space="0" w:color="auto"/>
      </w:divBdr>
    </w:div>
    <w:div w:id="942421351">
      <w:bodyDiv w:val="1"/>
      <w:marLeft w:val="0"/>
      <w:marRight w:val="0"/>
      <w:marTop w:val="0"/>
      <w:marBottom w:val="0"/>
      <w:divBdr>
        <w:top w:val="none" w:sz="0" w:space="0" w:color="auto"/>
        <w:left w:val="none" w:sz="0" w:space="0" w:color="auto"/>
        <w:bottom w:val="none" w:sz="0" w:space="0" w:color="auto"/>
        <w:right w:val="none" w:sz="0" w:space="0" w:color="auto"/>
      </w:divBdr>
      <w:divsChild>
        <w:div w:id="1657763176">
          <w:marLeft w:val="0"/>
          <w:marRight w:val="0"/>
          <w:marTop w:val="0"/>
          <w:marBottom w:val="0"/>
          <w:divBdr>
            <w:top w:val="none" w:sz="0" w:space="0" w:color="auto"/>
            <w:left w:val="none" w:sz="0" w:space="0" w:color="auto"/>
            <w:bottom w:val="none" w:sz="0" w:space="0" w:color="auto"/>
            <w:right w:val="none" w:sz="0" w:space="0" w:color="auto"/>
          </w:divBdr>
          <w:divsChild>
            <w:div w:id="1305617840">
              <w:marLeft w:val="0"/>
              <w:marRight w:val="0"/>
              <w:marTop w:val="0"/>
              <w:marBottom w:val="0"/>
              <w:divBdr>
                <w:top w:val="none" w:sz="0" w:space="0" w:color="auto"/>
                <w:left w:val="none" w:sz="0" w:space="0" w:color="auto"/>
                <w:bottom w:val="none" w:sz="0" w:space="0" w:color="auto"/>
                <w:right w:val="none" w:sz="0" w:space="0" w:color="auto"/>
              </w:divBdr>
              <w:divsChild>
                <w:div w:id="20972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9972">
      <w:bodyDiv w:val="1"/>
      <w:marLeft w:val="0"/>
      <w:marRight w:val="0"/>
      <w:marTop w:val="0"/>
      <w:marBottom w:val="0"/>
      <w:divBdr>
        <w:top w:val="none" w:sz="0" w:space="0" w:color="auto"/>
        <w:left w:val="none" w:sz="0" w:space="0" w:color="auto"/>
        <w:bottom w:val="none" w:sz="0" w:space="0" w:color="auto"/>
        <w:right w:val="none" w:sz="0" w:space="0" w:color="auto"/>
      </w:divBdr>
      <w:divsChild>
        <w:div w:id="89933186">
          <w:marLeft w:val="0"/>
          <w:marRight w:val="0"/>
          <w:marTop w:val="0"/>
          <w:marBottom w:val="0"/>
          <w:divBdr>
            <w:top w:val="none" w:sz="0" w:space="0" w:color="auto"/>
            <w:left w:val="none" w:sz="0" w:space="0" w:color="auto"/>
            <w:bottom w:val="none" w:sz="0" w:space="0" w:color="auto"/>
            <w:right w:val="none" w:sz="0" w:space="0" w:color="auto"/>
          </w:divBdr>
          <w:divsChild>
            <w:div w:id="1015690584">
              <w:marLeft w:val="0"/>
              <w:marRight w:val="0"/>
              <w:marTop w:val="0"/>
              <w:marBottom w:val="0"/>
              <w:divBdr>
                <w:top w:val="none" w:sz="0" w:space="0" w:color="auto"/>
                <w:left w:val="none" w:sz="0" w:space="0" w:color="auto"/>
                <w:bottom w:val="none" w:sz="0" w:space="0" w:color="auto"/>
                <w:right w:val="none" w:sz="0" w:space="0" w:color="auto"/>
              </w:divBdr>
              <w:divsChild>
                <w:div w:id="970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5895">
      <w:bodyDiv w:val="1"/>
      <w:marLeft w:val="0"/>
      <w:marRight w:val="0"/>
      <w:marTop w:val="0"/>
      <w:marBottom w:val="0"/>
      <w:divBdr>
        <w:top w:val="none" w:sz="0" w:space="0" w:color="auto"/>
        <w:left w:val="none" w:sz="0" w:space="0" w:color="auto"/>
        <w:bottom w:val="none" w:sz="0" w:space="0" w:color="auto"/>
        <w:right w:val="none" w:sz="0" w:space="0" w:color="auto"/>
      </w:divBdr>
      <w:divsChild>
        <w:div w:id="1905987990">
          <w:marLeft w:val="0"/>
          <w:marRight w:val="0"/>
          <w:marTop w:val="0"/>
          <w:marBottom w:val="0"/>
          <w:divBdr>
            <w:top w:val="none" w:sz="0" w:space="0" w:color="auto"/>
            <w:left w:val="none" w:sz="0" w:space="0" w:color="auto"/>
            <w:bottom w:val="none" w:sz="0" w:space="0" w:color="auto"/>
            <w:right w:val="none" w:sz="0" w:space="0" w:color="auto"/>
          </w:divBdr>
          <w:divsChild>
            <w:div w:id="2041858369">
              <w:marLeft w:val="0"/>
              <w:marRight w:val="0"/>
              <w:marTop w:val="0"/>
              <w:marBottom w:val="0"/>
              <w:divBdr>
                <w:top w:val="none" w:sz="0" w:space="0" w:color="auto"/>
                <w:left w:val="none" w:sz="0" w:space="0" w:color="auto"/>
                <w:bottom w:val="none" w:sz="0" w:space="0" w:color="auto"/>
                <w:right w:val="none" w:sz="0" w:space="0" w:color="auto"/>
              </w:divBdr>
              <w:divsChild>
                <w:div w:id="871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79797">
      <w:bodyDiv w:val="1"/>
      <w:marLeft w:val="0"/>
      <w:marRight w:val="0"/>
      <w:marTop w:val="0"/>
      <w:marBottom w:val="0"/>
      <w:divBdr>
        <w:top w:val="none" w:sz="0" w:space="0" w:color="auto"/>
        <w:left w:val="none" w:sz="0" w:space="0" w:color="auto"/>
        <w:bottom w:val="none" w:sz="0" w:space="0" w:color="auto"/>
        <w:right w:val="none" w:sz="0" w:space="0" w:color="auto"/>
      </w:divBdr>
    </w:div>
    <w:div w:id="1004095080">
      <w:bodyDiv w:val="1"/>
      <w:marLeft w:val="0"/>
      <w:marRight w:val="0"/>
      <w:marTop w:val="0"/>
      <w:marBottom w:val="0"/>
      <w:divBdr>
        <w:top w:val="none" w:sz="0" w:space="0" w:color="auto"/>
        <w:left w:val="none" w:sz="0" w:space="0" w:color="auto"/>
        <w:bottom w:val="none" w:sz="0" w:space="0" w:color="auto"/>
        <w:right w:val="none" w:sz="0" w:space="0" w:color="auto"/>
      </w:divBdr>
      <w:divsChild>
        <w:div w:id="1538346922">
          <w:marLeft w:val="0"/>
          <w:marRight w:val="0"/>
          <w:marTop w:val="0"/>
          <w:marBottom w:val="0"/>
          <w:divBdr>
            <w:top w:val="none" w:sz="0" w:space="0" w:color="auto"/>
            <w:left w:val="none" w:sz="0" w:space="0" w:color="auto"/>
            <w:bottom w:val="none" w:sz="0" w:space="0" w:color="auto"/>
            <w:right w:val="none" w:sz="0" w:space="0" w:color="auto"/>
          </w:divBdr>
          <w:divsChild>
            <w:div w:id="289749042">
              <w:marLeft w:val="0"/>
              <w:marRight w:val="0"/>
              <w:marTop w:val="0"/>
              <w:marBottom w:val="0"/>
              <w:divBdr>
                <w:top w:val="none" w:sz="0" w:space="0" w:color="auto"/>
                <w:left w:val="none" w:sz="0" w:space="0" w:color="auto"/>
                <w:bottom w:val="none" w:sz="0" w:space="0" w:color="auto"/>
                <w:right w:val="none" w:sz="0" w:space="0" w:color="auto"/>
              </w:divBdr>
              <w:divsChild>
                <w:div w:id="507981677">
                  <w:marLeft w:val="0"/>
                  <w:marRight w:val="0"/>
                  <w:marTop w:val="0"/>
                  <w:marBottom w:val="0"/>
                  <w:divBdr>
                    <w:top w:val="none" w:sz="0" w:space="0" w:color="auto"/>
                    <w:left w:val="none" w:sz="0" w:space="0" w:color="auto"/>
                    <w:bottom w:val="none" w:sz="0" w:space="0" w:color="auto"/>
                    <w:right w:val="none" w:sz="0" w:space="0" w:color="auto"/>
                  </w:divBdr>
                  <w:divsChild>
                    <w:div w:id="20395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9280">
      <w:bodyDiv w:val="1"/>
      <w:marLeft w:val="0"/>
      <w:marRight w:val="0"/>
      <w:marTop w:val="0"/>
      <w:marBottom w:val="0"/>
      <w:divBdr>
        <w:top w:val="none" w:sz="0" w:space="0" w:color="auto"/>
        <w:left w:val="none" w:sz="0" w:space="0" w:color="auto"/>
        <w:bottom w:val="none" w:sz="0" w:space="0" w:color="auto"/>
        <w:right w:val="none" w:sz="0" w:space="0" w:color="auto"/>
      </w:divBdr>
    </w:div>
    <w:div w:id="1094940062">
      <w:bodyDiv w:val="1"/>
      <w:marLeft w:val="0"/>
      <w:marRight w:val="0"/>
      <w:marTop w:val="0"/>
      <w:marBottom w:val="0"/>
      <w:divBdr>
        <w:top w:val="none" w:sz="0" w:space="0" w:color="auto"/>
        <w:left w:val="none" w:sz="0" w:space="0" w:color="auto"/>
        <w:bottom w:val="none" w:sz="0" w:space="0" w:color="auto"/>
        <w:right w:val="none" w:sz="0" w:space="0" w:color="auto"/>
      </w:divBdr>
    </w:div>
    <w:div w:id="1101611534">
      <w:bodyDiv w:val="1"/>
      <w:marLeft w:val="0"/>
      <w:marRight w:val="0"/>
      <w:marTop w:val="0"/>
      <w:marBottom w:val="0"/>
      <w:divBdr>
        <w:top w:val="none" w:sz="0" w:space="0" w:color="auto"/>
        <w:left w:val="none" w:sz="0" w:space="0" w:color="auto"/>
        <w:bottom w:val="none" w:sz="0" w:space="0" w:color="auto"/>
        <w:right w:val="none" w:sz="0" w:space="0" w:color="auto"/>
      </w:divBdr>
    </w:div>
    <w:div w:id="1121724422">
      <w:bodyDiv w:val="1"/>
      <w:marLeft w:val="0"/>
      <w:marRight w:val="0"/>
      <w:marTop w:val="0"/>
      <w:marBottom w:val="0"/>
      <w:divBdr>
        <w:top w:val="none" w:sz="0" w:space="0" w:color="auto"/>
        <w:left w:val="none" w:sz="0" w:space="0" w:color="auto"/>
        <w:bottom w:val="none" w:sz="0" w:space="0" w:color="auto"/>
        <w:right w:val="none" w:sz="0" w:space="0" w:color="auto"/>
      </w:divBdr>
    </w:div>
    <w:div w:id="1145392434">
      <w:bodyDiv w:val="1"/>
      <w:marLeft w:val="0"/>
      <w:marRight w:val="0"/>
      <w:marTop w:val="0"/>
      <w:marBottom w:val="0"/>
      <w:divBdr>
        <w:top w:val="none" w:sz="0" w:space="0" w:color="auto"/>
        <w:left w:val="none" w:sz="0" w:space="0" w:color="auto"/>
        <w:bottom w:val="none" w:sz="0" w:space="0" w:color="auto"/>
        <w:right w:val="none" w:sz="0" w:space="0" w:color="auto"/>
      </w:divBdr>
      <w:divsChild>
        <w:div w:id="1994865937">
          <w:marLeft w:val="0"/>
          <w:marRight w:val="0"/>
          <w:marTop w:val="0"/>
          <w:marBottom w:val="0"/>
          <w:divBdr>
            <w:top w:val="none" w:sz="0" w:space="0" w:color="auto"/>
            <w:left w:val="none" w:sz="0" w:space="0" w:color="auto"/>
            <w:bottom w:val="none" w:sz="0" w:space="0" w:color="auto"/>
            <w:right w:val="none" w:sz="0" w:space="0" w:color="auto"/>
          </w:divBdr>
          <w:divsChild>
            <w:div w:id="298220095">
              <w:marLeft w:val="0"/>
              <w:marRight w:val="0"/>
              <w:marTop w:val="0"/>
              <w:marBottom w:val="0"/>
              <w:divBdr>
                <w:top w:val="none" w:sz="0" w:space="0" w:color="auto"/>
                <w:left w:val="none" w:sz="0" w:space="0" w:color="auto"/>
                <w:bottom w:val="none" w:sz="0" w:space="0" w:color="auto"/>
                <w:right w:val="none" w:sz="0" w:space="0" w:color="auto"/>
              </w:divBdr>
              <w:divsChild>
                <w:div w:id="251625338">
                  <w:marLeft w:val="0"/>
                  <w:marRight w:val="0"/>
                  <w:marTop w:val="0"/>
                  <w:marBottom w:val="0"/>
                  <w:divBdr>
                    <w:top w:val="none" w:sz="0" w:space="0" w:color="auto"/>
                    <w:left w:val="none" w:sz="0" w:space="0" w:color="auto"/>
                    <w:bottom w:val="none" w:sz="0" w:space="0" w:color="auto"/>
                    <w:right w:val="none" w:sz="0" w:space="0" w:color="auto"/>
                  </w:divBdr>
                  <w:divsChild>
                    <w:div w:id="19063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499329">
      <w:bodyDiv w:val="1"/>
      <w:marLeft w:val="0"/>
      <w:marRight w:val="0"/>
      <w:marTop w:val="0"/>
      <w:marBottom w:val="0"/>
      <w:divBdr>
        <w:top w:val="none" w:sz="0" w:space="0" w:color="auto"/>
        <w:left w:val="none" w:sz="0" w:space="0" w:color="auto"/>
        <w:bottom w:val="none" w:sz="0" w:space="0" w:color="auto"/>
        <w:right w:val="none" w:sz="0" w:space="0" w:color="auto"/>
      </w:divBdr>
      <w:divsChild>
        <w:div w:id="625430532">
          <w:marLeft w:val="0"/>
          <w:marRight w:val="0"/>
          <w:marTop w:val="0"/>
          <w:marBottom w:val="0"/>
          <w:divBdr>
            <w:top w:val="none" w:sz="0" w:space="0" w:color="auto"/>
            <w:left w:val="none" w:sz="0" w:space="0" w:color="auto"/>
            <w:bottom w:val="none" w:sz="0" w:space="0" w:color="auto"/>
            <w:right w:val="none" w:sz="0" w:space="0" w:color="auto"/>
          </w:divBdr>
          <w:divsChild>
            <w:div w:id="24065082">
              <w:marLeft w:val="0"/>
              <w:marRight w:val="0"/>
              <w:marTop w:val="0"/>
              <w:marBottom w:val="0"/>
              <w:divBdr>
                <w:top w:val="none" w:sz="0" w:space="0" w:color="auto"/>
                <w:left w:val="none" w:sz="0" w:space="0" w:color="auto"/>
                <w:bottom w:val="none" w:sz="0" w:space="0" w:color="auto"/>
                <w:right w:val="none" w:sz="0" w:space="0" w:color="auto"/>
              </w:divBdr>
              <w:divsChild>
                <w:div w:id="9794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07718">
      <w:bodyDiv w:val="1"/>
      <w:marLeft w:val="0"/>
      <w:marRight w:val="0"/>
      <w:marTop w:val="0"/>
      <w:marBottom w:val="0"/>
      <w:divBdr>
        <w:top w:val="none" w:sz="0" w:space="0" w:color="auto"/>
        <w:left w:val="none" w:sz="0" w:space="0" w:color="auto"/>
        <w:bottom w:val="none" w:sz="0" w:space="0" w:color="auto"/>
        <w:right w:val="none" w:sz="0" w:space="0" w:color="auto"/>
      </w:divBdr>
      <w:divsChild>
        <w:div w:id="1956056163">
          <w:marLeft w:val="0"/>
          <w:marRight w:val="0"/>
          <w:marTop w:val="0"/>
          <w:marBottom w:val="0"/>
          <w:divBdr>
            <w:top w:val="none" w:sz="0" w:space="0" w:color="auto"/>
            <w:left w:val="none" w:sz="0" w:space="0" w:color="auto"/>
            <w:bottom w:val="none" w:sz="0" w:space="0" w:color="auto"/>
            <w:right w:val="none" w:sz="0" w:space="0" w:color="auto"/>
          </w:divBdr>
          <w:divsChild>
            <w:div w:id="1738475307">
              <w:marLeft w:val="0"/>
              <w:marRight w:val="0"/>
              <w:marTop w:val="0"/>
              <w:marBottom w:val="0"/>
              <w:divBdr>
                <w:top w:val="none" w:sz="0" w:space="0" w:color="auto"/>
                <w:left w:val="none" w:sz="0" w:space="0" w:color="auto"/>
                <w:bottom w:val="none" w:sz="0" w:space="0" w:color="auto"/>
                <w:right w:val="none" w:sz="0" w:space="0" w:color="auto"/>
              </w:divBdr>
              <w:divsChild>
                <w:div w:id="1506242924">
                  <w:marLeft w:val="0"/>
                  <w:marRight w:val="0"/>
                  <w:marTop w:val="0"/>
                  <w:marBottom w:val="0"/>
                  <w:divBdr>
                    <w:top w:val="none" w:sz="0" w:space="0" w:color="auto"/>
                    <w:left w:val="none" w:sz="0" w:space="0" w:color="auto"/>
                    <w:bottom w:val="none" w:sz="0" w:space="0" w:color="auto"/>
                    <w:right w:val="none" w:sz="0" w:space="0" w:color="auto"/>
                  </w:divBdr>
                  <w:divsChild>
                    <w:div w:id="1290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30888">
      <w:bodyDiv w:val="1"/>
      <w:marLeft w:val="0"/>
      <w:marRight w:val="0"/>
      <w:marTop w:val="0"/>
      <w:marBottom w:val="0"/>
      <w:divBdr>
        <w:top w:val="none" w:sz="0" w:space="0" w:color="auto"/>
        <w:left w:val="none" w:sz="0" w:space="0" w:color="auto"/>
        <w:bottom w:val="none" w:sz="0" w:space="0" w:color="auto"/>
        <w:right w:val="none" w:sz="0" w:space="0" w:color="auto"/>
      </w:divBdr>
    </w:div>
    <w:div w:id="1248929391">
      <w:bodyDiv w:val="1"/>
      <w:marLeft w:val="0"/>
      <w:marRight w:val="0"/>
      <w:marTop w:val="0"/>
      <w:marBottom w:val="0"/>
      <w:divBdr>
        <w:top w:val="none" w:sz="0" w:space="0" w:color="auto"/>
        <w:left w:val="none" w:sz="0" w:space="0" w:color="auto"/>
        <w:bottom w:val="none" w:sz="0" w:space="0" w:color="auto"/>
        <w:right w:val="none" w:sz="0" w:space="0" w:color="auto"/>
      </w:divBdr>
    </w:div>
    <w:div w:id="1256749628">
      <w:bodyDiv w:val="1"/>
      <w:marLeft w:val="0"/>
      <w:marRight w:val="0"/>
      <w:marTop w:val="0"/>
      <w:marBottom w:val="0"/>
      <w:divBdr>
        <w:top w:val="none" w:sz="0" w:space="0" w:color="auto"/>
        <w:left w:val="none" w:sz="0" w:space="0" w:color="auto"/>
        <w:bottom w:val="none" w:sz="0" w:space="0" w:color="auto"/>
        <w:right w:val="none" w:sz="0" w:space="0" w:color="auto"/>
      </w:divBdr>
      <w:divsChild>
        <w:div w:id="1491216028">
          <w:marLeft w:val="0"/>
          <w:marRight w:val="0"/>
          <w:marTop w:val="0"/>
          <w:marBottom w:val="0"/>
          <w:divBdr>
            <w:top w:val="none" w:sz="0" w:space="0" w:color="auto"/>
            <w:left w:val="none" w:sz="0" w:space="0" w:color="auto"/>
            <w:bottom w:val="none" w:sz="0" w:space="0" w:color="auto"/>
            <w:right w:val="none" w:sz="0" w:space="0" w:color="auto"/>
          </w:divBdr>
          <w:divsChild>
            <w:div w:id="1392967842">
              <w:marLeft w:val="0"/>
              <w:marRight w:val="0"/>
              <w:marTop w:val="0"/>
              <w:marBottom w:val="0"/>
              <w:divBdr>
                <w:top w:val="none" w:sz="0" w:space="0" w:color="auto"/>
                <w:left w:val="none" w:sz="0" w:space="0" w:color="auto"/>
                <w:bottom w:val="none" w:sz="0" w:space="0" w:color="auto"/>
                <w:right w:val="none" w:sz="0" w:space="0" w:color="auto"/>
              </w:divBdr>
              <w:divsChild>
                <w:div w:id="1520969332">
                  <w:marLeft w:val="0"/>
                  <w:marRight w:val="0"/>
                  <w:marTop w:val="0"/>
                  <w:marBottom w:val="0"/>
                  <w:divBdr>
                    <w:top w:val="none" w:sz="0" w:space="0" w:color="auto"/>
                    <w:left w:val="none" w:sz="0" w:space="0" w:color="auto"/>
                    <w:bottom w:val="none" w:sz="0" w:space="0" w:color="auto"/>
                    <w:right w:val="none" w:sz="0" w:space="0" w:color="auto"/>
                  </w:divBdr>
                  <w:divsChild>
                    <w:div w:id="12644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220">
      <w:bodyDiv w:val="1"/>
      <w:marLeft w:val="0"/>
      <w:marRight w:val="0"/>
      <w:marTop w:val="0"/>
      <w:marBottom w:val="0"/>
      <w:divBdr>
        <w:top w:val="none" w:sz="0" w:space="0" w:color="auto"/>
        <w:left w:val="none" w:sz="0" w:space="0" w:color="auto"/>
        <w:bottom w:val="none" w:sz="0" w:space="0" w:color="auto"/>
        <w:right w:val="none" w:sz="0" w:space="0" w:color="auto"/>
      </w:divBdr>
    </w:div>
    <w:div w:id="1341929274">
      <w:bodyDiv w:val="1"/>
      <w:marLeft w:val="0"/>
      <w:marRight w:val="0"/>
      <w:marTop w:val="0"/>
      <w:marBottom w:val="0"/>
      <w:divBdr>
        <w:top w:val="none" w:sz="0" w:space="0" w:color="auto"/>
        <w:left w:val="none" w:sz="0" w:space="0" w:color="auto"/>
        <w:bottom w:val="none" w:sz="0" w:space="0" w:color="auto"/>
        <w:right w:val="none" w:sz="0" w:space="0" w:color="auto"/>
      </w:divBdr>
      <w:divsChild>
        <w:div w:id="1572233405">
          <w:marLeft w:val="0"/>
          <w:marRight w:val="0"/>
          <w:marTop w:val="0"/>
          <w:marBottom w:val="0"/>
          <w:divBdr>
            <w:top w:val="none" w:sz="0" w:space="0" w:color="auto"/>
            <w:left w:val="none" w:sz="0" w:space="0" w:color="auto"/>
            <w:bottom w:val="none" w:sz="0" w:space="0" w:color="auto"/>
            <w:right w:val="none" w:sz="0" w:space="0" w:color="auto"/>
          </w:divBdr>
          <w:divsChild>
            <w:div w:id="18873324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52876196">
      <w:bodyDiv w:val="1"/>
      <w:marLeft w:val="0"/>
      <w:marRight w:val="0"/>
      <w:marTop w:val="0"/>
      <w:marBottom w:val="0"/>
      <w:divBdr>
        <w:top w:val="none" w:sz="0" w:space="0" w:color="auto"/>
        <w:left w:val="none" w:sz="0" w:space="0" w:color="auto"/>
        <w:bottom w:val="none" w:sz="0" w:space="0" w:color="auto"/>
        <w:right w:val="none" w:sz="0" w:space="0" w:color="auto"/>
      </w:divBdr>
      <w:divsChild>
        <w:div w:id="90791">
          <w:marLeft w:val="0"/>
          <w:marRight w:val="0"/>
          <w:marTop w:val="0"/>
          <w:marBottom w:val="0"/>
          <w:divBdr>
            <w:top w:val="none" w:sz="0" w:space="0" w:color="auto"/>
            <w:left w:val="none" w:sz="0" w:space="0" w:color="auto"/>
            <w:bottom w:val="none" w:sz="0" w:space="0" w:color="auto"/>
            <w:right w:val="none" w:sz="0" w:space="0" w:color="auto"/>
          </w:divBdr>
          <w:divsChild>
            <w:div w:id="4092757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4035684">
      <w:bodyDiv w:val="1"/>
      <w:marLeft w:val="0"/>
      <w:marRight w:val="0"/>
      <w:marTop w:val="0"/>
      <w:marBottom w:val="0"/>
      <w:divBdr>
        <w:top w:val="none" w:sz="0" w:space="0" w:color="auto"/>
        <w:left w:val="none" w:sz="0" w:space="0" w:color="auto"/>
        <w:bottom w:val="none" w:sz="0" w:space="0" w:color="auto"/>
        <w:right w:val="none" w:sz="0" w:space="0" w:color="auto"/>
      </w:divBdr>
    </w:div>
    <w:div w:id="1462723979">
      <w:bodyDiv w:val="1"/>
      <w:marLeft w:val="0"/>
      <w:marRight w:val="0"/>
      <w:marTop w:val="0"/>
      <w:marBottom w:val="0"/>
      <w:divBdr>
        <w:top w:val="none" w:sz="0" w:space="0" w:color="auto"/>
        <w:left w:val="none" w:sz="0" w:space="0" w:color="auto"/>
        <w:bottom w:val="none" w:sz="0" w:space="0" w:color="auto"/>
        <w:right w:val="none" w:sz="0" w:space="0" w:color="auto"/>
      </w:divBdr>
    </w:div>
    <w:div w:id="1492941784">
      <w:bodyDiv w:val="1"/>
      <w:marLeft w:val="0"/>
      <w:marRight w:val="0"/>
      <w:marTop w:val="0"/>
      <w:marBottom w:val="0"/>
      <w:divBdr>
        <w:top w:val="none" w:sz="0" w:space="0" w:color="auto"/>
        <w:left w:val="none" w:sz="0" w:space="0" w:color="auto"/>
        <w:bottom w:val="none" w:sz="0" w:space="0" w:color="auto"/>
        <w:right w:val="none" w:sz="0" w:space="0" w:color="auto"/>
      </w:divBdr>
    </w:div>
    <w:div w:id="1516840287">
      <w:bodyDiv w:val="1"/>
      <w:marLeft w:val="0"/>
      <w:marRight w:val="0"/>
      <w:marTop w:val="0"/>
      <w:marBottom w:val="0"/>
      <w:divBdr>
        <w:top w:val="none" w:sz="0" w:space="0" w:color="auto"/>
        <w:left w:val="none" w:sz="0" w:space="0" w:color="auto"/>
        <w:bottom w:val="none" w:sz="0" w:space="0" w:color="auto"/>
        <w:right w:val="none" w:sz="0" w:space="0" w:color="auto"/>
      </w:divBdr>
    </w:div>
    <w:div w:id="1534153332">
      <w:bodyDiv w:val="1"/>
      <w:marLeft w:val="0"/>
      <w:marRight w:val="0"/>
      <w:marTop w:val="0"/>
      <w:marBottom w:val="0"/>
      <w:divBdr>
        <w:top w:val="none" w:sz="0" w:space="0" w:color="auto"/>
        <w:left w:val="none" w:sz="0" w:space="0" w:color="auto"/>
        <w:bottom w:val="none" w:sz="0" w:space="0" w:color="auto"/>
        <w:right w:val="none" w:sz="0" w:space="0" w:color="auto"/>
      </w:divBdr>
    </w:div>
    <w:div w:id="1552425526">
      <w:bodyDiv w:val="1"/>
      <w:marLeft w:val="0"/>
      <w:marRight w:val="0"/>
      <w:marTop w:val="0"/>
      <w:marBottom w:val="0"/>
      <w:divBdr>
        <w:top w:val="none" w:sz="0" w:space="0" w:color="auto"/>
        <w:left w:val="none" w:sz="0" w:space="0" w:color="auto"/>
        <w:bottom w:val="none" w:sz="0" w:space="0" w:color="auto"/>
        <w:right w:val="none" w:sz="0" w:space="0" w:color="auto"/>
      </w:divBdr>
      <w:divsChild>
        <w:div w:id="196746678">
          <w:marLeft w:val="0"/>
          <w:marRight w:val="0"/>
          <w:marTop w:val="0"/>
          <w:marBottom w:val="0"/>
          <w:divBdr>
            <w:top w:val="none" w:sz="0" w:space="0" w:color="auto"/>
            <w:left w:val="none" w:sz="0" w:space="0" w:color="auto"/>
            <w:bottom w:val="none" w:sz="0" w:space="0" w:color="auto"/>
            <w:right w:val="none" w:sz="0" w:space="0" w:color="auto"/>
          </w:divBdr>
          <w:divsChild>
            <w:div w:id="1276718914">
              <w:marLeft w:val="0"/>
              <w:marRight w:val="0"/>
              <w:marTop w:val="0"/>
              <w:marBottom w:val="0"/>
              <w:divBdr>
                <w:top w:val="none" w:sz="0" w:space="0" w:color="auto"/>
                <w:left w:val="none" w:sz="0" w:space="0" w:color="auto"/>
                <w:bottom w:val="none" w:sz="0" w:space="0" w:color="auto"/>
                <w:right w:val="none" w:sz="0" w:space="0" w:color="auto"/>
              </w:divBdr>
              <w:divsChild>
                <w:div w:id="1196389493">
                  <w:marLeft w:val="0"/>
                  <w:marRight w:val="0"/>
                  <w:marTop w:val="0"/>
                  <w:marBottom w:val="0"/>
                  <w:divBdr>
                    <w:top w:val="none" w:sz="0" w:space="0" w:color="auto"/>
                    <w:left w:val="none" w:sz="0" w:space="0" w:color="auto"/>
                    <w:bottom w:val="none" w:sz="0" w:space="0" w:color="auto"/>
                    <w:right w:val="none" w:sz="0" w:space="0" w:color="auto"/>
                  </w:divBdr>
                  <w:divsChild>
                    <w:div w:id="4171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1759">
      <w:bodyDiv w:val="1"/>
      <w:marLeft w:val="0"/>
      <w:marRight w:val="0"/>
      <w:marTop w:val="0"/>
      <w:marBottom w:val="0"/>
      <w:divBdr>
        <w:top w:val="none" w:sz="0" w:space="0" w:color="auto"/>
        <w:left w:val="none" w:sz="0" w:space="0" w:color="auto"/>
        <w:bottom w:val="none" w:sz="0" w:space="0" w:color="auto"/>
        <w:right w:val="none" w:sz="0" w:space="0" w:color="auto"/>
      </w:divBdr>
    </w:div>
    <w:div w:id="1634408230">
      <w:bodyDiv w:val="1"/>
      <w:marLeft w:val="0"/>
      <w:marRight w:val="0"/>
      <w:marTop w:val="0"/>
      <w:marBottom w:val="0"/>
      <w:divBdr>
        <w:top w:val="none" w:sz="0" w:space="0" w:color="auto"/>
        <w:left w:val="none" w:sz="0" w:space="0" w:color="auto"/>
        <w:bottom w:val="none" w:sz="0" w:space="0" w:color="auto"/>
        <w:right w:val="none" w:sz="0" w:space="0" w:color="auto"/>
      </w:divBdr>
    </w:div>
    <w:div w:id="1686858399">
      <w:bodyDiv w:val="1"/>
      <w:marLeft w:val="0"/>
      <w:marRight w:val="0"/>
      <w:marTop w:val="0"/>
      <w:marBottom w:val="0"/>
      <w:divBdr>
        <w:top w:val="none" w:sz="0" w:space="0" w:color="auto"/>
        <w:left w:val="none" w:sz="0" w:space="0" w:color="auto"/>
        <w:bottom w:val="none" w:sz="0" w:space="0" w:color="auto"/>
        <w:right w:val="none" w:sz="0" w:space="0" w:color="auto"/>
      </w:divBdr>
      <w:divsChild>
        <w:div w:id="793211311">
          <w:marLeft w:val="0"/>
          <w:marRight w:val="0"/>
          <w:marTop w:val="0"/>
          <w:marBottom w:val="0"/>
          <w:divBdr>
            <w:top w:val="none" w:sz="0" w:space="0" w:color="auto"/>
            <w:left w:val="none" w:sz="0" w:space="0" w:color="auto"/>
            <w:bottom w:val="none" w:sz="0" w:space="0" w:color="auto"/>
            <w:right w:val="none" w:sz="0" w:space="0" w:color="auto"/>
          </w:divBdr>
          <w:divsChild>
            <w:div w:id="345255460">
              <w:marLeft w:val="0"/>
              <w:marRight w:val="0"/>
              <w:marTop w:val="0"/>
              <w:marBottom w:val="0"/>
              <w:divBdr>
                <w:top w:val="none" w:sz="0" w:space="0" w:color="auto"/>
                <w:left w:val="none" w:sz="0" w:space="0" w:color="auto"/>
                <w:bottom w:val="none" w:sz="0" w:space="0" w:color="auto"/>
                <w:right w:val="none" w:sz="0" w:space="0" w:color="auto"/>
              </w:divBdr>
              <w:divsChild>
                <w:div w:id="572786299">
                  <w:marLeft w:val="0"/>
                  <w:marRight w:val="0"/>
                  <w:marTop w:val="0"/>
                  <w:marBottom w:val="0"/>
                  <w:divBdr>
                    <w:top w:val="none" w:sz="0" w:space="0" w:color="auto"/>
                    <w:left w:val="none" w:sz="0" w:space="0" w:color="auto"/>
                    <w:bottom w:val="none" w:sz="0" w:space="0" w:color="auto"/>
                    <w:right w:val="none" w:sz="0" w:space="0" w:color="auto"/>
                  </w:divBdr>
                  <w:divsChild>
                    <w:div w:id="21073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5629">
      <w:bodyDiv w:val="1"/>
      <w:marLeft w:val="0"/>
      <w:marRight w:val="0"/>
      <w:marTop w:val="0"/>
      <w:marBottom w:val="0"/>
      <w:divBdr>
        <w:top w:val="none" w:sz="0" w:space="0" w:color="auto"/>
        <w:left w:val="none" w:sz="0" w:space="0" w:color="auto"/>
        <w:bottom w:val="none" w:sz="0" w:space="0" w:color="auto"/>
        <w:right w:val="none" w:sz="0" w:space="0" w:color="auto"/>
      </w:divBdr>
    </w:div>
    <w:div w:id="1742866804">
      <w:bodyDiv w:val="1"/>
      <w:marLeft w:val="0"/>
      <w:marRight w:val="0"/>
      <w:marTop w:val="0"/>
      <w:marBottom w:val="0"/>
      <w:divBdr>
        <w:top w:val="none" w:sz="0" w:space="0" w:color="auto"/>
        <w:left w:val="none" w:sz="0" w:space="0" w:color="auto"/>
        <w:bottom w:val="none" w:sz="0" w:space="0" w:color="auto"/>
        <w:right w:val="none" w:sz="0" w:space="0" w:color="auto"/>
      </w:divBdr>
      <w:divsChild>
        <w:div w:id="1100099256">
          <w:marLeft w:val="0"/>
          <w:marRight w:val="0"/>
          <w:marTop w:val="0"/>
          <w:marBottom w:val="0"/>
          <w:divBdr>
            <w:top w:val="none" w:sz="0" w:space="0" w:color="auto"/>
            <w:left w:val="none" w:sz="0" w:space="0" w:color="auto"/>
            <w:bottom w:val="none" w:sz="0" w:space="0" w:color="auto"/>
            <w:right w:val="none" w:sz="0" w:space="0" w:color="auto"/>
          </w:divBdr>
          <w:divsChild>
            <w:div w:id="782578853">
              <w:marLeft w:val="0"/>
              <w:marRight w:val="0"/>
              <w:marTop w:val="0"/>
              <w:marBottom w:val="0"/>
              <w:divBdr>
                <w:top w:val="none" w:sz="0" w:space="0" w:color="auto"/>
                <w:left w:val="none" w:sz="0" w:space="0" w:color="auto"/>
                <w:bottom w:val="none" w:sz="0" w:space="0" w:color="auto"/>
                <w:right w:val="none" w:sz="0" w:space="0" w:color="auto"/>
              </w:divBdr>
              <w:divsChild>
                <w:div w:id="391195902">
                  <w:marLeft w:val="0"/>
                  <w:marRight w:val="0"/>
                  <w:marTop w:val="0"/>
                  <w:marBottom w:val="0"/>
                  <w:divBdr>
                    <w:top w:val="none" w:sz="0" w:space="0" w:color="auto"/>
                    <w:left w:val="none" w:sz="0" w:space="0" w:color="auto"/>
                    <w:bottom w:val="none" w:sz="0" w:space="0" w:color="auto"/>
                    <w:right w:val="none" w:sz="0" w:space="0" w:color="auto"/>
                  </w:divBdr>
                  <w:divsChild>
                    <w:div w:id="18936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0971">
      <w:bodyDiv w:val="1"/>
      <w:marLeft w:val="0"/>
      <w:marRight w:val="0"/>
      <w:marTop w:val="0"/>
      <w:marBottom w:val="0"/>
      <w:divBdr>
        <w:top w:val="none" w:sz="0" w:space="0" w:color="auto"/>
        <w:left w:val="none" w:sz="0" w:space="0" w:color="auto"/>
        <w:bottom w:val="none" w:sz="0" w:space="0" w:color="auto"/>
        <w:right w:val="none" w:sz="0" w:space="0" w:color="auto"/>
      </w:divBdr>
    </w:div>
    <w:div w:id="1854025153">
      <w:bodyDiv w:val="1"/>
      <w:marLeft w:val="0"/>
      <w:marRight w:val="0"/>
      <w:marTop w:val="0"/>
      <w:marBottom w:val="0"/>
      <w:divBdr>
        <w:top w:val="none" w:sz="0" w:space="0" w:color="auto"/>
        <w:left w:val="none" w:sz="0" w:space="0" w:color="auto"/>
        <w:bottom w:val="none" w:sz="0" w:space="0" w:color="auto"/>
        <w:right w:val="none" w:sz="0" w:space="0" w:color="auto"/>
      </w:divBdr>
    </w:div>
    <w:div w:id="1868176539">
      <w:bodyDiv w:val="1"/>
      <w:marLeft w:val="0"/>
      <w:marRight w:val="0"/>
      <w:marTop w:val="0"/>
      <w:marBottom w:val="0"/>
      <w:divBdr>
        <w:top w:val="none" w:sz="0" w:space="0" w:color="auto"/>
        <w:left w:val="none" w:sz="0" w:space="0" w:color="auto"/>
        <w:bottom w:val="none" w:sz="0" w:space="0" w:color="auto"/>
        <w:right w:val="none" w:sz="0" w:space="0" w:color="auto"/>
      </w:divBdr>
      <w:divsChild>
        <w:div w:id="2007855138">
          <w:marLeft w:val="0"/>
          <w:marRight w:val="0"/>
          <w:marTop w:val="0"/>
          <w:marBottom w:val="0"/>
          <w:divBdr>
            <w:top w:val="none" w:sz="0" w:space="0" w:color="auto"/>
            <w:left w:val="none" w:sz="0" w:space="0" w:color="auto"/>
            <w:bottom w:val="none" w:sz="0" w:space="0" w:color="auto"/>
            <w:right w:val="none" w:sz="0" w:space="0" w:color="auto"/>
          </w:divBdr>
          <w:divsChild>
            <w:div w:id="8429381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53827510">
      <w:bodyDiv w:val="1"/>
      <w:marLeft w:val="0"/>
      <w:marRight w:val="0"/>
      <w:marTop w:val="0"/>
      <w:marBottom w:val="0"/>
      <w:divBdr>
        <w:top w:val="none" w:sz="0" w:space="0" w:color="auto"/>
        <w:left w:val="none" w:sz="0" w:space="0" w:color="auto"/>
        <w:bottom w:val="none" w:sz="0" w:space="0" w:color="auto"/>
        <w:right w:val="none" w:sz="0" w:space="0" w:color="auto"/>
      </w:divBdr>
      <w:divsChild>
        <w:div w:id="1978951744">
          <w:marLeft w:val="0"/>
          <w:marRight w:val="0"/>
          <w:marTop w:val="0"/>
          <w:marBottom w:val="0"/>
          <w:divBdr>
            <w:top w:val="none" w:sz="0" w:space="0" w:color="auto"/>
            <w:left w:val="none" w:sz="0" w:space="0" w:color="auto"/>
            <w:bottom w:val="none" w:sz="0" w:space="0" w:color="auto"/>
            <w:right w:val="none" w:sz="0" w:space="0" w:color="auto"/>
          </w:divBdr>
          <w:divsChild>
            <w:div w:id="976111787">
              <w:marLeft w:val="0"/>
              <w:marRight w:val="0"/>
              <w:marTop w:val="0"/>
              <w:marBottom w:val="0"/>
              <w:divBdr>
                <w:top w:val="none" w:sz="0" w:space="0" w:color="auto"/>
                <w:left w:val="none" w:sz="0" w:space="0" w:color="auto"/>
                <w:bottom w:val="none" w:sz="0" w:space="0" w:color="auto"/>
                <w:right w:val="none" w:sz="0" w:space="0" w:color="auto"/>
              </w:divBdr>
              <w:divsChild>
                <w:div w:id="13124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8643">
      <w:bodyDiv w:val="1"/>
      <w:marLeft w:val="0"/>
      <w:marRight w:val="0"/>
      <w:marTop w:val="0"/>
      <w:marBottom w:val="0"/>
      <w:divBdr>
        <w:top w:val="none" w:sz="0" w:space="0" w:color="auto"/>
        <w:left w:val="none" w:sz="0" w:space="0" w:color="auto"/>
        <w:bottom w:val="none" w:sz="0" w:space="0" w:color="auto"/>
        <w:right w:val="none" w:sz="0" w:space="0" w:color="auto"/>
      </w:divBdr>
      <w:divsChild>
        <w:div w:id="409429926">
          <w:marLeft w:val="0"/>
          <w:marRight w:val="0"/>
          <w:marTop w:val="0"/>
          <w:marBottom w:val="0"/>
          <w:divBdr>
            <w:top w:val="none" w:sz="0" w:space="0" w:color="auto"/>
            <w:left w:val="none" w:sz="0" w:space="0" w:color="auto"/>
            <w:bottom w:val="none" w:sz="0" w:space="0" w:color="auto"/>
            <w:right w:val="none" w:sz="0" w:space="0" w:color="auto"/>
          </w:divBdr>
          <w:divsChild>
            <w:div w:id="464197351">
              <w:marLeft w:val="0"/>
              <w:marRight w:val="0"/>
              <w:marTop w:val="0"/>
              <w:marBottom w:val="0"/>
              <w:divBdr>
                <w:top w:val="none" w:sz="0" w:space="0" w:color="auto"/>
                <w:left w:val="none" w:sz="0" w:space="0" w:color="auto"/>
                <w:bottom w:val="none" w:sz="0" w:space="0" w:color="auto"/>
                <w:right w:val="none" w:sz="0" w:space="0" w:color="auto"/>
              </w:divBdr>
              <w:divsChild>
                <w:div w:id="4990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legal-tools.org/doc/1480de/pdf/" TargetMode="External"/><Relationship Id="rId18" Type="http://schemas.openxmlformats.org/officeDocument/2006/relationships/hyperlink" Target="https://library.fes.de/pdf-files/bueros/fes-pscc/14355-20180511.pdf" TargetMode="External"/><Relationship Id="rId26" Type="http://schemas.openxmlformats.org/officeDocument/2006/relationships/hyperlink" Target="https://bit.ly/3QDJ6Gt" TargetMode="External"/><Relationship Id="rId39" Type="http://schemas.openxmlformats.org/officeDocument/2006/relationships/hyperlink" Target="https://bit.ly/3H4mQT0" TargetMode="External"/><Relationship Id="rId21" Type="http://schemas.openxmlformats.org/officeDocument/2006/relationships/hyperlink" Target="https://bit.ly/3XekMgQ" TargetMode="External"/><Relationship Id="rId34" Type="http://schemas.openxmlformats.org/officeDocument/2006/relationships/hyperlink" Target="https://bit.ly/3CMzR0I" TargetMode="External"/><Relationship Id="rId7" Type="http://schemas.openxmlformats.org/officeDocument/2006/relationships/hyperlink" Target="https://www.ictj.org/what-transitional-justice" TargetMode="External"/><Relationship Id="rId12" Type="http://schemas.openxmlformats.org/officeDocument/2006/relationships/hyperlink" Target="https://bit.ly/3kbYFJ7" TargetMode="External"/><Relationship Id="rId17" Type="http://schemas.openxmlformats.org/officeDocument/2006/relationships/hyperlink" Target="https://bit.ly/3w6N9Bw" TargetMode="External"/><Relationship Id="rId25" Type="http://schemas.openxmlformats.org/officeDocument/2006/relationships/hyperlink" Target="https://bit.ly/3GI5N7Q" TargetMode="External"/><Relationship Id="rId33" Type="http://schemas.openxmlformats.org/officeDocument/2006/relationships/hyperlink" Target="https://bit.ly/3ZBUHda" TargetMode="External"/><Relationship Id="rId38" Type="http://schemas.openxmlformats.org/officeDocument/2006/relationships/hyperlink" Target="https://bit.ly/3ZDobqT" TargetMode="External"/><Relationship Id="rId2" Type="http://schemas.openxmlformats.org/officeDocument/2006/relationships/hyperlink" Target="https://bit.ly/3Wc4CDs" TargetMode="External"/><Relationship Id="rId16" Type="http://schemas.openxmlformats.org/officeDocument/2006/relationships/hyperlink" Target="https://bit.ly/3ILhfCh" TargetMode="External"/><Relationship Id="rId20" Type="http://schemas.openxmlformats.org/officeDocument/2006/relationships/hyperlink" Target="https://bit.ly/3w6k09I" TargetMode="External"/><Relationship Id="rId29" Type="http://schemas.openxmlformats.org/officeDocument/2006/relationships/hyperlink" Target="https://bit.ly/3w8hBvf" TargetMode="External"/><Relationship Id="rId1" Type="http://schemas.openxmlformats.org/officeDocument/2006/relationships/hyperlink" Target="https://peacestudies.missouri.edu/articles-4" TargetMode="External"/><Relationship Id="rId6" Type="http://schemas.openxmlformats.org/officeDocument/2006/relationships/hyperlink" Target="https://www.ohchr.org/en/transitional-justice" TargetMode="External"/><Relationship Id="rId11" Type="http://schemas.openxmlformats.org/officeDocument/2006/relationships/hyperlink" Target="https://bit.ly/3CNJ9JY" TargetMode="External"/><Relationship Id="rId24" Type="http://schemas.openxmlformats.org/officeDocument/2006/relationships/hyperlink" Target="https://bit.ly/3w5oQE4" TargetMode="External"/><Relationship Id="rId32" Type="http://schemas.openxmlformats.org/officeDocument/2006/relationships/hyperlink" Target="https://bit.ly/3GBLJ70" TargetMode="External"/><Relationship Id="rId37" Type="http://schemas.openxmlformats.org/officeDocument/2006/relationships/hyperlink" Target="https://peacelab.blog/search?author=lisa-laplante" TargetMode="External"/><Relationship Id="rId5" Type="http://schemas.openxmlformats.org/officeDocument/2006/relationships/hyperlink" Target="https://bit.ly/3GIr8xL" TargetMode="External"/><Relationship Id="rId15" Type="http://schemas.openxmlformats.org/officeDocument/2006/relationships/hyperlink" Target="https://bit.ly/3kglCeu" TargetMode="External"/><Relationship Id="rId23" Type="http://schemas.openxmlformats.org/officeDocument/2006/relationships/hyperlink" Target="https://bit.ly/3iKvrRd" TargetMode="External"/><Relationship Id="rId28" Type="http://schemas.openxmlformats.org/officeDocument/2006/relationships/hyperlink" Target="https://bit.ly/3W85dpr" TargetMode="External"/><Relationship Id="rId36" Type="http://schemas.openxmlformats.org/officeDocument/2006/relationships/hyperlink" Target="https://reparations.qub.ac.uk/assets/uploads/South-Sudan-Report-Update-SP.pdf" TargetMode="External"/><Relationship Id="rId10" Type="http://schemas.openxmlformats.org/officeDocument/2006/relationships/hyperlink" Target="https://bit.ly/3XdcAxn" TargetMode="External"/><Relationship Id="rId19" Type="http://schemas.openxmlformats.org/officeDocument/2006/relationships/hyperlink" Target="http://www.peaceau.org/uploads/auciss.executive.summary.pdf" TargetMode="External"/><Relationship Id="rId31" Type="http://schemas.openxmlformats.org/officeDocument/2006/relationships/hyperlink" Target="https://bit.ly/3GLx60U" TargetMode="External"/><Relationship Id="rId4" Type="http://schemas.openxmlformats.org/officeDocument/2006/relationships/hyperlink" Target="https://bit.ly/3W83RLn" TargetMode="External"/><Relationship Id="rId9" Type="http://schemas.openxmlformats.org/officeDocument/2006/relationships/hyperlink" Target="https://bit.ly/3XbE5al" TargetMode="External"/><Relationship Id="rId14" Type="http://schemas.openxmlformats.org/officeDocument/2006/relationships/hyperlink" Target="https://bit.ly/3kk5J6w" TargetMode="External"/><Relationship Id="rId22" Type="http://schemas.openxmlformats.org/officeDocument/2006/relationships/hyperlink" Target="https://bit.ly/3W65WaQ" TargetMode="External"/><Relationship Id="rId27" Type="http://schemas.openxmlformats.org/officeDocument/2006/relationships/hyperlink" Target="https://bit.ly/3W70kx2" TargetMode="External"/><Relationship Id="rId30" Type="http://schemas.openxmlformats.org/officeDocument/2006/relationships/hyperlink" Target="https://independent.academia.edu/URGthinktank" TargetMode="External"/><Relationship Id="rId35" Type="http://schemas.openxmlformats.org/officeDocument/2006/relationships/hyperlink" Target="https://bit.ly/3CMzR0I" TargetMode="External"/><Relationship Id="rId8" Type="http://schemas.openxmlformats.org/officeDocument/2006/relationships/hyperlink" Target="https://www.refworld.org/pdfid/4455cc524.pdf" TargetMode="External"/><Relationship Id="rId3" Type="http://schemas.openxmlformats.org/officeDocument/2006/relationships/hyperlink" Target="https://bit.ly/3XvWDC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tir-my.sharepoint.com/personal/de17_stir_ac_uk/Documents/Human%20Rights%20and%20Diplomacy/UPR%20and%20Transitional%20Justice/Data%20on%20UPR%20and%20Transitional%20Justice%20South%20Sudan%20and%20Burundi%20first%20file%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stir-my.sharepoint.com/personal/de17_stir_ac_uk/Documents/Human%20Rights%20and%20Diplomacy/UPR%20and%20Transitional%20Justice/Copy%20of%20Chart%20UPR%20and%20South%20Suda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GB">
                <a:solidFill>
                  <a:schemeClr val="bg1"/>
                </a:solidFill>
              </a:rPr>
              <a:t>Figure 1: Quantity</a:t>
            </a:r>
            <a:r>
              <a:rPr lang="en-GB" baseline="0">
                <a:solidFill>
                  <a:schemeClr val="bg1"/>
                </a:solidFill>
              </a:rPr>
              <a:t> of UPR Recommendations on Transitional Justice - Burundi</a:t>
            </a:r>
            <a:endParaRPr lang="en-GB">
              <a:solidFill>
                <a:schemeClr val="bg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Sheet3!$B$1</c:f>
              <c:strCache>
                <c:ptCount val="1"/>
                <c:pt idx="0">
                  <c:v>Burundi UPR I (% of a total of 51 Recommendation)</c:v>
                </c:pt>
              </c:strCache>
            </c:strRef>
          </c:tx>
          <c:spPr>
            <a:solidFill>
              <a:schemeClr val="accent4">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Reparations</c:v>
                </c:pt>
                <c:pt idx="4">
                  <c:v>Return and Reintergration</c:v>
                </c:pt>
                <c:pt idx="5">
                  <c:v>Truth Commissions or Commissions of Enquiry</c:v>
                </c:pt>
                <c:pt idx="6">
                  <c:v>Justice and Criminal Accountability</c:v>
                </c:pt>
              </c:strCache>
            </c:strRef>
          </c:cat>
          <c:val>
            <c:numRef>
              <c:f>Sheet3!$B$2:$B$8</c:f>
              <c:numCache>
                <c:formatCode>0%</c:formatCode>
                <c:ptCount val="7"/>
                <c:pt idx="0">
                  <c:v>5.8999999999999997E-2</c:v>
                </c:pt>
                <c:pt idx="1">
                  <c:v>0.02</c:v>
                </c:pt>
                <c:pt idx="2">
                  <c:v>3.9E-2</c:v>
                </c:pt>
                <c:pt idx="3">
                  <c:v>0.02</c:v>
                </c:pt>
                <c:pt idx="4">
                  <c:v>0.02</c:v>
                </c:pt>
                <c:pt idx="5">
                  <c:v>0.04</c:v>
                </c:pt>
                <c:pt idx="6">
                  <c:v>5.8999999999999997E-2</c:v>
                </c:pt>
              </c:numCache>
            </c:numRef>
          </c:val>
          <c:shape val="cylinder"/>
          <c:extLst>
            <c:ext xmlns:c16="http://schemas.microsoft.com/office/drawing/2014/chart" uri="{C3380CC4-5D6E-409C-BE32-E72D297353CC}">
              <c16:uniqueId val="{00000000-FEAB-48A2-83D5-87D86F954977}"/>
            </c:ext>
          </c:extLst>
        </c:ser>
        <c:ser>
          <c:idx val="1"/>
          <c:order val="1"/>
          <c:tx>
            <c:strRef>
              <c:f>Sheet3!$C$1</c:f>
              <c:strCache>
                <c:ptCount val="1"/>
                <c:pt idx="0">
                  <c:v>Burundi UPR II (% of a total of 171 Recommendation)</c:v>
                </c:pt>
              </c:strCache>
            </c:strRef>
          </c:tx>
          <c:spPr>
            <a:solidFill>
              <a:schemeClr val="bg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Reparations</c:v>
                </c:pt>
                <c:pt idx="4">
                  <c:v>Return and Reintergration</c:v>
                </c:pt>
                <c:pt idx="5">
                  <c:v>Truth Commissions or Commissions of Enquiry</c:v>
                </c:pt>
                <c:pt idx="6">
                  <c:v>Justice and Criminal Accountability</c:v>
                </c:pt>
              </c:strCache>
            </c:strRef>
          </c:cat>
          <c:val>
            <c:numRef>
              <c:f>Sheet3!$C$2:$C$8</c:f>
              <c:numCache>
                <c:formatCode>0%</c:formatCode>
                <c:ptCount val="7"/>
                <c:pt idx="0">
                  <c:v>0.01</c:v>
                </c:pt>
                <c:pt idx="1">
                  <c:v>0.01</c:v>
                </c:pt>
                <c:pt idx="2">
                  <c:v>0</c:v>
                </c:pt>
                <c:pt idx="3">
                  <c:v>0</c:v>
                </c:pt>
                <c:pt idx="4">
                  <c:v>0</c:v>
                </c:pt>
                <c:pt idx="5">
                  <c:v>0.11</c:v>
                </c:pt>
                <c:pt idx="6">
                  <c:v>6.4000000000000001E-2</c:v>
                </c:pt>
              </c:numCache>
            </c:numRef>
          </c:val>
          <c:shape val="cylinder"/>
          <c:extLst>
            <c:ext xmlns:c16="http://schemas.microsoft.com/office/drawing/2014/chart" uri="{C3380CC4-5D6E-409C-BE32-E72D297353CC}">
              <c16:uniqueId val="{00000001-FEAB-48A2-83D5-87D86F954977}"/>
            </c:ext>
          </c:extLst>
        </c:ser>
        <c:ser>
          <c:idx val="2"/>
          <c:order val="2"/>
          <c:tx>
            <c:strRef>
              <c:f>Sheet3!$D$1</c:f>
              <c:strCache>
                <c:ptCount val="1"/>
                <c:pt idx="0">
                  <c:v>Burundi UPR III (% of a total of 242 Recommendation)</c:v>
                </c:pt>
              </c:strCache>
            </c:strRef>
          </c:tx>
          <c:spPr>
            <a:solidFill>
              <a:schemeClr val="bg2">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Reparations</c:v>
                </c:pt>
                <c:pt idx="4">
                  <c:v>Return and Reintergration</c:v>
                </c:pt>
                <c:pt idx="5">
                  <c:v>Truth Commissions or Commissions of Enquiry</c:v>
                </c:pt>
                <c:pt idx="6">
                  <c:v>Justice and Criminal Accountability</c:v>
                </c:pt>
              </c:strCache>
            </c:strRef>
          </c:cat>
          <c:val>
            <c:numRef>
              <c:f>Sheet3!$D$2:$D$8</c:f>
              <c:numCache>
                <c:formatCode>0.0%</c:formatCode>
                <c:ptCount val="7"/>
                <c:pt idx="0" formatCode="0%">
                  <c:v>0</c:v>
                </c:pt>
                <c:pt idx="1">
                  <c:v>4.0000000000000001E-3</c:v>
                </c:pt>
                <c:pt idx="2">
                  <c:v>4.0000000000000001E-3</c:v>
                </c:pt>
                <c:pt idx="3" formatCode="0%">
                  <c:v>0</c:v>
                </c:pt>
                <c:pt idx="4" formatCode="0%">
                  <c:v>0</c:v>
                </c:pt>
                <c:pt idx="5" formatCode="0%">
                  <c:v>0.09</c:v>
                </c:pt>
                <c:pt idx="6" formatCode="0%">
                  <c:v>0.124</c:v>
                </c:pt>
              </c:numCache>
            </c:numRef>
          </c:val>
          <c:shape val="cylinder"/>
          <c:extLst>
            <c:ext xmlns:c16="http://schemas.microsoft.com/office/drawing/2014/chart" uri="{C3380CC4-5D6E-409C-BE32-E72D297353CC}">
              <c16:uniqueId val="{00000002-FEAB-48A2-83D5-87D86F954977}"/>
            </c:ext>
          </c:extLst>
        </c:ser>
        <c:dLbls>
          <c:showLegendKey val="0"/>
          <c:showVal val="0"/>
          <c:showCatName val="0"/>
          <c:showSerName val="0"/>
          <c:showPercent val="0"/>
          <c:showBubbleSize val="0"/>
        </c:dLbls>
        <c:gapWidth val="60"/>
        <c:shape val="box"/>
        <c:axId val="1605165056"/>
        <c:axId val="1646820656"/>
        <c:axId val="0"/>
      </c:bar3DChart>
      <c:catAx>
        <c:axId val="1605165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646820656"/>
        <c:crosses val="autoZero"/>
        <c:auto val="1"/>
        <c:lblAlgn val="ctr"/>
        <c:lblOffset val="100"/>
        <c:noMultiLvlLbl val="0"/>
      </c:catAx>
      <c:valAx>
        <c:axId val="1646820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60516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r>
              <a:rPr lang="en-GB">
                <a:solidFill>
                  <a:schemeClr val="bg1"/>
                </a:solidFill>
              </a:rPr>
              <a:t>Figure 2: Quanity of UPR Recommendations on Transitional Justice - South Sudan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bg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Sheet3!$B$1</c:f>
              <c:strCache>
                <c:ptCount val="1"/>
                <c:pt idx="0">
                  <c:v>Burundi UPR I (% of a total of 51 Recommendation)</c:v>
                </c:pt>
              </c:strCache>
            </c:strRef>
          </c:tx>
          <c:spPr>
            <a:solidFill>
              <a:schemeClr val="accent1"/>
            </a:solidFill>
            <a:ln>
              <a:noFill/>
            </a:ln>
            <a:effectLst/>
            <a:sp3d/>
          </c:spPr>
          <c:invertIfNegative val="0"/>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Sheet3!$B$2:$B$8</c:f>
            </c:numRef>
          </c:val>
          <c:extLst>
            <c:ext xmlns:c16="http://schemas.microsoft.com/office/drawing/2014/chart" uri="{C3380CC4-5D6E-409C-BE32-E72D297353CC}">
              <c16:uniqueId val="{00000000-62F2-4854-924F-9E8C0952C274}"/>
            </c:ext>
          </c:extLst>
        </c:ser>
        <c:ser>
          <c:idx val="1"/>
          <c:order val="1"/>
          <c:tx>
            <c:strRef>
              <c:f>Sheet3!$C$1</c:f>
              <c:strCache>
                <c:ptCount val="1"/>
                <c:pt idx="0">
                  <c:v>Burundi UPR II (% of a total of 171 Recommendation)</c:v>
                </c:pt>
              </c:strCache>
            </c:strRef>
          </c:tx>
          <c:spPr>
            <a:solidFill>
              <a:schemeClr val="accent2"/>
            </a:solidFill>
            <a:ln>
              <a:noFill/>
            </a:ln>
            <a:effectLst/>
            <a:sp3d/>
          </c:spPr>
          <c:invertIfNegative val="0"/>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Sheet3!$C$2:$C$8</c:f>
            </c:numRef>
          </c:val>
          <c:extLst>
            <c:ext xmlns:c16="http://schemas.microsoft.com/office/drawing/2014/chart" uri="{C3380CC4-5D6E-409C-BE32-E72D297353CC}">
              <c16:uniqueId val="{00000001-62F2-4854-924F-9E8C0952C274}"/>
            </c:ext>
          </c:extLst>
        </c:ser>
        <c:ser>
          <c:idx val="2"/>
          <c:order val="2"/>
          <c:tx>
            <c:strRef>
              <c:f>Sheet3!$D$1</c:f>
              <c:strCache>
                <c:ptCount val="1"/>
                <c:pt idx="0">
                  <c:v>Burundi UPR III (% of a total of 242 Recommendation)</c:v>
                </c:pt>
              </c:strCache>
            </c:strRef>
          </c:tx>
          <c:spPr>
            <a:solidFill>
              <a:schemeClr val="accent3"/>
            </a:solidFill>
            <a:ln>
              <a:noFill/>
            </a:ln>
            <a:effectLst/>
            <a:sp3d/>
          </c:spPr>
          <c:invertIfNegative val="0"/>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Sheet3!$D$2:$D$8</c:f>
            </c:numRef>
          </c:val>
          <c:extLst>
            <c:ext xmlns:c16="http://schemas.microsoft.com/office/drawing/2014/chart" uri="{C3380CC4-5D6E-409C-BE32-E72D297353CC}">
              <c16:uniqueId val="{00000002-62F2-4854-924F-9E8C0952C274}"/>
            </c:ext>
          </c:extLst>
        </c:ser>
        <c:ser>
          <c:idx val="3"/>
          <c:order val="3"/>
          <c:tx>
            <c:strRef>
              <c:f>Sheet3!$E$1</c:f>
              <c:strCache>
                <c:ptCount val="1"/>
                <c:pt idx="0">
                  <c:v>South Sudan UPR I(% of a total of 33 Recommendation)</c:v>
                </c:pt>
              </c:strCache>
            </c:strRef>
          </c:tx>
          <c:spPr>
            <a:solidFill>
              <a:schemeClr val="accent4">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Sheet3!$E$2:$E$8</c:f>
              <c:numCache>
                <c:formatCode>0%</c:formatCode>
                <c:ptCount val="7"/>
                <c:pt idx="0">
                  <c:v>0.06</c:v>
                </c:pt>
                <c:pt idx="1">
                  <c:v>0.06</c:v>
                </c:pt>
                <c:pt idx="2">
                  <c:v>0</c:v>
                </c:pt>
                <c:pt idx="3">
                  <c:v>0</c:v>
                </c:pt>
                <c:pt idx="4">
                  <c:v>0</c:v>
                </c:pt>
                <c:pt idx="5">
                  <c:v>0</c:v>
                </c:pt>
                <c:pt idx="6">
                  <c:v>0</c:v>
                </c:pt>
              </c:numCache>
            </c:numRef>
          </c:val>
          <c:shape val="cylinder"/>
          <c:extLst>
            <c:ext xmlns:c16="http://schemas.microsoft.com/office/drawing/2014/chart" uri="{C3380CC4-5D6E-409C-BE32-E72D297353CC}">
              <c16:uniqueId val="{00000003-62F2-4854-924F-9E8C0952C274}"/>
            </c:ext>
          </c:extLst>
        </c:ser>
        <c:ser>
          <c:idx val="4"/>
          <c:order val="4"/>
          <c:tx>
            <c:strRef>
              <c:f>Sheet3!$F$1</c:f>
              <c:strCache>
                <c:ptCount val="1"/>
                <c:pt idx="0">
                  <c:v>South Sudan UPR II (% of a total of 233 Recommendation)</c:v>
                </c:pt>
              </c:strCache>
            </c:strRef>
          </c:tx>
          <c:spPr>
            <a:solidFill>
              <a:schemeClr val="bg2">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Sheet3!$F$2:$F$8</c:f>
              <c:numCache>
                <c:formatCode>0%</c:formatCode>
                <c:ptCount val="7"/>
                <c:pt idx="0">
                  <c:v>1.2999999999999999E-2</c:v>
                </c:pt>
                <c:pt idx="1">
                  <c:v>0.03</c:v>
                </c:pt>
                <c:pt idx="2">
                  <c:v>2.5999999999999999E-2</c:v>
                </c:pt>
                <c:pt idx="3">
                  <c:v>2.5999999999999999E-2</c:v>
                </c:pt>
                <c:pt idx="4" formatCode="0.0%">
                  <c:v>4.0000000000000001E-3</c:v>
                </c:pt>
                <c:pt idx="5">
                  <c:v>0.02</c:v>
                </c:pt>
                <c:pt idx="6">
                  <c:v>0.159</c:v>
                </c:pt>
              </c:numCache>
            </c:numRef>
          </c:val>
          <c:shape val="cylinder"/>
          <c:extLst>
            <c:ext xmlns:c16="http://schemas.microsoft.com/office/drawing/2014/chart" uri="{C3380CC4-5D6E-409C-BE32-E72D297353CC}">
              <c16:uniqueId val="{00000004-62F2-4854-924F-9E8C0952C274}"/>
            </c:ext>
          </c:extLst>
        </c:ser>
        <c:ser>
          <c:idx val="5"/>
          <c:order val="5"/>
          <c:tx>
            <c:strRef>
              <c:f>Sheet3!$G$1</c:f>
              <c:strCache>
                <c:ptCount val="1"/>
                <c:pt idx="0">
                  <c:v>South Sudan UPR III (% of a total of 258 Recommendation)</c:v>
                </c:pt>
              </c:strCache>
            </c:strRef>
          </c:tx>
          <c:spPr>
            <a:solidFill>
              <a:schemeClr val="bg2">
                <a:lumMod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Sheet3!$A$2:$A$8</c:f>
              <c:strCache>
                <c:ptCount val="7"/>
                <c:pt idx="0">
                  <c:v>General Reference to transitional justice Justice and others</c:v>
                </c:pt>
                <c:pt idx="1">
                  <c:v>Peace and Reconciliation</c:v>
                </c:pt>
                <c:pt idx="2">
                  <c:v>Constitional, Judicial and Institutional Reform</c:v>
                </c:pt>
                <c:pt idx="3">
                  <c:v>Return and Reintergration</c:v>
                </c:pt>
                <c:pt idx="4">
                  <c:v>Reparations</c:v>
                </c:pt>
                <c:pt idx="5">
                  <c:v>Truth Commissions or Commissions of Enquiry</c:v>
                </c:pt>
                <c:pt idx="6">
                  <c:v>Justice and Criminal Accountability</c:v>
                </c:pt>
              </c:strCache>
            </c:strRef>
          </c:cat>
          <c:val>
            <c:numRef>
              <c:f>Sheet3!$G$2:$G$8</c:f>
              <c:numCache>
                <c:formatCode>0%</c:formatCode>
                <c:ptCount val="7"/>
                <c:pt idx="0">
                  <c:v>5.3999999999999999E-2</c:v>
                </c:pt>
                <c:pt idx="1">
                  <c:v>1.9E-2</c:v>
                </c:pt>
                <c:pt idx="2" formatCode="0.0%">
                  <c:v>1.6E-2</c:v>
                </c:pt>
                <c:pt idx="3" formatCode="0.0%">
                  <c:v>1.6E-2</c:v>
                </c:pt>
                <c:pt idx="4" formatCode="0.0%">
                  <c:v>1.6E-2</c:v>
                </c:pt>
                <c:pt idx="5">
                  <c:v>8.0000000000000002E-3</c:v>
                </c:pt>
                <c:pt idx="6">
                  <c:v>8.5000000000000006E-2</c:v>
                </c:pt>
              </c:numCache>
            </c:numRef>
          </c:val>
          <c:shape val="cylinder"/>
          <c:extLst>
            <c:ext xmlns:c16="http://schemas.microsoft.com/office/drawing/2014/chart" uri="{C3380CC4-5D6E-409C-BE32-E72D297353CC}">
              <c16:uniqueId val="{00000005-62F2-4854-924F-9E8C0952C274}"/>
            </c:ext>
          </c:extLst>
        </c:ser>
        <c:dLbls>
          <c:showLegendKey val="0"/>
          <c:showVal val="0"/>
          <c:showCatName val="0"/>
          <c:showSerName val="0"/>
          <c:showPercent val="0"/>
          <c:showBubbleSize val="0"/>
        </c:dLbls>
        <c:gapWidth val="60"/>
        <c:shape val="box"/>
        <c:axId val="308304479"/>
        <c:axId val="308304063"/>
        <c:axId val="0"/>
      </c:bar3DChart>
      <c:catAx>
        <c:axId val="3083044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308304063"/>
        <c:crosses val="autoZero"/>
        <c:auto val="1"/>
        <c:lblAlgn val="ctr"/>
        <c:lblOffset val="100"/>
        <c:noMultiLvlLbl val="0"/>
      </c:catAx>
      <c:valAx>
        <c:axId val="30830406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308304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9e3f95-1114-442b-a926-538f491c1d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C5A5E2696B349BEAC32D11432FB0B" ma:contentTypeVersion="15" ma:contentTypeDescription="Create a new document." ma:contentTypeScope="" ma:versionID="d2307bcc954ce1e00a5a72abda902df8">
  <xsd:schema xmlns:xsd="http://www.w3.org/2001/XMLSchema" xmlns:xs="http://www.w3.org/2001/XMLSchema" xmlns:p="http://schemas.microsoft.com/office/2006/metadata/properties" xmlns:ns3="7e9e3f95-1114-442b-a926-538f491c1d6c" xmlns:ns4="4e060f3f-472d-4a9e-a408-0b1d7a77a8e0" targetNamespace="http://schemas.microsoft.com/office/2006/metadata/properties" ma:root="true" ma:fieldsID="be8a816584d1fa7b523e0f2a156a24cd" ns3:_="" ns4:_="">
    <xsd:import namespace="7e9e3f95-1114-442b-a926-538f491c1d6c"/>
    <xsd:import namespace="4e060f3f-472d-4a9e-a408-0b1d7a77a8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3f95-1114-442b-a926-538f491c1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60f3f-472d-4a9e-a408-0b1d7a77a8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89C92-3DD0-4B84-B7D9-8E55FE88BFEB}">
  <ds:schemaRefs>
    <ds:schemaRef ds:uri="http://schemas.openxmlformats.org/officeDocument/2006/bibliography"/>
  </ds:schemaRefs>
</ds:datastoreItem>
</file>

<file path=customXml/itemProps2.xml><?xml version="1.0" encoding="utf-8"?>
<ds:datastoreItem xmlns:ds="http://schemas.openxmlformats.org/officeDocument/2006/customXml" ds:itemID="{A0FF88C6-0132-4B92-840B-099BE973BE0F}">
  <ds:schemaRefs>
    <ds:schemaRef ds:uri="http://schemas.microsoft.com/sharepoint/v3/contenttype/forms"/>
  </ds:schemaRefs>
</ds:datastoreItem>
</file>

<file path=customXml/itemProps3.xml><?xml version="1.0" encoding="utf-8"?>
<ds:datastoreItem xmlns:ds="http://schemas.openxmlformats.org/officeDocument/2006/customXml" ds:itemID="{095BAF07-0B37-4BCD-80DA-3D07E593A83B}">
  <ds:schemaRefs>
    <ds:schemaRef ds:uri="http://schemas.microsoft.com/office/2006/metadata/properties"/>
    <ds:schemaRef ds:uri="http://schemas.microsoft.com/office/infopath/2007/PartnerControls"/>
    <ds:schemaRef ds:uri="7e9e3f95-1114-442b-a926-538f491c1d6c"/>
  </ds:schemaRefs>
</ds:datastoreItem>
</file>

<file path=customXml/itemProps4.xml><?xml version="1.0" encoding="utf-8"?>
<ds:datastoreItem xmlns:ds="http://schemas.openxmlformats.org/officeDocument/2006/customXml" ds:itemID="{11114029-CF80-4961-A23D-EE3E6AEB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3f95-1114-442b-a926-538f491c1d6c"/>
    <ds:schemaRef ds:uri="4e060f3f-472d-4a9e-a408-0b1d7a77a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7071</Words>
  <Characters>40306</Characters>
  <Application>Microsoft Office Word</Application>
  <DocSecurity>0</DocSecurity>
  <Lines>335</Lines>
  <Paragraphs>94</Paragraphs>
  <ScaleCrop>false</ScaleCrop>
  <Company/>
  <LinksUpToDate>false</LinksUpToDate>
  <CharactersWithSpaces>47283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Etone</dc:creator>
  <cp:keywords/>
  <dc:description/>
  <cp:lastModifiedBy>Damian Etone</cp:lastModifiedBy>
  <cp:revision>34</cp:revision>
  <cp:lastPrinted>2023-01-15T06:53:00Z</cp:lastPrinted>
  <dcterms:created xsi:type="dcterms:W3CDTF">2023-01-14T22:58:00Z</dcterms:created>
  <dcterms:modified xsi:type="dcterms:W3CDTF">2023-01-15T13:31:00Z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0x010100BAEC5A5E2696B349BEAC32D11432FB0B</vt:lpwstr>
  </property>
</Properties>
</file>