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لوجستية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والتوصيات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943600" cy="3162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1"/>
        </w:rPr>
        <w:t xml:space="preserve">مقدمة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1"/>
        </w:rPr>
        <w:t xml:space="preserve">تلعب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التوريد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تسهيل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البضائع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المستهلكين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الكافية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وأهميتها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حتملة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الكافية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ضعف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تفتقر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والسكك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والموانئ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للتشغيل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1"/>
        </w:rPr>
        <w:t xml:space="preserve">ثاني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وصيانة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ثالث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التنظيمية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الجمركية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عقدة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الداعمة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1"/>
        </w:rPr>
        <w:t xml:space="preserve">يتمثل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التوريد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المخزون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ind w:left="1440" w:firstLine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114300</wp:posOffset>
            </wp:positionV>
            <wp:extent cx="2657475" cy="1724025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علاوة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سه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التخليص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والتخزين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وتتجاوز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الإقليمية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لوجستية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وتحفيز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التنافسية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تشريعات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جمركية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داعمة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التأخيرات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البيروقراطية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الشفافية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وينبغي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إرشادات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للتخليص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الجمركي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والتعريفات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الجمركية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ومتطلبات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للحكومات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تشجيع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لسلاسل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التوريد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1"/>
        </w:rPr>
        <w:t xml:space="preserve">الحلول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البديلة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1"/>
        </w:rPr>
        <w:t xml:space="preserve">لمواجهة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بديلة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الشراكات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وسيلة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فع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للحكومات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والمخاطر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1"/>
        </w:rPr>
        <w:t xml:space="preserve">ثاني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التكنولوجيا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تقنيات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متقدمة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الأتمتة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وتحليلات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الاصطناعي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التشغيلية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ويشمل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وتوسيع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الموانئ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1"/>
        </w:rPr>
        <w:t xml:space="preserve">وأخير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لمتخصصي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تزويد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3028255</wp:posOffset>
            </wp:positionH>
            <wp:positionV relativeFrom="paragraph">
              <wp:posOffset>203788</wp:posOffset>
            </wp:positionV>
            <wp:extent cx="2857500" cy="1600200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1"/>
        </w:rPr>
        <w:t xml:space="preserve">الخلاصة</w:t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شك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داعمة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جمركي</w:t>
      </w:r>
      <w:r w:rsidDel="00000000" w:rsidR="00000000" w:rsidRPr="00000000">
        <w:rPr>
          <w:rtl w:val="1"/>
        </w:rPr>
        <w:t xml:space="preserve">ٍّ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الشراكات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والخاص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التكنولوجيا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للنقل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خطوات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حاسمة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لوجستي</w:t>
      </w:r>
      <w:r w:rsidDel="00000000" w:rsidR="00000000" w:rsidRPr="00000000">
        <w:rPr>
          <w:rtl w:val="1"/>
        </w:rPr>
        <w:t xml:space="preserve">ٍّ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معالجة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اللوجستية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فحسب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نطاق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أوسع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