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9.xml" ContentType="application/vnd.openxmlformats-officedocument.wordprocessingml.header+xml"/>
  <Override PartName="/word/footer58.xml" ContentType="application/vnd.openxmlformats-officedocument.wordprocessingml.footer+xml"/>
  <Override PartName="/word/header5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7.xml" ContentType="application/vnd.openxmlformats-officedocument.wordprocessingml.header+xml"/>
  <Override PartName="/word/footer67.xml" ContentType="application/vnd.openxmlformats-officedocument.wordprocessingml.footer+xml"/>
  <Override PartName="/word/header5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68.xml" ContentType="application/vnd.openxmlformats-officedocument.wordprocessingml.header+xml"/>
  <Override PartName="/word/footer80.xml" ContentType="application/vnd.openxmlformats-officedocument.wordprocessingml.footer+xml"/>
  <Override PartName="/word/header6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7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82.xml" ContentType="application/vnd.openxmlformats-officedocument.wordprocessingml.header+xml"/>
  <Override PartName="/word/footer95.xml" ContentType="application/vnd.openxmlformats-officedocument.wordprocessingml.footer+xml"/>
  <Override PartName="/word/header8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86.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89.xml" ContentType="application/vnd.openxmlformats-officedocument.wordprocessingml.header+xml"/>
  <Override PartName="/word/footer104.xml" ContentType="application/vnd.openxmlformats-officedocument.wordprocessingml.footer+xml"/>
  <Override PartName="/word/header9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10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line="268" w:lineRule="auto" w:before="111"/>
        <w:ind w:left="2549" w:right="2188" w:firstLine="0"/>
        <w:jc w:val="center"/>
        <w:rPr>
          <w:rFonts w:ascii="Book Antiqua"/>
          <w:sz w:val="48"/>
        </w:rPr>
      </w:pPr>
      <w:r>
        <w:rPr>
          <w:rFonts w:ascii="Book Antiqua"/>
          <w:spacing w:val="-2"/>
          <w:w w:val="105"/>
          <w:sz w:val="48"/>
        </w:rPr>
        <w:t>SECRETS </w:t>
      </w:r>
      <w:r>
        <w:rPr>
          <w:rFonts w:ascii="Book Antiqua"/>
          <w:w w:val="105"/>
          <w:sz w:val="48"/>
        </w:rPr>
        <w:t>OF A</w:t>
      </w:r>
    </w:p>
    <w:p>
      <w:pPr>
        <w:spacing w:line="505" w:lineRule="exact" w:before="0"/>
        <w:ind w:left="361" w:right="0" w:firstLine="0"/>
        <w:jc w:val="center"/>
        <w:rPr>
          <w:rFonts w:ascii="Book Antiqua"/>
          <w:sz w:val="48"/>
        </w:rPr>
      </w:pPr>
      <w:r>
        <w:rPr>
          <w:rFonts w:ascii="Book Antiqua"/>
          <w:w w:val="105"/>
          <w:sz w:val="48"/>
        </w:rPr>
        <w:t>PIVOT</w:t>
      </w:r>
      <w:r>
        <w:rPr>
          <w:rFonts w:ascii="Book Antiqua"/>
          <w:spacing w:val="8"/>
          <w:w w:val="110"/>
          <w:sz w:val="48"/>
        </w:rPr>
        <w:t> </w:t>
      </w:r>
      <w:r>
        <w:rPr>
          <w:rFonts w:ascii="Book Antiqua"/>
          <w:spacing w:val="-4"/>
          <w:w w:val="110"/>
          <w:sz w:val="48"/>
        </w:rPr>
        <w:t>BOSS</w:t>
      </w:r>
    </w:p>
    <w:p>
      <w:pPr>
        <w:spacing w:after="0" w:line="505" w:lineRule="exact"/>
        <w:jc w:val="center"/>
        <w:rPr>
          <w:rFonts w:ascii="Book Antiqua"/>
          <w:sz w:val="48"/>
        </w:rPr>
        <w:sectPr>
          <w:type w:val="continuous"/>
          <w:pgSz w:w="8640" w:h="12960"/>
          <w:pgMar w:top="1480" w:bottom="280" w:left="580" w:right="580"/>
        </w:sectPr>
      </w:pPr>
    </w:p>
    <w:p>
      <w:pPr>
        <w:pStyle w:val="BodyText"/>
        <w:spacing w:before="1"/>
        <w:rPr>
          <w:rFonts w:ascii="Book Antiqua"/>
          <w:sz w:val="16"/>
        </w:rPr>
      </w:pPr>
    </w:p>
    <w:p>
      <w:pPr>
        <w:spacing w:after="0"/>
        <w:rPr>
          <w:rFonts w:ascii="Book Antiqua"/>
          <w:sz w:val="16"/>
        </w:rPr>
        <w:sectPr>
          <w:pgSz w:w="8640" w:h="12960"/>
          <w:pgMar w:top="1480" w:bottom="280" w:left="580" w:right="580"/>
        </w:sect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spacing w:before="7"/>
        <w:rPr>
          <w:rFonts w:ascii="Book Antiqua"/>
          <w:sz w:val="28"/>
        </w:rPr>
      </w:pPr>
    </w:p>
    <w:p>
      <w:pPr>
        <w:pStyle w:val="Title"/>
        <w:spacing w:before="119"/>
        <w:ind w:left="360"/>
      </w:pPr>
      <w:r>
        <w:rPr>
          <w:smallCaps/>
          <w:spacing w:val="-2"/>
        </w:rPr>
        <w:t>Secrets</w:t>
      </w:r>
    </w:p>
    <w:p>
      <w:pPr>
        <w:spacing w:line="642" w:lineRule="exact" w:before="180"/>
        <w:ind w:left="2547" w:right="2188" w:firstLine="0"/>
        <w:jc w:val="center"/>
        <w:rPr>
          <w:rFonts w:ascii="High Tower Text"/>
          <w:sz w:val="56"/>
        </w:rPr>
      </w:pPr>
      <w:r>
        <w:rPr>
          <w:rFonts w:ascii="High Tower Text"/>
          <w:sz w:val="56"/>
        </w:rPr>
        <w:t>OF</w:t>
      </w:r>
      <w:r>
        <w:rPr>
          <w:rFonts w:ascii="High Tower Text"/>
          <w:spacing w:val="-8"/>
          <w:sz w:val="56"/>
        </w:rPr>
        <w:t> </w:t>
      </w:r>
      <w:r>
        <w:rPr>
          <w:rFonts w:ascii="High Tower Text"/>
          <w:spacing w:val="-10"/>
          <w:sz w:val="56"/>
        </w:rPr>
        <w:t>A</w:t>
      </w:r>
    </w:p>
    <w:p>
      <w:pPr>
        <w:pStyle w:val="Title"/>
        <w:spacing w:line="1175" w:lineRule="exact"/>
      </w:pPr>
      <w:r>
        <w:rPr>
          <w:smallCaps/>
        </w:rPr>
        <w:t>Pivot</w:t>
      </w:r>
      <w:r>
        <w:rPr>
          <w:smallCaps/>
          <w:spacing w:val="-36"/>
        </w:rPr>
        <w:t> </w:t>
      </w:r>
      <w:r>
        <w:rPr>
          <w:smallCaps/>
          <w:spacing w:val="-4"/>
        </w:rPr>
        <w:t>Boss</w:t>
      </w:r>
    </w:p>
    <w:p>
      <w:pPr>
        <w:spacing w:line="538" w:lineRule="exact" w:before="0"/>
        <w:ind w:left="357" w:right="0" w:firstLine="0"/>
        <w:jc w:val="center"/>
        <w:rPr>
          <w:rFonts w:ascii="Book Antiqua"/>
          <w:sz w:val="44"/>
        </w:rPr>
      </w:pPr>
      <w:r>
        <w:rPr>
          <w:rFonts w:ascii="Book Antiqua"/>
          <w:smallCaps/>
          <w:w w:val="90"/>
          <w:sz w:val="44"/>
        </w:rPr>
        <w:t>Revealing</w:t>
      </w:r>
      <w:r>
        <w:rPr>
          <w:rFonts w:ascii="Book Antiqua"/>
          <w:smallCaps/>
          <w:spacing w:val="34"/>
          <w:sz w:val="44"/>
        </w:rPr>
        <w:t> </w:t>
      </w:r>
      <w:r>
        <w:rPr>
          <w:rFonts w:ascii="Book Antiqua"/>
          <w:smallCaps/>
          <w:w w:val="90"/>
          <w:sz w:val="44"/>
        </w:rPr>
        <w:t>Proven</w:t>
      </w:r>
      <w:r>
        <w:rPr>
          <w:rFonts w:ascii="Book Antiqua"/>
          <w:smallCaps/>
          <w:spacing w:val="32"/>
          <w:sz w:val="44"/>
        </w:rPr>
        <w:t> </w:t>
      </w:r>
      <w:r>
        <w:rPr>
          <w:rFonts w:ascii="Book Antiqua"/>
          <w:smallCaps/>
          <w:w w:val="90"/>
          <w:sz w:val="44"/>
        </w:rPr>
        <w:t>Methods</w:t>
      </w:r>
      <w:r>
        <w:rPr>
          <w:rFonts w:ascii="Book Antiqua"/>
          <w:smallCaps/>
          <w:spacing w:val="33"/>
          <w:sz w:val="44"/>
        </w:rPr>
        <w:t> </w:t>
      </w:r>
      <w:r>
        <w:rPr>
          <w:rFonts w:ascii="Book Antiqua"/>
          <w:smallCaps/>
          <w:spacing w:val="-5"/>
          <w:w w:val="90"/>
          <w:sz w:val="44"/>
        </w:rPr>
        <w:t>for</w:t>
      </w:r>
    </w:p>
    <w:p>
      <w:pPr>
        <w:spacing w:before="82"/>
        <w:ind w:left="360" w:right="0" w:firstLine="0"/>
        <w:jc w:val="center"/>
        <w:rPr>
          <w:rFonts w:ascii="Book Antiqua"/>
          <w:sz w:val="44"/>
        </w:rPr>
      </w:pPr>
      <w:r>
        <w:rPr>
          <w:rFonts w:ascii="Book Antiqua"/>
          <w:smallCaps/>
          <w:w w:val="90"/>
          <w:sz w:val="44"/>
        </w:rPr>
        <w:t>Profiting</w:t>
      </w:r>
      <w:r>
        <w:rPr>
          <w:rFonts w:ascii="Book Antiqua"/>
          <w:smallCaps/>
          <w:spacing w:val="8"/>
          <w:sz w:val="44"/>
        </w:rPr>
        <w:t> </w:t>
      </w:r>
      <w:r>
        <w:rPr>
          <w:rFonts w:ascii="Book Antiqua"/>
          <w:smallCaps/>
          <w:w w:val="90"/>
          <w:sz w:val="44"/>
        </w:rPr>
        <w:t>in</w:t>
      </w:r>
      <w:r>
        <w:rPr>
          <w:rFonts w:ascii="Book Antiqua"/>
          <w:smallCaps/>
          <w:spacing w:val="8"/>
          <w:sz w:val="44"/>
        </w:rPr>
        <w:t> </w:t>
      </w:r>
      <w:r>
        <w:rPr>
          <w:rFonts w:ascii="Book Antiqua"/>
          <w:smallCaps/>
          <w:w w:val="90"/>
          <w:sz w:val="44"/>
        </w:rPr>
        <w:t>the</w:t>
      </w:r>
      <w:r>
        <w:rPr>
          <w:rFonts w:ascii="Book Antiqua"/>
          <w:smallCaps/>
          <w:spacing w:val="7"/>
          <w:sz w:val="44"/>
        </w:rPr>
        <w:t> </w:t>
      </w:r>
      <w:r>
        <w:rPr>
          <w:rFonts w:ascii="Book Antiqua"/>
          <w:smallCaps/>
          <w:spacing w:val="-2"/>
          <w:w w:val="90"/>
          <w:sz w:val="44"/>
        </w:rPr>
        <w:t>Market</w:t>
      </w:r>
    </w:p>
    <w:p>
      <w:pPr>
        <w:pStyle w:val="BodyText"/>
        <w:rPr>
          <w:rFonts w:ascii="Book Antiqua"/>
          <w:sz w:val="44"/>
        </w:rPr>
      </w:pPr>
    </w:p>
    <w:p>
      <w:pPr>
        <w:pStyle w:val="BodyText"/>
        <w:rPr>
          <w:rFonts w:ascii="Book Antiqua"/>
          <w:sz w:val="44"/>
        </w:rPr>
      </w:pPr>
    </w:p>
    <w:p>
      <w:pPr>
        <w:pStyle w:val="BodyText"/>
        <w:spacing w:before="8"/>
        <w:rPr>
          <w:rFonts w:ascii="Book Antiqua"/>
          <w:sz w:val="34"/>
        </w:rPr>
      </w:pPr>
    </w:p>
    <w:p>
      <w:pPr>
        <w:pStyle w:val="Heading2"/>
        <w:spacing w:before="0"/>
        <w:ind w:left="359"/>
        <w:rPr>
          <w:rFonts w:ascii="Book Antiqua"/>
        </w:rPr>
      </w:pPr>
      <w:r>
        <w:rPr>
          <w:rFonts w:ascii="Book Antiqua"/>
          <w:smallCaps/>
          <w:spacing w:val="-8"/>
        </w:rPr>
        <w:t>Franklin</w:t>
      </w:r>
      <w:r>
        <w:rPr>
          <w:rFonts w:ascii="Book Antiqua"/>
          <w:smallCaps/>
          <w:spacing w:val="-19"/>
        </w:rPr>
        <w:t> </w:t>
      </w:r>
      <w:r>
        <w:rPr>
          <w:rFonts w:ascii="Book Antiqua"/>
          <w:smallCaps/>
          <w:spacing w:val="-8"/>
        </w:rPr>
        <w:t>O.</w:t>
      </w:r>
      <w:r>
        <w:rPr>
          <w:rFonts w:ascii="Book Antiqua"/>
          <w:smallCaps/>
          <w:spacing w:val="-18"/>
        </w:rPr>
        <w:t> </w:t>
      </w:r>
      <w:r>
        <w:rPr>
          <w:rFonts w:ascii="Book Antiqua"/>
          <w:smallCaps/>
          <w:spacing w:val="-8"/>
        </w:rPr>
        <w:t>Ochoa,</w:t>
      </w:r>
      <w:r>
        <w:rPr>
          <w:rFonts w:ascii="Book Antiqua"/>
          <w:smallCaps/>
          <w:spacing w:val="52"/>
        </w:rPr>
        <w:t> </w:t>
      </w:r>
      <w:r>
        <w:rPr>
          <w:rFonts w:ascii="Book Antiqua"/>
          <w:smallCaps/>
          <w:spacing w:val="-8"/>
        </w:rPr>
        <w:t>Jr.</w:t>
      </w: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spacing w:before="5"/>
        <w:rPr>
          <w:rFonts w:ascii="Book Antiqua"/>
          <w:sz w:val="12"/>
        </w:rPr>
      </w:pPr>
      <w:r>
        <w:rPr/>
        <w:drawing>
          <wp:anchor distT="0" distB="0" distL="0" distR="0" allowOverlap="1" layoutInCell="1" locked="0" behindDoc="0" simplePos="0" relativeHeight="0">
            <wp:simplePos x="0" y="0"/>
            <wp:positionH relativeFrom="page">
              <wp:posOffset>2616977</wp:posOffset>
            </wp:positionH>
            <wp:positionV relativeFrom="paragraph">
              <wp:posOffset>113106</wp:posOffset>
            </wp:positionV>
            <wp:extent cx="470651" cy="453009"/>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70651" cy="453009"/>
                    </a:xfrm>
                    <a:prstGeom prst="rect">
                      <a:avLst/>
                    </a:prstGeom>
                  </pic:spPr>
                </pic:pic>
              </a:graphicData>
            </a:graphic>
          </wp:anchor>
        </w:drawing>
      </w:r>
    </w:p>
    <w:p>
      <w:pPr>
        <w:spacing w:after="0"/>
        <w:rPr>
          <w:rFonts w:ascii="Book Antiqua"/>
          <w:sz w:val="12"/>
        </w:rPr>
        <w:sectPr>
          <w:pgSz w:w="8640" w:h="12960"/>
          <w:pgMar w:top="1480" w:bottom="280" w:left="580" w:right="580"/>
        </w:sect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spacing w:before="12"/>
        <w:rPr>
          <w:rFonts w:ascii="Book Antiqua"/>
          <w:sz w:val="17"/>
        </w:rPr>
      </w:pPr>
    </w:p>
    <w:p>
      <w:pPr>
        <w:spacing w:before="0"/>
        <w:ind w:left="140" w:right="0" w:firstLine="0"/>
        <w:jc w:val="left"/>
        <w:rPr>
          <w:sz w:val="16"/>
        </w:rPr>
      </w:pPr>
      <w:r>
        <w:rPr>
          <w:sz w:val="16"/>
        </w:rPr>
        <w:t>Copyright</w:t>
      </w:r>
      <w:r>
        <w:rPr>
          <w:spacing w:val="-2"/>
          <w:sz w:val="16"/>
        </w:rPr>
        <w:t> </w:t>
      </w:r>
      <w:r>
        <w:rPr>
          <w:sz w:val="16"/>
        </w:rPr>
        <w:t>©</w:t>
      </w:r>
      <w:r>
        <w:rPr>
          <w:spacing w:val="-2"/>
          <w:sz w:val="16"/>
        </w:rPr>
        <w:t> </w:t>
      </w:r>
      <w:r>
        <w:rPr>
          <w:sz w:val="16"/>
        </w:rPr>
        <w:t>2010</w:t>
      </w:r>
      <w:r>
        <w:rPr>
          <w:spacing w:val="-2"/>
          <w:sz w:val="16"/>
        </w:rPr>
        <w:t> </w:t>
      </w:r>
      <w:r>
        <w:rPr>
          <w:sz w:val="16"/>
        </w:rPr>
        <w:t>by</w:t>
      </w:r>
      <w:r>
        <w:rPr>
          <w:spacing w:val="-1"/>
          <w:sz w:val="16"/>
        </w:rPr>
        <w:t> </w:t>
      </w:r>
      <w:r>
        <w:rPr>
          <w:sz w:val="16"/>
        </w:rPr>
        <w:t>Franklin</w:t>
      </w:r>
      <w:r>
        <w:rPr>
          <w:spacing w:val="-2"/>
          <w:sz w:val="16"/>
        </w:rPr>
        <w:t> </w:t>
      </w:r>
      <w:r>
        <w:rPr>
          <w:sz w:val="16"/>
        </w:rPr>
        <w:t>O.</w:t>
      </w:r>
      <w:r>
        <w:rPr>
          <w:spacing w:val="-1"/>
          <w:sz w:val="16"/>
        </w:rPr>
        <w:t> </w:t>
      </w:r>
      <w:r>
        <w:rPr>
          <w:sz w:val="16"/>
        </w:rPr>
        <w:t>Ochoa,</w:t>
      </w:r>
      <w:r>
        <w:rPr>
          <w:spacing w:val="-2"/>
          <w:sz w:val="16"/>
        </w:rPr>
        <w:t> </w:t>
      </w:r>
      <w:r>
        <w:rPr>
          <w:spacing w:val="-5"/>
          <w:sz w:val="16"/>
        </w:rPr>
        <w:t>Jr.</w:t>
      </w:r>
    </w:p>
    <w:p>
      <w:pPr>
        <w:pStyle w:val="BodyText"/>
        <w:spacing w:before="9"/>
        <w:rPr>
          <w:sz w:val="20"/>
        </w:rPr>
      </w:pPr>
    </w:p>
    <w:p>
      <w:pPr>
        <w:spacing w:line="276" w:lineRule="auto" w:before="1"/>
        <w:ind w:left="140" w:right="495" w:firstLine="0"/>
        <w:jc w:val="both"/>
        <w:rPr>
          <w:sz w:val="16"/>
        </w:rPr>
      </w:pPr>
      <w:r>
        <w:rPr>
          <w:sz w:val="16"/>
        </w:rPr>
        <w:t>Published by 311 Publishing. All rights reserved. Except as permitted under the United States Copyright</w:t>
      </w:r>
      <w:r>
        <w:rPr>
          <w:spacing w:val="40"/>
          <w:sz w:val="16"/>
        </w:rPr>
        <w:t> </w:t>
      </w:r>
      <w:r>
        <w:rPr>
          <w:sz w:val="16"/>
        </w:rPr>
        <w:t>Act of 1976, no part of this publication may be reproduced or distributed in any form or by any means, or</w:t>
      </w:r>
      <w:r>
        <w:rPr>
          <w:spacing w:val="40"/>
          <w:sz w:val="16"/>
        </w:rPr>
        <w:t> </w:t>
      </w:r>
      <w:r>
        <w:rPr>
          <w:sz w:val="16"/>
        </w:rPr>
        <w:t>stored in a data base or retrieval system, without prior written permission of the author or publisher.</w:t>
      </w:r>
    </w:p>
    <w:p>
      <w:pPr>
        <w:pStyle w:val="BodyText"/>
        <w:spacing w:before="4"/>
        <w:rPr>
          <w:sz w:val="18"/>
        </w:rPr>
      </w:pPr>
    </w:p>
    <w:p>
      <w:pPr>
        <w:spacing w:line="276" w:lineRule="auto" w:before="0"/>
        <w:ind w:left="140" w:right="494" w:firstLine="0"/>
        <w:jc w:val="both"/>
        <w:rPr>
          <w:sz w:val="16"/>
        </w:rPr>
      </w:pPr>
      <w:r>
        <w:rPr>
          <w:sz w:val="16"/>
        </w:rPr>
        <w:t>Limit of Liability/Disclaimer of Warranty: While the publisher and author have used their best efforts in</w:t>
      </w:r>
      <w:r>
        <w:rPr>
          <w:spacing w:val="40"/>
          <w:sz w:val="16"/>
        </w:rPr>
        <w:t> </w:t>
      </w:r>
      <w:r>
        <w:rPr>
          <w:sz w:val="16"/>
        </w:rPr>
        <w:t>preparing this book, they make no representations or warranties with respect to the accuracy or</w:t>
      </w:r>
      <w:r>
        <w:rPr>
          <w:spacing w:val="40"/>
          <w:sz w:val="16"/>
        </w:rPr>
        <w:t> </w:t>
      </w:r>
      <w:r>
        <w:rPr>
          <w:sz w:val="16"/>
        </w:rPr>
        <w:t>completeness of the contents of this book and specifically disclaim any implied warranties of</w:t>
      </w:r>
      <w:r>
        <w:rPr>
          <w:spacing w:val="40"/>
          <w:sz w:val="16"/>
        </w:rPr>
        <w:t> </w:t>
      </w:r>
      <w:r>
        <w:rPr>
          <w:sz w:val="16"/>
        </w:rPr>
        <w:t>merchantability or fitness for a particular purpose. No warranty may be created or extended by sales</w:t>
      </w:r>
      <w:r>
        <w:rPr>
          <w:spacing w:val="40"/>
          <w:sz w:val="16"/>
        </w:rPr>
        <w:t> </w:t>
      </w:r>
      <w:r>
        <w:rPr>
          <w:sz w:val="16"/>
        </w:rPr>
        <w:t>representatives or written sales materials. The advice and strategies contained herein may not be suitable</w:t>
      </w:r>
      <w:r>
        <w:rPr>
          <w:spacing w:val="40"/>
          <w:sz w:val="16"/>
        </w:rPr>
        <w:t> </w:t>
      </w:r>
      <w:r>
        <w:rPr>
          <w:sz w:val="16"/>
        </w:rPr>
        <w:t>for your situation. You should consult with a professional where appropriate. Neither the publisher nor</w:t>
      </w:r>
      <w:r>
        <w:rPr>
          <w:spacing w:val="40"/>
          <w:sz w:val="16"/>
        </w:rPr>
        <w:t> </w:t>
      </w:r>
      <w:r>
        <w:rPr>
          <w:sz w:val="16"/>
        </w:rPr>
        <w:t>author shall be liable for any loss of profit or any other commercial damages, including but not limited to</w:t>
      </w:r>
      <w:r>
        <w:rPr>
          <w:spacing w:val="40"/>
          <w:sz w:val="16"/>
        </w:rPr>
        <w:t> </w:t>
      </w:r>
      <w:r>
        <w:rPr>
          <w:sz w:val="16"/>
        </w:rPr>
        <w:t>special, incidental, consequential, or other damages.</w:t>
      </w:r>
    </w:p>
    <w:p>
      <w:pPr>
        <w:pStyle w:val="BodyText"/>
        <w:spacing w:before="4"/>
        <w:rPr>
          <w:sz w:val="18"/>
        </w:rPr>
      </w:pPr>
    </w:p>
    <w:p>
      <w:pPr>
        <w:spacing w:line="276" w:lineRule="auto" w:before="1"/>
        <w:ind w:left="140" w:right="496" w:firstLine="0"/>
        <w:jc w:val="both"/>
        <w:rPr>
          <w:sz w:val="16"/>
        </w:rPr>
      </w:pPr>
      <w:r>
        <w:rPr>
          <w:sz w:val="16"/>
        </w:rPr>
        <w:t>Trading</w:t>
      </w:r>
      <w:r>
        <w:rPr>
          <w:spacing w:val="-2"/>
          <w:sz w:val="16"/>
        </w:rPr>
        <w:t> </w:t>
      </w:r>
      <w:r>
        <w:rPr>
          <w:sz w:val="16"/>
        </w:rPr>
        <w:t>the</w:t>
      </w:r>
      <w:r>
        <w:rPr>
          <w:spacing w:val="-2"/>
          <w:sz w:val="16"/>
        </w:rPr>
        <w:t> </w:t>
      </w:r>
      <w:r>
        <w:rPr>
          <w:sz w:val="16"/>
        </w:rPr>
        <w:t>financial</w:t>
      </w:r>
      <w:r>
        <w:rPr>
          <w:spacing w:val="-1"/>
          <w:sz w:val="16"/>
        </w:rPr>
        <w:t> </w:t>
      </w:r>
      <w:r>
        <w:rPr>
          <w:sz w:val="16"/>
        </w:rPr>
        <w:t>markets</w:t>
      </w:r>
      <w:r>
        <w:rPr>
          <w:spacing w:val="-2"/>
          <w:sz w:val="16"/>
        </w:rPr>
        <w:t> </w:t>
      </w:r>
      <w:r>
        <w:rPr>
          <w:sz w:val="16"/>
        </w:rPr>
        <w:t>has</w:t>
      </w:r>
      <w:r>
        <w:rPr>
          <w:spacing w:val="-2"/>
          <w:sz w:val="16"/>
        </w:rPr>
        <w:t> </w:t>
      </w:r>
      <w:r>
        <w:rPr>
          <w:sz w:val="16"/>
        </w:rPr>
        <w:t>large</w:t>
      </w:r>
      <w:r>
        <w:rPr>
          <w:spacing w:val="-2"/>
          <w:sz w:val="16"/>
        </w:rPr>
        <w:t> </w:t>
      </w:r>
      <w:r>
        <w:rPr>
          <w:sz w:val="16"/>
        </w:rPr>
        <w:t>potential</w:t>
      </w:r>
      <w:r>
        <w:rPr>
          <w:spacing w:val="-2"/>
          <w:sz w:val="16"/>
        </w:rPr>
        <w:t> </w:t>
      </w:r>
      <w:r>
        <w:rPr>
          <w:sz w:val="16"/>
        </w:rPr>
        <w:t>rewards,</w:t>
      </w:r>
      <w:r>
        <w:rPr>
          <w:spacing w:val="-2"/>
          <w:sz w:val="16"/>
        </w:rPr>
        <w:t> </w:t>
      </w:r>
      <w:r>
        <w:rPr>
          <w:sz w:val="16"/>
        </w:rPr>
        <w:t>but</w:t>
      </w:r>
      <w:r>
        <w:rPr>
          <w:spacing w:val="-2"/>
          <w:sz w:val="16"/>
        </w:rPr>
        <w:t> </w:t>
      </w:r>
      <w:r>
        <w:rPr>
          <w:sz w:val="16"/>
        </w:rPr>
        <w:t>also</w:t>
      </w:r>
      <w:r>
        <w:rPr>
          <w:spacing w:val="-2"/>
          <w:sz w:val="16"/>
        </w:rPr>
        <w:t> </w:t>
      </w:r>
      <w:r>
        <w:rPr>
          <w:sz w:val="16"/>
        </w:rPr>
        <w:t>large</w:t>
      </w:r>
      <w:r>
        <w:rPr>
          <w:spacing w:val="-2"/>
          <w:sz w:val="16"/>
        </w:rPr>
        <w:t> </w:t>
      </w:r>
      <w:r>
        <w:rPr>
          <w:sz w:val="16"/>
        </w:rPr>
        <w:t>potential</w:t>
      </w:r>
      <w:r>
        <w:rPr>
          <w:spacing w:val="-3"/>
          <w:sz w:val="16"/>
        </w:rPr>
        <w:t> </w:t>
      </w:r>
      <w:r>
        <w:rPr>
          <w:sz w:val="16"/>
        </w:rPr>
        <w:t>risk.</w:t>
      </w:r>
      <w:r>
        <w:rPr>
          <w:spacing w:val="37"/>
          <w:sz w:val="16"/>
        </w:rPr>
        <w:t> </w:t>
      </w:r>
      <w:r>
        <w:rPr>
          <w:sz w:val="16"/>
        </w:rPr>
        <w:t>You must</w:t>
      </w:r>
      <w:r>
        <w:rPr>
          <w:spacing w:val="-2"/>
          <w:sz w:val="16"/>
        </w:rPr>
        <w:t> </w:t>
      </w:r>
      <w:r>
        <w:rPr>
          <w:sz w:val="16"/>
        </w:rPr>
        <w:t>be</w:t>
      </w:r>
      <w:r>
        <w:rPr>
          <w:spacing w:val="-2"/>
          <w:sz w:val="16"/>
        </w:rPr>
        <w:t> </w:t>
      </w:r>
      <w:r>
        <w:rPr>
          <w:sz w:val="16"/>
        </w:rPr>
        <w:t>aware</w:t>
      </w:r>
      <w:r>
        <w:rPr>
          <w:spacing w:val="40"/>
          <w:sz w:val="16"/>
        </w:rPr>
        <w:t> </w:t>
      </w:r>
      <w:r>
        <w:rPr>
          <w:sz w:val="16"/>
        </w:rPr>
        <w:t>of the risks and be willing to accept them in order to invest in the stocks, futures, currency, and options</w:t>
      </w:r>
      <w:r>
        <w:rPr>
          <w:spacing w:val="40"/>
          <w:sz w:val="16"/>
        </w:rPr>
        <w:t> </w:t>
      </w:r>
      <w:r>
        <w:rPr>
          <w:sz w:val="16"/>
        </w:rPr>
        <w:t>markets.</w:t>
      </w:r>
      <w:r>
        <w:rPr>
          <w:spacing w:val="40"/>
          <w:sz w:val="16"/>
        </w:rPr>
        <w:t> </w:t>
      </w:r>
      <w:r>
        <w:rPr>
          <w:sz w:val="16"/>
        </w:rPr>
        <w:t>Don’t trade with money you can’t afford to lose.</w:t>
      </w:r>
      <w:r>
        <w:rPr>
          <w:spacing w:val="40"/>
          <w:sz w:val="16"/>
        </w:rPr>
        <w:t> </w:t>
      </w:r>
      <w:r>
        <w:rPr>
          <w:sz w:val="16"/>
        </w:rPr>
        <w:t>This material is neither a solicitation nor an</w:t>
      </w:r>
      <w:r>
        <w:rPr>
          <w:spacing w:val="40"/>
          <w:sz w:val="16"/>
        </w:rPr>
        <w:t> </w:t>
      </w:r>
      <w:r>
        <w:rPr>
          <w:sz w:val="16"/>
        </w:rPr>
        <w:t>offer to buy or sell stocks, futures, options, or currencies.</w:t>
      </w:r>
      <w:r>
        <w:rPr>
          <w:spacing w:val="40"/>
          <w:sz w:val="16"/>
        </w:rPr>
        <w:t> </w:t>
      </w:r>
      <w:r>
        <w:rPr>
          <w:sz w:val="16"/>
        </w:rPr>
        <w:t>No representation is being made that any</w:t>
      </w:r>
      <w:r>
        <w:rPr>
          <w:spacing w:val="40"/>
          <w:sz w:val="16"/>
        </w:rPr>
        <w:t> </w:t>
      </w:r>
      <w:r>
        <w:rPr>
          <w:sz w:val="16"/>
        </w:rPr>
        <w:t>account will or is likely to achieve profits or losses similar to those discussed in this book. The past</w:t>
      </w:r>
      <w:r>
        <w:rPr>
          <w:spacing w:val="40"/>
          <w:sz w:val="16"/>
        </w:rPr>
        <w:t> </w:t>
      </w:r>
      <w:r>
        <w:rPr>
          <w:sz w:val="16"/>
        </w:rPr>
        <w:t>performance of any trading system or methodology is not necessarily indicative of future results.</w:t>
      </w:r>
    </w:p>
    <w:p>
      <w:pPr>
        <w:pStyle w:val="BodyText"/>
        <w:spacing w:before="2"/>
        <w:rPr>
          <w:sz w:val="21"/>
        </w:rPr>
      </w:pPr>
    </w:p>
    <w:p>
      <w:pPr>
        <w:spacing w:before="0"/>
        <w:ind w:left="140" w:right="0" w:firstLine="0"/>
        <w:jc w:val="both"/>
        <w:rPr>
          <w:rFonts w:ascii="Georgia"/>
          <w:sz w:val="18"/>
        </w:rPr>
      </w:pPr>
      <w:r>
        <w:rPr>
          <w:rFonts w:ascii="Georgia"/>
          <w:w w:val="105"/>
          <w:sz w:val="18"/>
        </w:rPr>
        <w:t>SECRETS</w:t>
      </w:r>
      <w:r>
        <w:rPr>
          <w:rFonts w:ascii="Georgia"/>
          <w:spacing w:val="-8"/>
          <w:w w:val="105"/>
          <w:sz w:val="18"/>
        </w:rPr>
        <w:t> </w:t>
      </w:r>
      <w:r>
        <w:rPr>
          <w:rFonts w:ascii="Georgia"/>
          <w:w w:val="105"/>
          <w:sz w:val="18"/>
        </w:rPr>
        <w:t>OF</w:t>
      </w:r>
      <w:r>
        <w:rPr>
          <w:rFonts w:ascii="Georgia"/>
          <w:spacing w:val="-9"/>
          <w:w w:val="105"/>
          <w:sz w:val="18"/>
        </w:rPr>
        <w:t> </w:t>
      </w:r>
      <w:r>
        <w:rPr>
          <w:rFonts w:ascii="Georgia"/>
          <w:w w:val="105"/>
          <w:sz w:val="18"/>
        </w:rPr>
        <w:t>A</w:t>
      </w:r>
      <w:r>
        <w:rPr>
          <w:rFonts w:ascii="Georgia"/>
          <w:spacing w:val="-7"/>
          <w:w w:val="105"/>
          <w:sz w:val="18"/>
        </w:rPr>
        <w:t> </w:t>
      </w:r>
      <w:r>
        <w:rPr>
          <w:rFonts w:ascii="Georgia"/>
          <w:w w:val="105"/>
          <w:sz w:val="18"/>
        </w:rPr>
        <w:t>PIVOT</w:t>
      </w:r>
      <w:r>
        <w:rPr>
          <w:rFonts w:ascii="Georgia"/>
          <w:spacing w:val="-8"/>
          <w:w w:val="105"/>
          <w:sz w:val="18"/>
        </w:rPr>
        <w:t> </w:t>
      </w:r>
      <w:r>
        <w:rPr>
          <w:rFonts w:ascii="Georgia"/>
          <w:spacing w:val="-4"/>
          <w:w w:val="105"/>
          <w:sz w:val="18"/>
        </w:rPr>
        <w:t>BOSS</w:t>
      </w:r>
    </w:p>
    <w:p>
      <w:pPr>
        <w:spacing w:before="28"/>
        <w:ind w:left="140" w:right="0" w:firstLine="0"/>
        <w:jc w:val="left"/>
        <w:rPr>
          <w:sz w:val="16"/>
        </w:rPr>
      </w:pPr>
      <w:r>
        <w:rPr>
          <w:sz w:val="16"/>
        </w:rPr>
        <w:t>ISBN-10</w:t>
      </w:r>
      <w:r>
        <w:rPr>
          <w:spacing w:val="27"/>
          <w:sz w:val="16"/>
        </w:rPr>
        <w:t> </w:t>
      </w:r>
      <w:r>
        <w:rPr>
          <w:spacing w:val="-2"/>
          <w:sz w:val="16"/>
        </w:rPr>
        <w:t>0615391273</w:t>
      </w:r>
    </w:p>
    <w:p>
      <w:pPr>
        <w:spacing w:before="27"/>
        <w:ind w:left="140" w:right="0" w:firstLine="0"/>
        <w:jc w:val="left"/>
        <w:rPr>
          <w:sz w:val="16"/>
        </w:rPr>
      </w:pPr>
      <w:r>
        <w:rPr>
          <w:sz w:val="16"/>
        </w:rPr>
        <w:t>ISBN-13</w:t>
      </w:r>
      <w:r>
        <w:rPr>
          <w:spacing w:val="27"/>
          <w:sz w:val="16"/>
        </w:rPr>
        <w:t> </w:t>
      </w:r>
      <w:r>
        <w:rPr>
          <w:spacing w:val="-2"/>
          <w:sz w:val="16"/>
        </w:rPr>
        <w:t>9780615391274</w:t>
      </w:r>
    </w:p>
    <w:p>
      <w:pPr>
        <w:pStyle w:val="BodyText"/>
        <w:spacing w:before="9"/>
        <w:rPr>
          <w:sz w:val="20"/>
        </w:rPr>
      </w:pPr>
    </w:p>
    <w:p>
      <w:pPr>
        <w:spacing w:before="0"/>
        <w:ind w:left="140" w:right="0" w:firstLine="0"/>
        <w:jc w:val="left"/>
        <w:rPr>
          <w:sz w:val="18"/>
        </w:rPr>
      </w:pPr>
      <w:r>
        <w:rPr>
          <w:sz w:val="18"/>
        </w:rPr>
        <w:t>Library</w:t>
      </w:r>
      <w:r>
        <w:rPr>
          <w:spacing w:val="-10"/>
          <w:sz w:val="18"/>
        </w:rPr>
        <w:t> </w:t>
      </w:r>
      <w:r>
        <w:rPr>
          <w:sz w:val="18"/>
        </w:rPr>
        <w:t>of</w:t>
      </w:r>
      <w:r>
        <w:rPr>
          <w:spacing w:val="-8"/>
          <w:sz w:val="18"/>
        </w:rPr>
        <w:t> </w:t>
      </w:r>
      <w:r>
        <w:rPr>
          <w:sz w:val="18"/>
        </w:rPr>
        <w:t>Congress</w:t>
      </w:r>
      <w:r>
        <w:rPr>
          <w:spacing w:val="-8"/>
          <w:sz w:val="18"/>
        </w:rPr>
        <w:t> </w:t>
      </w:r>
      <w:r>
        <w:rPr>
          <w:sz w:val="18"/>
        </w:rPr>
        <w:t>Cataloging-in-Publication</w:t>
      </w:r>
      <w:r>
        <w:rPr>
          <w:spacing w:val="-7"/>
          <w:sz w:val="18"/>
        </w:rPr>
        <w:t> </w:t>
      </w:r>
      <w:r>
        <w:rPr>
          <w:spacing w:val="-4"/>
          <w:sz w:val="18"/>
        </w:rPr>
        <w:t>Data</w:t>
      </w:r>
    </w:p>
    <w:p>
      <w:pPr>
        <w:spacing w:before="137"/>
        <w:ind w:left="140" w:right="0" w:firstLine="0"/>
        <w:jc w:val="left"/>
        <w:rPr>
          <w:sz w:val="16"/>
        </w:rPr>
      </w:pPr>
      <w:r>
        <w:rPr>
          <w:sz w:val="16"/>
        </w:rPr>
        <w:t>Ochoa,</w:t>
      </w:r>
      <w:r>
        <w:rPr>
          <w:spacing w:val="-4"/>
          <w:sz w:val="16"/>
        </w:rPr>
        <w:t> </w:t>
      </w:r>
      <w:r>
        <w:rPr>
          <w:sz w:val="16"/>
        </w:rPr>
        <w:t>Franklin</w:t>
      </w:r>
      <w:r>
        <w:rPr>
          <w:spacing w:val="-3"/>
          <w:sz w:val="16"/>
        </w:rPr>
        <w:t> </w:t>
      </w:r>
      <w:r>
        <w:rPr>
          <w:spacing w:val="-5"/>
          <w:sz w:val="16"/>
        </w:rPr>
        <w:t>O.</w:t>
      </w:r>
    </w:p>
    <w:p>
      <w:pPr>
        <w:spacing w:before="29"/>
        <w:ind w:left="140" w:right="0" w:firstLine="0"/>
        <w:jc w:val="left"/>
        <w:rPr>
          <w:sz w:val="16"/>
        </w:rPr>
      </w:pPr>
      <w:r>
        <w:rPr>
          <w:sz w:val="16"/>
        </w:rPr>
        <w:t>Secrets</w:t>
      </w:r>
      <w:r>
        <w:rPr>
          <w:spacing w:val="-4"/>
          <w:sz w:val="16"/>
        </w:rPr>
        <w:t> </w:t>
      </w:r>
      <w:r>
        <w:rPr>
          <w:sz w:val="16"/>
        </w:rPr>
        <w:t>of</w:t>
      </w:r>
      <w:r>
        <w:rPr>
          <w:spacing w:val="-3"/>
          <w:sz w:val="16"/>
        </w:rPr>
        <w:t> </w:t>
      </w:r>
      <w:r>
        <w:rPr>
          <w:sz w:val="16"/>
        </w:rPr>
        <w:t>a</w:t>
      </w:r>
      <w:r>
        <w:rPr>
          <w:spacing w:val="-3"/>
          <w:sz w:val="16"/>
        </w:rPr>
        <w:t> </w:t>
      </w:r>
      <w:r>
        <w:rPr>
          <w:sz w:val="16"/>
        </w:rPr>
        <w:t>pivot</w:t>
      </w:r>
      <w:r>
        <w:rPr>
          <w:spacing w:val="-2"/>
          <w:sz w:val="16"/>
        </w:rPr>
        <w:t> </w:t>
      </w:r>
      <w:r>
        <w:rPr>
          <w:sz w:val="16"/>
        </w:rPr>
        <w:t>boss:</w:t>
      </w:r>
      <w:r>
        <w:rPr>
          <w:spacing w:val="-3"/>
          <w:sz w:val="16"/>
        </w:rPr>
        <w:t> </w:t>
      </w:r>
      <w:r>
        <w:rPr>
          <w:sz w:val="16"/>
        </w:rPr>
        <w:t>proven</w:t>
      </w:r>
      <w:r>
        <w:rPr>
          <w:spacing w:val="-3"/>
          <w:sz w:val="16"/>
        </w:rPr>
        <w:t> </w:t>
      </w:r>
      <w:r>
        <w:rPr>
          <w:sz w:val="16"/>
        </w:rPr>
        <w:t>methods</w:t>
      </w:r>
      <w:r>
        <w:rPr>
          <w:spacing w:val="-3"/>
          <w:sz w:val="16"/>
        </w:rPr>
        <w:t> </w:t>
      </w:r>
      <w:r>
        <w:rPr>
          <w:sz w:val="16"/>
        </w:rPr>
        <w:t>for</w:t>
      </w:r>
      <w:r>
        <w:rPr>
          <w:spacing w:val="-3"/>
          <w:sz w:val="16"/>
        </w:rPr>
        <w:t> </w:t>
      </w:r>
      <w:r>
        <w:rPr>
          <w:sz w:val="16"/>
        </w:rPr>
        <w:t>profiting</w:t>
      </w:r>
      <w:r>
        <w:rPr>
          <w:spacing w:val="-3"/>
          <w:sz w:val="16"/>
        </w:rPr>
        <w:t> </w:t>
      </w:r>
      <w:r>
        <w:rPr>
          <w:sz w:val="16"/>
        </w:rPr>
        <w:t>in</w:t>
      </w:r>
      <w:r>
        <w:rPr>
          <w:spacing w:val="-4"/>
          <w:sz w:val="16"/>
        </w:rPr>
        <w:t> </w:t>
      </w:r>
      <w:r>
        <w:rPr>
          <w:sz w:val="16"/>
        </w:rPr>
        <w:t>the</w:t>
      </w:r>
      <w:r>
        <w:rPr>
          <w:spacing w:val="-3"/>
          <w:sz w:val="16"/>
        </w:rPr>
        <w:t> </w:t>
      </w:r>
      <w:r>
        <w:rPr>
          <w:sz w:val="16"/>
        </w:rPr>
        <w:t>market</w:t>
      </w:r>
      <w:r>
        <w:rPr>
          <w:spacing w:val="-3"/>
          <w:sz w:val="16"/>
        </w:rPr>
        <w:t> </w:t>
      </w:r>
      <w:r>
        <w:rPr>
          <w:sz w:val="16"/>
        </w:rPr>
        <w:t>/</w:t>
      </w:r>
      <w:r>
        <w:rPr>
          <w:spacing w:val="-3"/>
          <w:sz w:val="16"/>
        </w:rPr>
        <w:t> </w:t>
      </w:r>
      <w:r>
        <w:rPr>
          <w:sz w:val="16"/>
        </w:rPr>
        <w:t>by</w:t>
      </w:r>
      <w:r>
        <w:rPr>
          <w:spacing w:val="-3"/>
          <w:sz w:val="16"/>
        </w:rPr>
        <w:t> </w:t>
      </w:r>
      <w:r>
        <w:rPr>
          <w:sz w:val="16"/>
        </w:rPr>
        <w:t>Franklin</w:t>
      </w:r>
      <w:r>
        <w:rPr>
          <w:spacing w:val="-3"/>
          <w:sz w:val="16"/>
        </w:rPr>
        <w:t> </w:t>
      </w:r>
      <w:r>
        <w:rPr>
          <w:sz w:val="16"/>
        </w:rPr>
        <w:t>O.</w:t>
      </w:r>
      <w:r>
        <w:rPr>
          <w:spacing w:val="-4"/>
          <w:sz w:val="16"/>
        </w:rPr>
        <w:t> </w:t>
      </w:r>
      <w:r>
        <w:rPr>
          <w:sz w:val="16"/>
        </w:rPr>
        <w:t>Ochoa,</w:t>
      </w:r>
      <w:r>
        <w:rPr>
          <w:spacing w:val="-3"/>
          <w:sz w:val="16"/>
        </w:rPr>
        <w:t> </w:t>
      </w:r>
      <w:r>
        <w:rPr>
          <w:spacing w:val="-5"/>
          <w:sz w:val="16"/>
        </w:rPr>
        <w:t>Jr.</w:t>
      </w:r>
    </w:p>
    <w:p>
      <w:pPr>
        <w:tabs>
          <w:tab w:pos="499" w:val="left" w:leader="none"/>
        </w:tabs>
        <w:spacing w:before="27"/>
        <w:ind w:left="140" w:right="0" w:firstLine="0"/>
        <w:jc w:val="left"/>
        <w:rPr>
          <w:sz w:val="16"/>
        </w:rPr>
      </w:pPr>
      <w:r>
        <w:rPr>
          <w:spacing w:val="-5"/>
          <w:sz w:val="16"/>
        </w:rPr>
        <w:t>1.</w:t>
      </w:r>
      <w:r>
        <w:rPr>
          <w:sz w:val="16"/>
        </w:rPr>
        <w:tab/>
        <w:t>Stocks—Charts,</w:t>
      </w:r>
      <w:r>
        <w:rPr>
          <w:spacing w:val="-4"/>
          <w:sz w:val="16"/>
        </w:rPr>
        <w:t> </w:t>
      </w:r>
      <w:r>
        <w:rPr>
          <w:sz w:val="16"/>
        </w:rPr>
        <w:t>diagrams,</w:t>
      </w:r>
      <w:r>
        <w:rPr>
          <w:spacing w:val="-2"/>
          <w:sz w:val="16"/>
        </w:rPr>
        <w:t> </w:t>
      </w:r>
      <w:r>
        <w:rPr>
          <w:sz w:val="16"/>
        </w:rPr>
        <w:t>etc.</w:t>
      </w:r>
      <w:r>
        <w:rPr>
          <w:spacing w:val="35"/>
          <w:sz w:val="16"/>
        </w:rPr>
        <w:t>  </w:t>
      </w:r>
      <w:r>
        <w:rPr>
          <w:sz w:val="16"/>
        </w:rPr>
        <w:t>2.</w:t>
      </w:r>
      <w:r>
        <w:rPr>
          <w:spacing w:val="35"/>
          <w:sz w:val="16"/>
        </w:rPr>
        <w:t>  </w:t>
      </w:r>
      <w:r>
        <w:rPr>
          <w:sz w:val="16"/>
        </w:rPr>
        <w:t>Futures</w:t>
      </w:r>
      <w:r>
        <w:rPr>
          <w:spacing w:val="-2"/>
          <w:sz w:val="16"/>
        </w:rPr>
        <w:t> </w:t>
      </w:r>
      <w:r>
        <w:rPr>
          <w:sz w:val="16"/>
        </w:rPr>
        <w:t>market—Charts,</w:t>
      </w:r>
      <w:r>
        <w:rPr>
          <w:spacing w:val="-3"/>
          <w:sz w:val="16"/>
        </w:rPr>
        <w:t> </w:t>
      </w:r>
      <w:r>
        <w:rPr>
          <w:sz w:val="16"/>
        </w:rPr>
        <w:t>diagrams,</w:t>
      </w:r>
      <w:r>
        <w:rPr>
          <w:spacing w:val="-2"/>
          <w:sz w:val="16"/>
        </w:rPr>
        <w:t> </w:t>
      </w:r>
      <w:r>
        <w:rPr>
          <w:spacing w:val="-4"/>
          <w:sz w:val="16"/>
        </w:rPr>
        <w:t>etc.</w:t>
      </w:r>
    </w:p>
    <w:p>
      <w:pPr>
        <w:tabs>
          <w:tab w:pos="3020" w:val="left" w:leader="none"/>
        </w:tabs>
        <w:spacing w:line="276" w:lineRule="auto" w:before="27"/>
        <w:ind w:left="140" w:right="4023" w:firstLine="719"/>
        <w:jc w:val="left"/>
        <w:rPr>
          <w:sz w:val="16"/>
        </w:rPr>
      </w:pPr>
      <w:r>
        <w:rPr>
          <w:sz w:val="16"/>
        </w:rPr>
        <w:t>3.</w:t>
      </w:r>
      <w:r>
        <w:rPr>
          <w:spacing w:val="80"/>
          <w:sz w:val="16"/>
        </w:rPr>
        <w:t> </w:t>
      </w:r>
      <w:r>
        <w:rPr>
          <w:sz w:val="16"/>
        </w:rPr>
        <w:t>Investment analysis.</w:t>
        <w:tab/>
        <w:t>I.</w:t>
      </w:r>
      <w:r>
        <w:rPr>
          <w:spacing w:val="-10"/>
          <w:sz w:val="16"/>
        </w:rPr>
        <w:t> </w:t>
      </w:r>
      <w:r>
        <w:rPr>
          <w:sz w:val="16"/>
        </w:rPr>
        <w:t>Title</w:t>
      </w:r>
      <w:r>
        <w:rPr>
          <w:spacing w:val="40"/>
          <w:sz w:val="16"/>
        </w:rPr>
        <w:t> </w:t>
      </w:r>
      <w:r>
        <w:rPr>
          <w:sz w:val="16"/>
        </w:rPr>
        <w:t>LCCN</w:t>
      </w:r>
      <w:r>
        <w:rPr>
          <w:spacing w:val="40"/>
          <w:sz w:val="16"/>
        </w:rPr>
        <w:t> </w:t>
      </w:r>
      <w:r>
        <w:rPr>
          <w:sz w:val="16"/>
        </w:rPr>
        <w:t>2010907089</w:t>
      </w:r>
    </w:p>
    <w:p>
      <w:pPr>
        <w:pStyle w:val="BodyText"/>
        <w:rPr>
          <w:sz w:val="16"/>
        </w:rPr>
      </w:pPr>
    </w:p>
    <w:p>
      <w:pPr>
        <w:pStyle w:val="BodyText"/>
        <w:spacing w:before="9"/>
        <w:rPr>
          <w:sz w:val="20"/>
        </w:rPr>
      </w:pPr>
    </w:p>
    <w:p>
      <w:pPr>
        <w:spacing w:before="0"/>
        <w:ind w:left="140" w:right="0" w:firstLine="0"/>
        <w:jc w:val="left"/>
        <w:rPr>
          <w:sz w:val="16"/>
        </w:rPr>
      </w:pPr>
      <w:r>
        <w:rPr>
          <w:sz w:val="16"/>
        </w:rPr>
        <w:t>Printed</w:t>
      </w:r>
      <w:r>
        <w:rPr>
          <w:spacing w:val="-2"/>
          <w:sz w:val="16"/>
        </w:rPr>
        <w:t> </w:t>
      </w:r>
      <w:r>
        <w:rPr>
          <w:sz w:val="16"/>
        </w:rPr>
        <w:t>in</w:t>
      </w:r>
      <w:r>
        <w:rPr>
          <w:spacing w:val="-2"/>
          <w:sz w:val="16"/>
        </w:rPr>
        <w:t> </w:t>
      </w:r>
      <w:r>
        <w:rPr>
          <w:sz w:val="16"/>
        </w:rPr>
        <w:t>the</w:t>
      </w:r>
      <w:r>
        <w:rPr>
          <w:spacing w:val="-2"/>
          <w:sz w:val="16"/>
        </w:rPr>
        <w:t> </w:t>
      </w:r>
      <w:r>
        <w:rPr>
          <w:sz w:val="16"/>
        </w:rPr>
        <w:t>United</w:t>
      </w:r>
      <w:r>
        <w:rPr>
          <w:spacing w:val="-2"/>
          <w:sz w:val="16"/>
        </w:rPr>
        <w:t> </w:t>
      </w:r>
      <w:r>
        <w:rPr>
          <w:sz w:val="16"/>
        </w:rPr>
        <w:t>States</w:t>
      </w:r>
      <w:r>
        <w:rPr>
          <w:spacing w:val="-2"/>
          <w:sz w:val="16"/>
        </w:rPr>
        <w:t> </w:t>
      </w:r>
      <w:r>
        <w:rPr>
          <w:sz w:val="16"/>
        </w:rPr>
        <w:t>of</w:t>
      </w:r>
      <w:r>
        <w:rPr>
          <w:spacing w:val="-2"/>
          <w:sz w:val="16"/>
        </w:rPr>
        <w:t> America.</w:t>
      </w:r>
    </w:p>
    <w:p>
      <w:pPr>
        <w:spacing w:after="0"/>
        <w:jc w:val="left"/>
        <w:rPr>
          <w:sz w:val="16"/>
        </w:rPr>
        <w:sectPr>
          <w:pgSz w:w="8640" w:h="12960"/>
          <w:pgMar w:top="14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before="43"/>
        <w:ind w:left="2430" w:right="0" w:hanging="1767"/>
        <w:jc w:val="left"/>
        <w:rPr>
          <w:rFonts w:ascii="Book Antiqua"/>
          <w:i/>
          <w:sz w:val="28"/>
        </w:rPr>
      </w:pPr>
      <w:r>
        <w:rPr>
          <w:rFonts w:ascii="Book Antiqua"/>
          <w:i/>
          <w:sz w:val="28"/>
        </w:rPr>
        <w:t>To</w:t>
      </w:r>
      <w:r>
        <w:rPr>
          <w:rFonts w:ascii="Book Antiqua"/>
          <w:i/>
          <w:spacing w:val="-5"/>
          <w:sz w:val="28"/>
        </w:rPr>
        <w:t> </w:t>
      </w:r>
      <w:r>
        <w:rPr>
          <w:rFonts w:ascii="Book Antiqua"/>
          <w:i/>
          <w:sz w:val="28"/>
        </w:rPr>
        <w:t>the</w:t>
      </w:r>
      <w:r>
        <w:rPr>
          <w:rFonts w:ascii="Book Antiqua"/>
          <w:i/>
          <w:spacing w:val="-5"/>
          <w:sz w:val="28"/>
        </w:rPr>
        <w:t> </w:t>
      </w:r>
      <w:r>
        <w:rPr>
          <w:rFonts w:ascii="Book Antiqua"/>
          <w:i/>
          <w:sz w:val="28"/>
        </w:rPr>
        <w:t>women</w:t>
      </w:r>
      <w:r>
        <w:rPr>
          <w:rFonts w:ascii="Book Antiqua"/>
          <w:i/>
          <w:spacing w:val="-5"/>
          <w:sz w:val="28"/>
        </w:rPr>
        <w:t> </w:t>
      </w:r>
      <w:r>
        <w:rPr>
          <w:rFonts w:ascii="Book Antiqua"/>
          <w:i/>
          <w:sz w:val="28"/>
        </w:rPr>
        <w:t>who</w:t>
      </w:r>
      <w:r>
        <w:rPr>
          <w:rFonts w:ascii="Book Antiqua"/>
          <w:i/>
          <w:spacing w:val="-5"/>
          <w:sz w:val="28"/>
        </w:rPr>
        <w:t> </w:t>
      </w:r>
      <w:r>
        <w:rPr>
          <w:rFonts w:ascii="Book Antiqua"/>
          <w:i/>
          <w:sz w:val="28"/>
        </w:rPr>
        <w:t>inspire</w:t>
      </w:r>
      <w:r>
        <w:rPr>
          <w:rFonts w:ascii="Book Antiqua"/>
          <w:i/>
          <w:spacing w:val="-5"/>
          <w:sz w:val="28"/>
        </w:rPr>
        <w:t> </w:t>
      </w:r>
      <w:r>
        <w:rPr>
          <w:rFonts w:ascii="Book Antiqua"/>
          <w:i/>
          <w:sz w:val="28"/>
        </w:rPr>
        <w:t>me:</w:t>
      </w:r>
      <w:r>
        <w:rPr>
          <w:rFonts w:ascii="Book Antiqua"/>
          <w:i/>
          <w:spacing w:val="-5"/>
          <w:sz w:val="28"/>
        </w:rPr>
        <w:t> </w:t>
      </w:r>
      <w:r>
        <w:rPr>
          <w:rFonts w:ascii="Book Antiqua"/>
          <w:i/>
          <w:sz w:val="28"/>
        </w:rPr>
        <w:t>my</w:t>
      </w:r>
      <w:r>
        <w:rPr>
          <w:rFonts w:ascii="Book Antiqua"/>
          <w:i/>
          <w:spacing w:val="-5"/>
          <w:sz w:val="28"/>
        </w:rPr>
        <w:t> </w:t>
      </w:r>
      <w:r>
        <w:rPr>
          <w:rFonts w:ascii="Book Antiqua"/>
          <w:i/>
          <w:sz w:val="28"/>
        </w:rPr>
        <w:t>wife</w:t>
      </w:r>
      <w:r>
        <w:rPr>
          <w:rFonts w:ascii="Book Antiqua"/>
          <w:i/>
          <w:spacing w:val="-5"/>
          <w:sz w:val="28"/>
        </w:rPr>
        <w:t> </w:t>
      </w:r>
      <w:r>
        <w:rPr>
          <w:rFonts w:ascii="Book Antiqua"/>
          <w:i/>
          <w:sz w:val="28"/>
        </w:rPr>
        <w:t>Claudia,</w:t>
      </w:r>
      <w:r>
        <w:rPr>
          <w:rFonts w:ascii="Book Antiqua"/>
          <w:i/>
          <w:spacing w:val="-5"/>
          <w:sz w:val="28"/>
        </w:rPr>
        <w:t> </w:t>
      </w:r>
      <w:r>
        <w:rPr>
          <w:rFonts w:ascii="Book Antiqua"/>
          <w:i/>
          <w:sz w:val="28"/>
        </w:rPr>
        <w:t>daughter</w:t>
      </w:r>
      <w:r>
        <w:rPr>
          <w:rFonts w:ascii="Book Antiqua"/>
          <w:i/>
          <w:sz w:val="28"/>
        </w:rPr>
        <w:t> Olivia, and mother Maria.</w:t>
      </w:r>
    </w:p>
    <w:p>
      <w:pPr>
        <w:spacing w:after="0"/>
        <w:jc w:val="left"/>
        <w:rPr>
          <w:rFonts w:ascii="Book Antiqua"/>
          <w:sz w:val="28"/>
        </w:rPr>
        <w:sectPr>
          <w:pgSz w:w="8640" w:h="12960"/>
          <w:pgMar w:top="1480" w:bottom="280" w:left="580" w:right="580"/>
        </w:sect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before="7"/>
        <w:rPr>
          <w:rFonts w:ascii="Book Antiqua"/>
          <w:i/>
          <w:sz w:val="19"/>
        </w:rPr>
      </w:pPr>
    </w:p>
    <w:p>
      <w:pPr>
        <w:pStyle w:val="Heading1"/>
        <w:spacing w:before="132"/>
        <w:ind w:left="4131"/>
      </w:pPr>
      <w:r>
        <w:rPr>
          <w:smallCaps/>
          <w:spacing w:val="-12"/>
        </w:rPr>
        <w:t>Contents</w:t>
      </w:r>
    </w:p>
    <w:p>
      <w:pPr>
        <w:spacing w:after="0"/>
        <w:sectPr>
          <w:pgSz w:w="8640" w:h="12960"/>
          <w:pgMar w:top="1480" w:bottom="780" w:left="580" w:right="580"/>
        </w:sectPr>
      </w:pPr>
    </w:p>
    <w:sdt>
      <w:sdtPr>
        <w:docPartObj>
          <w:docPartGallery w:val="Table of Contents"/>
          <w:docPartUnique/>
        </w:docPartObj>
      </w:sdtPr>
      <w:sdtEndPr/>
      <w:sdtContent>
        <w:p>
          <w:pPr>
            <w:pStyle w:val="TOC3"/>
            <w:tabs>
              <w:tab w:pos="6952" w:val="right" w:leader="dot"/>
            </w:tabs>
            <w:spacing w:line="240" w:lineRule="auto" w:before="490"/>
          </w:pPr>
          <w:hyperlink w:history="true" w:anchor="_TOC_250090">
            <w:r>
              <w:rPr>
                <w:spacing w:val="-2"/>
              </w:rPr>
              <w:t>ACKNOWLEDGMENTS</w:t>
            </w:r>
            <w:r>
              <w:rPr/>
              <w:tab/>
            </w:r>
            <w:r>
              <w:rPr>
                <w:spacing w:val="-10"/>
              </w:rPr>
              <w:t>9</w:t>
            </w:r>
          </w:hyperlink>
        </w:p>
        <w:p>
          <w:pPr>
            <w:pStyle w:val="TOC3"/>
            <w:tabs>
              <w:tab w:pos="6952" w:val="right" w:leader="dot"/>
            </w:tabs>
            <w:spacing w:line="240" w:lineRule="auto" w:before="1"/>
          </w:pPr>
          <w:hyperlink w:history="true" w:anchor="_TOC_250089">
            <w:r>
              <w:rPr>
                <w:spacing w:val="-2"/>
              </w:rPr>
              <w:t>INTRODUCTION</w:t>
            </w:r>
            <w:r>
              <w:rPr/>
              <w:tab/>
            </w:r>
            <w:r>
              <w:rPr>
                <w:spacing w:val="-5"/>
              </w:rPr>
              <w:t>10</w:t>
            </w:r>
          </w:hyperlink>
        </w:p>
        <w:p>
          <w:pPr>
            <w:pStyle w:val="TOC2"/>
            <w:tabs>
              <w:tab w:pos="6951" w:val="right" w:leader="dot"/>
            </w:tabs>
            <w:spacing w:line="228" w:lineRule="exact" w:before="123"/>
          </w:pPr>
          <w:hyperlink w:history="true" w:anchor="_TOC_250088">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10"/>
              </w:rPr>
              <w:t>1</w:t>
            </w:r>
            <w:r>
              <w:rPr/>
              <w:tab/>
            </w:r>
            <w:r>
              <w:rPr>
                <w:spacing w:val="-5"/>
              </w:rPr>
              <w:t>13</w:t>
            </w:r>
          </w:hyperlink>
        </w:p>
        <w:p>
          <w:pPr>
            <w:pStyle w:val="TOC3"/>
            <w:tabs>
              <w:tab w:pos="6957" w:val="right" w:leader="dot"/>
            </w:tabs>
            <w:spacing w:line="228" w:lineRule="exact"/>
          </w:pPr>
          <w:r>
            <w:rPr>
              <w:spacing w:val="-2"/>
            </w:rPr>
            <w:t>UNDERSTANDING</w:t>
          </w:r>
          <w:r>
            <w:rPr>
              <w:spacing w:val="4"/>
            </w:rPr>
            <w:t> </w:t>
          </w:r>
          <w:r>
            <w:rPr>
              <w:spacing w:val="-2"/>
            </w:rPr>
            <w:t>MARKETS</w:t>
          </w:r>
          <w:r>
            <w:rPr/>
            <w:tab/>
          </w:r>
          <w:r>
            <w:rPr>
              <w:spacing w:val="-5"/>
            </w:rPr>
            <w:t>13</w:t>
          </w:r>
        </w:p>
        <w:p>
          <w:pPr>
            <w:pStyle w:val="TOC5"/>
            <w:tabs>
              <w:tab w:pos="6956" w:val="right" w:leader="dot"/>
            </w:tabs>
            <w:spacing w:line="240" w:lineRule="auto"/>
            <w:rPr>
              <w:i/>
            </w:rPr>
          </w:pPr>
          <w:hyperlink w:history="true" w:anchor="_TOC_250087">
            <w:r>
              <w:rPr>
                <w:i/>
              </w:rPr>
              <w:t>THE</w:t>
            </w:r>
            <w:r>
              <w:rPr>
                <w:i/>
                <w:spacing w:val="-6"/>
              </w:rPr>
              <w:t> </w:t>
            </w:r>
            <w:r>
              <w:rPr>
                <w:i/>
              </w:rPr>
              <w:t>AUCTION</w:t>
            </w:r>
            <w:r>
              <w:rPr>
                <w:i/>
                <w:spacing w:val="-5"/>
              </w:rPr>
              <w:t> </w:t>
            </w:r>
            <w:r>
              <w:rPr>
                <w:i/>
                <w:spacing w:val="-2"/>
              </w:rPr>
              <w:t>PROCESS</w:t>
            </w:r>
            <w:r>
              <w:rPr>
                <w:i/>
              </w:rPr>
              <w:tab/>
            </w:r>
            <w:r>
              <w:rPr>
                <w:i/>
                <w:spacing w:val="-5"/>
              </w:rPr>
              <w:t>15</w:t>
            </w:r>
          </w:hyperlink>
        </w:p>
        <w:p>
          <w:pPr>
            <w:pStyle w:val="TOC5"/>
            <w:tabs>
              <w:tab w:pos="6960" w:val="right" w:leader="dot"/>
            </w:tabs>
            <w:rPr>
              <w:i/>
            </w:rPr>
          </w:pPr>
          <w:hyperlink w:history="true" w:anchor="_TOC_250086">
            <w:r>
              <w:rPr>
                <w:i/>
              </w:rPr>
              <w:t>THE</w:t>
            </w:r>
            <w:r>
              <w:rPr>
                <w:i/>
                <w:spacing w:val="-5"/>
              </w:rPr>
              <w:t> </w:t>
            </w:r>
            <w:r>
              <w:rPr>
                <w:i/>
              </w:rPr>
              <w:t>TYPES</w:t>
            </w:r>
            <w:r>
              <w:rPr>
                <w:i/>
                <w:spacing w:val="-4"/>
              </w:rPr>
              <w:t> </w:t>
            </w:r>
            <w:r>
              <w:rPr>
                <w:i/>
              </w:rPr>
              <w:t>OF</w:t>
            </w:r>
            <w:r>
              <w:rPr>
                <w:i/>
                <w:spacing w:val="-3"/>
              </w:rPr>
              <w:t> </w:t>
            </w:r>
            <w:r>
              <w:rPr>
                <w:i/>
              </w:rPr>
              <w:t>BUYERS</w:t>
            </w:r>
            <w:r>
              <w:rPr>
                <w:i/>
                <w:spacing w:val="-3"/>
              </w:rPr>
              <w:t> </w:t>
            </w:r>
            <w:r>
              <w:rPr>
                <w:i/>
              </w:rPr>
              <w:t>AND</w:t>
            </w:r>
            <w:r>
              <w:rPr>
                <w:i/>
                <w:spacing w:val="-4"/>
              </w:rPr>
              <w:t> </w:t>
            </w:r>
            <w:r>
              <w:rPr>
                <w:i/>
                <w:spacing w:val="-2"/>
              </w:rPr>
              <w:t>SELLERS</w:t>
            </w:r>
            <w:r>
              <w:rPr>
                <w:i/>
              </w:rPr>
              <w:tab/>
            </w:r>
            <w:r>
              <w:rPr>
                <w:i/>
                <w:spacing w:val="-5"/>
              </w:rPr>
              <w:t>16</w:t>
            </w:r>
          </w:hyperlink>
        </w:p>
        <w:p>
          <w:pPr>
            <w:pStyle w:val="TOC5"/>
            <w:tabs>
              <w:tab w:pos="6959" w:val="right" w:leader="dot"/>
            </w:tabs>
            <w:rPr>
              <w:i/>
            </w:rPr>
          </w:pPr>
          <w:hyperlink w:history="true" w:anchor="_TOC_250085">
            <w:r>
              <w:rPr>
                <w:i/>
              </w:rPr>
              <w:t>RECYCLING</w:t>
            </w:r>
            <w:r>
              <w:rPr>
                <w:i/>
                <w:spacing w:val="-4"/>
              </w:rPr>
              <w:t> </w:t>
            </w:r>
            <w:r>
              <w:rPr>
                <w:i/>
              </w:rPr>
              <w:t>MARKET</w:t>
            </w:r>
            <w:r>
              <w:rPr>
                <w:i/>
                <w:spacing w:val="-2"/>
              </w:rPr>
              <w:t> </w:t>
            </w:r>
            <w:r>
              <w:rPr>
                <w:i/>
                <w:spacing w:val="-4"/>
              </w:rPr>
              <w:t>DAYS</w:t>
            </w:r>
            <w:r>
              <w:rPr>
                <w:i/>
              </w:rPr>
              <w:tab/>
            </w:r>
            <w:r>
              <w:rPr>
                <w:i/>
                <w:spacing w:val="-5"/>
              </w:rPr>
              <w:t>17</w:t>
            </w:r>
          </w:hyperlink>
        </w:p>
        <w:p>
          <w:pPr>
            <w:pStyle w:val="TOC5"/>
            <w:tabs>
              <w:tab w:pos="6958" w:val="right" w:leader="dot"/>
            </w:tabs>
            <w:spacing w:before="1"/>
            <w:rPr>
              <w:i/>
            </w:rPr>
          </w:pPr>
          <w:hyperlink w:history="true" w:anchor="_TOC_250084">
            <w:r>
              <w:rPr>
                <w:i/>
              </w:rPr>
              <w:t>THE</w:t>
            </w:r>
            <w:r>
              <w:rPr>
                <w:i/>
                <w:spacing w:val="-5"/>
              </w:rPr>
              <w:t> </w:t>
            </w:r>
            <w:r>
              <w:rPr>
                <w:i/>
              </w:rPr>
              <w:t>TYPES</w:t>
            </w:r>
            <w:r>
              <w:rPr>
                <w:i/>
                <w:spacing w:val="-3"/>
              </w:rPr>
              <w:t> </w:t>
            </w:r>
            <w:r>
              <w:rPr>
                <w:i/>
              </w:rPr>
              <w:t>OF</w:t>
            </w:r>
            <w:r>
              <w:rPr>
                <w:i/>
                <w:spacing w:val="-3"/>
              </w:rPr>
              <w:t> </w:t>
            </w:r>
            <w:r>
              <w:rPr>
                <w:i/>
              </w:rPr>
              <w:t>MARKET</w:t>
            </w:r>
            <w:r>
              <w:rPr>
                <w:i/>
                <w:spacing w:val="-2"/>
              </w:rPr>
              <w:t> </w:t>
            </w:r>
            <w:r>
              <w:rPr>
                <w:i/>
                <w:spacing w:val="-4"/>
              </w:rPr>
              <w:t>DAYS</w:t>
            </w:r>
            <w:r>
              <w:rPr>
                <w:i/>
              </w:rPr>
              <w:tab/>
            </w:r>
            <w:r>
              <w:rPr>
                <w:i/>
                <w:spacing w:val="-5"/>
              </w:rPr>
              <w:t>19</w:t>
            </w:r>
          </w:hyperlink>
        </w:p>
        <w:p>
          <w:pPr>
            <w:pStyle w:val="TOC5"/>
            <w:tabs>
              <w:tab w:pos="6958" w:val="right" w:leader="dot"/>
            </w:tabs>
            <w:rPr>
              <w:i/>
            </w:rPr>
          </w:pPr>
          <w:hyperlink w:history="true" w:anchor="_TOC_250083">
            <w:r>
              <w:rPr>
                <w:i/>
              </w:rPr>
              <w:t>PURSUING</w:t>
            </w:r>
            <w:r>
              <w:rPr>
                <w:i/>
                <w:spacing w:val="-7"/>
              </w:rPr>
              <w:t> </w:t>
            </w:r>
            <w:r>
              <w:rPr>
                <w:i/>
                <w:spacing w:val="-2"/>
              </w:rPr>
              <w:t>UNDERSTANDING</w:t>
            </w:r>
            <w:r>
              <w:rPr>
                <w:i/>
              </w:rPr>
              <w:tab/>
            </w:r>
            <w:r>
              <w:rPr>
                <w:i/>
                <w:spacing w:val="-5"/>
              </w:rPr>
              <w:t>28</w:t>
            </w:r>
          </w:hyperlink>
        </w:p>
        <w:p>
          <w:pPr>
            <w:pStyle w:val="TOC2"/>
            <w:tabs>
              <w:tab w:pos="6951" w:val="right" w:leader="dot"/>
            </w:tabs>
            <w:spacing w:before="123"/>
          </w:pPr>
          <w:hyperlink w:history="true" w:anchor="_TOC_250082">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10"/>
              </w:rPr>
              <w:t>2</w:t>
            </w:r>
            <w:r>
              <w:rPr/>
              <w:tab/>
            </w:r>
            <w:r>
              <w:rPr>
                <w:spacing w:val="-5"/>
              </w:rPr>
              <w:t>29</w:t>
            </w:r>
          </w:hyperlink>
        </w:p>
        <w:p>
          <w:pPr>
            <w:pStyle w:val="TOC3"/>
            <w:tabs>
              <w:tab w:pos="6955" w:val="right" w:leader="dot"/>
            </w:tabs>
          </w:pPr>
          <w:hyperlink w:history="true" w:anchor="_TOC_250081">
            <w:r>
              <w:rPr>
                <w:spacing w:val="-2"/>
              </w:rPr>
              <w:t>ENGAGING</w:t>
            </w:r>
            <w:r>
              <w:rPr>
                <w:spacing w:val="-4"/>
              </w:rPr>
              <w:t> </w:t>
            </w:r>
            <w:r>
              <w:rPr>
                <w:spacing w:val="-2"/>
              </w:rPr>
              <w:t>THE</w:t>
            </w:r>
            <w:r>
              <w:rPr>
                <w:spacing w:val="-4"/>
              </w:rPr>
              <w:t> SETUP</w:t>
            </w:r>
            <w:r>
              <w:rPr/>
              <w:tab/>
            </w:r>
            <w:r>
              <w:rPr>
                <w:spacing w:val="-5"/>
              </w:rPr>
              <w:t>29</w:t>
            </w:r>
          </w:hyperlink>
        </w:p>
        <w:p>
          <w:pPr>
            <w:pStyle w:val="TOC5"/>
            <w:tabs>
              <w:tab w:pos="6960" w:val="right" w:leader="dot"/>
            </w:tabs>
            <w:rPr>
              <w:i/>
            </w:rPr>
          </w:pPr>
          <w:hyperlink w:history="true" w:anchor="_TOC_250080">
            <w:r>
              <w:rPr>
                <w:i/>
              </w:rPr>
              <w:t>THE</w:t>
            </w:r>
            <w:r>
              <w:rPr>
                <w:i/>
                <w:spacing w:val="-3"/>
              </w:rPr>
              <w:t> </w:t>
            </w:r>
            <w:r>
              <w:rPr>
                <w:i/>
              </w:rPr>
              <w:t>ANATOMY</w:t>
            </w:r>
            <w:r>
              <w:rPr>
                <w:i/>
                <w:spacing w:val="-1"/>
              </w:rPr>
              <w:t> </w:t>
            </w:r>
            <w:r>
              <w:rPr>
                <w:i/>
              </w:rPr>
              <w:t>OF</w:t>
            </w:r>
            <w:r>
              <w:rPr>
                <w:i/>
                <w:spacing w:val="-3"/>
              </w:rPr>
              <w:t> </w:t>
            </w:r>
            <w:r>
              <w:rPr>
                <w:i/>
              </w:rPr>
              <w:t>A</w:t>
            </w:r>
            <w:r>
              <w:rPr>
                <w:i/>
                <w:spacing w:val="-1"/>
              </w:rPr>
              <w:t> </w:t>
            </w:r>
            <w:r>
              <w:rPr>
                <w:i/>
                <w:spacing w:val="-2"/>
              </w:rPr>
              <w:t>CANDLESTICK</w:t>
            </w:r>
            <w:r>
              <w:rPr>
                <w:i/>
              </w:rPr>
              <w:tab/>
            </w:r>
            <w:r>
              <w:rPr>
                <w:i/>
                <w:spacing w:val="-5"/>
              </w:rPr>
              <w:t>30</w:t>
            </w:r>
          </w:hyperlink>
        </w:p>
        <w:p>
          <w:pPr>
            <w:pStyle w:val="TOC5"/>
            <w:tabs>
              <w:tab w:pos="6958" w:val="right" w:leader="dot"/>
            </w:tabs>
            <w:spacing w:line="240" w:lineRule="auto"/>
            <w:rPr>
              <w:i/>
            </w:rPr>
          </w:pPr>
          <w:hyperlink w:history="true" w:anchor="_TOC_250079">
            <w:r>
              <w:rPr>
                <w:i/>
              </w:rPr>
              <w:t>THE</w:t>
            </w:r>
            <w:r>
              <w:rPr>
                <w:i/>
                <w:spacing w:val="-6"/>
              </w:rPr>
              <w:t> </w:t>
            </w:r>
            <w:r>
              <w:rPr>
                <w:i/>
              </w:rPr>
              <w:t>WICK</w:t>
            </w:r>
            <w:r>
              <w:rPr>
                <w:i/>
                <w:spacing w:val="-3"/>
              </w:rPr>
              <w:t> </w:t>
            </w:r>
            <w:r>
              <w:rPr>
                <w:i/>
              </w:rPr>
              <w:t>REVERSAL</w:t>
            </w:r>
            <w:r>
              <w:rPr>
                <w:i/>
                <w:spacing w:val="-3"/>
              </w:rPr>
              <w:t> </w:t>
            </w:r>
            <w:r>
              <w:rPr>
                <w:i/>
                <w:spacing w:val="-4"/>
              </w:rPr>
              <w:t>SETUP</w:t>
            </w:r>
            <w:r>
              <w:rPr>
                <w:i/>
              </w:rPr>
              <w:tab/>
            </w:r>
            <w:r>
              <w:rPr>
                <w:i/>
                <w:spacing w:val="-5"/>
              </w:rPr>
              <w:t>31</w:t>
            </w:r>
          </w:hyperlink>
        </w:p>
        <w:p>
          <w:pPr>
            <w:pStyle w:val="TOC5"/>
            <w:tabs>
              <w:tab w:pos="6959" w:val="right" w:leader="dot"/>
            </w:tabs>
            <w:rPr>
              <w:i/>
            </w:rPr>
          </w:pPr>
          <w:hyperlink w:history="true" w:anchor="_TOC_250078">
            <w:r>
              <w:rPr>
                <w:i/>
              </w:rPr>
              <w:t>THE</w:t>
            </w:r>
            <w:r>
              <w:rPr>
                <w:i/>
                <w:spacing w:val="-5"/>
              </w:rPr>
              <w:t> </w:t>
            </w:r>
            <w:r>
              <w:rPr>
                <w:i/>
              </w:rPr>
              <w:t>EXTREME</w:t>
            </w:r>
            <w:r>
              <w:rPr>
                <w:i/>
                <w:spacing w:val="-3"/>
              </w:rPr>
              <w:t> </w:t>
            </w:r>
            <w:r>
              <w:rPr>
                <w:i/>
              </w:rPr>
              <w:t>REVERSAL</w:t>
            </w:r>
            <w:r>
              <w:rPr>
                <w:i/>
                <w:spacing w:val="-4"/>
              </w:rPr>
              <w:t> </w:t>
            </w:r>
            <w:r>
              <w:rPr>
                <w:i/>
                <w:spacing w:val="-2"/>
              </w:rPr>
              <w:t>SETUP</w:t>
            </w:r>
            <w:r>
              <w:rPr>
                <w:i/>
              </w:rPr>
              <w:tab/>
            </w:r>
            <w:r>
              <w:rPr>
                <w:i/>
                <w:spacing w:val="-5"/>
              </w:rPr>
              <w:t>38</w:t>
            </w:r>
          </w:hyperlink>
        </w:p>
        <w:p>
          <w:pPr>
            <w:pStyle w:val="TOC5"/>
            <w:tabs>
              <w:tab w:pos="6959" w:val="right" w:leader="dot"/>
            </w:tabs>
            <w:rPr>
              <w:i/>
            </w:rPr>
          </w:pPr>
          <w:hyperlink w:history="true" w:anchor="_TOC_250077">
            <w:r>
              <w:rPr>
                <w:i/>
              </w:rPr>
              <w:t>THE</w:t>
            </w:r>
            <w:r>
              <w:rPr>
                <w:i/>
                <w:spacing w:val="-6"/>
              </w:rPr>
              <w:t> </w:t>
            </w:r>
            <w:r>
              <w:rPr>
                <w:i/>
              </w:rPr>
              <w:t>OUTSIDE</w:t>
            </w:r>
            <w:r>
              <w:rPr>
                <w:i/>
                <w:spacing w:val="-5"/>
              </w:rPr>
              <w:t> </w:t>
            </w:r>
            <w:r>
              <w:rPr>
                <w:i/>
              </w:rPr>
              <w:t>REVERSAL</w:t>
            </w:r>
            <w:r>
              <w:rPr>
                <w:i/>
                <w:spacing w:val="-5"/>
              </w:rPr>
              <w:t> </w:t>
            </w:r>
            <w:r>
              <w:rPr>
                <w:i/>
                <w:spacing w:val="-2"/>
              </w:rPr>
              <w:t>SETUP</w:t>
            </w:r>
            <w:r>
              <w:rPr>
                <w:i/>
              </w:rPr>
              <w:tab/>
            </w:r>
            <w:r>
              <w:rPr>
                <w:i/>
                <w:spacing w:val="-5"/>
              </w:rPr>
              <w:t>44</w:t>
            </w:r>
          </w:hyperlink>
        </w:p>
        <w:p>
          <w:pPr>
            <w:pStyle w:val="TOC5"/>
            <w:tabs>
              <w:tab w:pos="6957" w:val="right" w:leader="dot"/>
            </w:tabs>
            <w:spacing w:line="240" w:lineRule="auto" w:before="1"/>
            <w:rPr>
              <w:i/>
            </w:rPr>
          </w:pPr>
          <w:hyperlink w:history="true" w:anchor="_TOC_250076">
            <w:r>
              <w:rPr>
                <w:i/>
              </w:rPr>
              <w:t>THE</w:t>
            </w:r>
            <w:r>
              <w:rPr>
                <w:i/>
                <w:spacing w:val="-4"/>
              </w:rPr>
              <w:t> </w:t>
            </w:r>
            <w:r>
              <w:rPr>
                <w:i/>
              </w:rPr>
              <w:t>DOJI</w:t>
            </w:r>
            <w:r>
              <w:rPr>
                <w:i/>
                <w:spacing w:val="-4"/>
              </w:rPr>
              <w:t> </w:t>
            </w:r>
            <w:r>
              <w:rPr>
                <w:i/>
              </w:rPr>
              <w:t>REVERSAL</w:t>
            </w:r>
            <w:r>
              <w:rPr>
                <w:i/>
                <w:spacing w:val="-4"/>
              </w:rPr>
              <w:t> SETUP</w:t>
            </w:r>
            <w:r>
              <w:rPr>
                <w:i/>
              </w:rPr>
              <w:tab/>
            </w:r>
            <w:r>
              <w:rPr>
                <w:i/>
                <w:spacing w:val="-5"/>
              </w:rPr>
              <w:t>49</w:t>
            </w:r>
          </w:hyperlink>
        </w:p>
        <w:p>
          <w:pPr>
            <w:pStyle w:val="TOC5"/>
            <w:tabs>
              <w:tab w:pos="6959" w:val="right" w:leader="dot"/>
            </w:tabs>
            <w:spacing w:line="240" w:lineRule="auto"/>
            <w:rPr>
              <w:i/>
            </w:rPr>
          </w:pPr>
          <w:hyperlink w:history="true" w:anchor="_TOC_250075">
            <w:r>
              <w:rPr>
                <w:i/>
              </w:rPr>
              <w:t>UNDERSTANDING</w:t>
            </w:r>
            <w:r>
              <w:rPr>
                <w:i/>
                <w:spacing w:val="-7"/>
              </w:rPr>
              <w:t> </w:t>
            </w:r>
            <w:r>
              <w:rPr>
                <w:i/>
              </w:rPr>
              <w:t>THE</w:t>
            </w:r>
            <w:r>
              <w:rPr>
                <w:i/>
                <w:spacing w:val="-6"/>
              </w:rPr>
              <w:t> </w:t>
            </w:r>
            <w:r>
              <w:rPr>
                <w:i/>
                <w:spacing w:val="-2"/>
              </w:rPr>
              <w:t>SETUP</w:t>
            </w:r>
            <w:r>
              <w:rPr>
                <w:i/>
              </w:rPr>
              <w:tab/>
            </w:r>
            <w:r>
              <w:rPr>
                <w:i/>
                <w:spacing w:val="-5"/>
              </w:rPr>
              <w:t>55</w:t>
            </w:r>
          </w:hyperlink>
        </w:p>
        <w:p>
          <w:pPr>
            <w:pStyle w:val="TOC1"/>
            <w:tabs>
              <w:tab w:pos="6951" w:val="right" w:leader="dot"/>
            </w:tabs>
            <w:spacing w:line="229" w:lineRule="exact" w:before="122"/>
          </w:pPr>
          <w:hyperlink w:history="true" w:anchor="_TOC_250074">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10"/>
              </w:rPr>
              <w:t>3</w:t>
            </w:r>
            <w:r>
              <w:rPr/>
              <w:tab/>
            </w:r>
            <w:r>
              <w:rPr>
                <w:spacing w:val="-5"/>
              </w:rPr>
              <w:t>57</w:t>
            </w:r>
          </w:hyperlink>
        </w:p>
        <w:p>
          <w:pPr>
            <w:pStyle w:val="TOC3"/>
            <w:tabs>
              <w:tab w:pos="6959" w:val="right" w:leader="dot"/>
            </w:tabs>
          </w:pPr>
          <w:hyperlink w:history="true" w:anchor="_TOC_250073">
            <w:r>
              <w:rPr>
                <w:spacing w:val="-2"/>
              </w:rPr>
              <w:t>INTRODUCING</w:t>
            </w:r>
            <w:r>
              <w:rPr>
                <w:spacing w:val="-5"/>
              </w:rPr>
              <w:t> </w:t>
            </w:r>
            <w:r>
              <w:rPr>
                <w:spacing w:val="-2"/>
              </w:rPr>
              <w:t>THE</w:t>
            </w:r>
            <w:r>
              <w:rPr>
                <w:spacing w:val="-4"/>
              </w:rPr>
              <w:t> </w:t>
            </w:r>
            <w:r>
              <w:rPr>
                <w:spacing w:val="-2"/>
              </w:rPr>
              <w:t>MONEY</w:t>
            </w:r>
            <w:r>
              <w:rPr>
                <w:spacing w:val="-4"/>
              </w:rPr>
              <w:t> ZONE</w:t>
            </w:r>
            <w:r>
              <w:rPr/>
              <w:tab/>
            </w:r>
            <w:r>
              <w:rPr>
                <w:spacing w:val="-5"/>
              </w:rPr>
              <w:t>57</w:t>
            </w:r>
          </w:hyperlink>
        </w:p>
        <w:p>
          <w:pPr>
            <w:pStyle w:val="TOC5"/>
            <w:tabs>
              <w:tab w:pos="6960" w:val="right" w:leader="dot"/>
            </w:tabs>
            <w:rPr>
              <w:i/>
            </w:rPr>
          </w:pPr>
          <w:hyperlink w:history="true" w:anchor="_TOC_250072">
            <w:r>
              <w:rPr>
                <w:i/>
              </w:rPr>
              <w:t>ABOUT</w:t>
            </w:r>
            <w:r>
              <w:rPr>
                <w:i/>
                <w:spacing w:val="-3"/>
              </w:rPr>
              <w:t> </w:t>
            </w:r>
            <w:r>
              <w:rPr>
                <w:i/>
              </w:rPr>
              <w:t>THE</w:t>
            </w:r>
            <w:r>
              <w:rPr>
                <w:i/>
                <w:spacing w:val="-4"/>
              </w:rPr>
              <w:t> </w:t>
            </w:r>
            <w:r>
              <w:rPr>
                <w:i/>
              </w:rPr>
              <w:t>MARKET</w:t>
            </w:r>
            <w:r>
              <w:rPr>
                <w:i/>
                <w:spacing w:val="-1"/>
              </w:rPr>
              <w:t> </w:t>
            </w:r>
            <w:r>
              <w:rPr>
                <w:i/>
                <w:spacing w:val="-2"/>
              </w:rPr>
              <w:t>PROFILE</w:t>
            </w:r>
            <w:r>
              <w:rPr>
                <w:i/>
              </w:rPr>
              <w:tab/>
            </w:r>
            <w:r>
              <w:rPr>
                <w:i/>
                <w:spacing w:val="-5"/>
              </w:rPr>
              <w:t>58</w:t>
            </w:r>
          </w:hyperlink>
        </w:p>
        <w:p>
          <w:pPr>
            <w:pStyle w:val="TOC5"/>
            <w:tabs>
              <w:tab w:pos="6956" w:val="right" w:leader="dot"/>
            </w:tabs>
            <w:rPr>
              <w:i/>
            </w:rPr>
          </w:pPr>
          <w:hyperlink w:history="true" w:anchor="_TOC_250071">
            <w:r>
              <w:rPr>
                <w:i/>
              </w:rPr>
              <w:t>THE</w:t>
            </w:r>
            <w:r>
              <w:rPr>
                <w:i/>
                <w:spacing w:val="-4"/>
              </w:rPr>
              <w:t> </w:t>
            </w:r>
            <w:r>
              <w:rPr>
                <w:i/>
              </w:rPr>
              <w:t>MONEY</w:t>
            </w:r>
            <w:r>
              <w:rPr>
                <w:i/>
                <w:spacing w:val="-3"/>
              </w:rPr>
              <w:t> </w:t>
            </w:r>
            <w:r>
              <w:rPr>
                <w:i/>
              </w:rPr>
              <w:t>ZONE</w:t>
            </w:r>
            <w:r>
              <w:rPr>
                <w:i/>
                <w:spacing w:val="-3"/>
              </w:rPr>
              <w:t> </w:t>
            </w:r>
            <w:r>
              <w:rPr>
                <w:i/>
                <w:spacing w:val="-2"/>
              </w:rPr>
              <w:t>LEVELS</w:t>
            </w:r>
            <w:r>
              <w:rPr>
                <w:i/>
              </w:rPr>
              <w:tab/>
            </w:r>
            <w:r>
              <w:rPr>
                <w:i/>
                <w:spacing w:val="-5"/>
              </w:rPr>
              <w:t>60</w:t>
            </w:r>
          </w:hyperlink>
        </w:p>
        <w:p>
          <w:pPr>
            <w:pStyle w:val="TOC5"/>
            <w:tabs>
              <w:tab w:pos="6956" w:val="right" w:leader="dot"/>
            </w:tabs>
            <w:spacing w:line="240" w:lineRule="auto" w:before="1"/>
            <w:rPr>
              <w:i/>
            </w:rPr>
          </w:pPr>
          <w:hyperlink w:history="true" w:anchor="_TOC_250070">
            <w:r>
              <w:rPr>
                <w:i/>
              </w:rPr>
              <w:t>THE</w:t>
            </w:r>
            <w:r>
              <w:rPr>
                <w:i/>
                <w:spacing w:val="-4"/>
              </w:rPr>
              <w:t> </w:t>
            </w:r>
            <w:r>
              <w:rPr>
                <w:i/>
              </w:rPr>
              <w:t>POINT</w:t>
            </w:r>
            <w:r>
              <w:rPr>
                <w:i/>
                <w:spacing w:val="-5"/>
              </w:rPr>
              <w:t> </w:t>
            </w:r>
            <w:r>
              <w:rPr>
                <w:i/>
              </w:rPr>
              <w:t>OF</w:t>
            </w:r>
            <w:r>
              <w:rPr>
                <w:i/>
                <w:spacing w:val="-2"/>
              </w:rPr>
              <w:t> CONTROL</w:t>
            </w:r>
            <w:r>
              <w:rPr>
                <w:i/>
              </w:rPr>
              <w:tab/>
            </w:r>
            <w:r>
              <w:rPr>
                <w:i/>
                <w:spacing w:val="-5"/>
              </w:rPr>
              <w:t>61</w:t>
            </w:r>
          </w:hyperlink>
        </w:p>
        <w:p>
          <w:pPr>
            <w:pStyle w:val="TOC5"/>
            <w:tabs>
              <w:tab w:pos="6961" w:val="right" w:leader="dot"/>
            </w:tabs>
            <w:rPr>
              <w:i/>
            </w:rPr>
          </w:pPr>
          <w:hyperlink w:history="true" w:anchor="_TOC_250069">
            <w:r>
              <w:rPr>
                <w:i/>
              </w:rPr>
              <w:t>THE</w:t>
            </w:r>
            <w:r>
              <w:rPr>
                <w:i/>
                <w:spacing w:val="-4"/>
              </w:rPr>
              <w:t> </w:t>
            </w:r>
            <w:r>
              <w:rPr>
                <w:i/>
              </w:rPr>
              <w:t>DEVELOPING</w:t>
            </w:r>
            <w:r>
              <w:rPr>
                <w:i/>
                <w:spacing w:val="-4"/>
              </w:rPr>
              <w:t> </w:t>
            </w:r>
            <w:r>
              <w:rPr>
                <w:i/>
              </w:rPr>
              <w:t>POINT</w:t>
            </w:r>
            <w:r>
              <w:rPr>
                <w:i/>
                <w:spacing w:val="-5"/>
              </w:rPr>
              <w:t> </w:t>
            </w:r>
            <w:r>
              <w:rPr>
                <w:i/>
              </w:rPr>
              <w:t>OF</w:t>
            </w:r>
            <w:r>
              <w:rPr>
                <w:i/>
                <w:spacing w:val="-3"/>
              </w:rPr>
              <w:t> </w:t>
            </w:r>
            <w:r>
              <w:rPr>
                <w:i/>
                <w:spacing w:val="-2"/>
              </w:rPr>
              <w:t>CONTROL</w:t>
            </w:r>
            <w:r>
              <w:rPr>
                <w:i/>
              </w:rPr>
              <w:tab/>
            </w:r>
            <w:r>
              <w:rPr>
                <w:i/>
                <w:spacing w:val="-5"/>
              </w:rPr>
              <w:t>63</w:t>
            </w:r>
          </w:hyperlink>
        </w:p>
        <w:p>
          <w:pPr>
            <w:pStyle w:val="TOC5"/>
            <w:tabs>
              <w:tab w:pos="6954" w:val="right" w:leader="dot"/>
            </w:tabs>
            <w:rPr>
              <w:i/>
            </w:rPr>
          </w:pPr>
          <w:hyperlink w:history="true" w:anchor="_TOC_250068">
            <w:r>
              <w:rPr>
                <w:i/>
              </w:rPr>
              <w:t>THE</w:t>
            </w:r>
            <w:r>
              <w:rPr>
                <w:i/>
                <w:spacing w:val="-5"/>
              </w:rPr>
              <w:t> </w:t>
            </w:r>
            <w:r>
              <w:rPr>
                <w:i/>
              </w:rPr>
              <w:t>VALUE</w:t>
            </w:r>
            <w:r>
              <w:rPr>
                <w:i/>
                <w:spacing w:val="-3"/>
              </w:rPr>
              <w:t> </w:t>
            </w:r>
            <w:r>
              <w:rPr>
                <w:i/>
                <w:spacing w:val="-4"/>
              </w:rPr>
              <w:t>AREA</w:t>
            </w:r>
            <w:r>
              <w:rPr>
                <w:i/>
              </w:rPr>
              <w:tab/>
            </w:r>
            <w:r>
              <w:rPr>
                <w:i/>
                <w:spacing w:val="-5"/>
              </w:rPr>
              <w:t>64</w:t>
            </w:r>
          </w:hyperlink>
        </w:p>
        <w:p>
          <w:pPr>
            <w:pStyle w:val="TOC5"/>
            <w:tabs>
              <w:tab w:pos="6959" w:val="right" w:leader="dot"/>
            </w:tabs>
            <w:spacing w:line="240" w:lineRule="auto" w:before="1"/>
            <w:rPr>
              <w:i/>
            </w:rPr>
          </w:pPr>
          <w:hyperlink w:history="true" w:anchor="_TOC_250067">
            <w:r>
              <w:rPr>
                <w:i/>
              </w:rPr>
              <w:t>THE</w:t>
            </w:r>
            <w:r>
              <w:rPr>
                <w:i/>
                <w:spacing w:val="-5"/>
              </w:rPr>
              <w:t> </w:t>
            </w:r>
            <w:r>
              <w:rPr>
                <w:i/>
              </w:rPr>
              <w:t>DEVELOPING</w:t>
            </w:r>
            <w:r>
              <w:rPr>
                <w:i/>
                <w:spacing w:val="-4"/>
              </w:rPr>
              <w:t> </w:t>
            </w:r>
            <w:r>
              <w:rPr>
                <w:i/>
              </w:rPr>
              <w:t>VALUE</w:t>
            </w:r>
            <w:r>
              <w:rPr>
                <w:i/>
                <w:spacing w:val="-4"/>
              </w:rPr>
              <w:t> AREA</w:t>
            </w:r>
            <w:r>
              <w:rPr>
                <w:i/>
              </w:rPr>
              <w:tab/>
            </w:r>
            <w:r>
              <w:rPr>
                <w:i/>
                <w:spacing w:val="-5"/>
              </w:rPr>
              <w:t>66</w:t>
            </w:r>
          </w:hyperlink>
        </w:p>
        <w:p>
          <w:pPr>
            <w:pStyle w:val="TOC5"/>
            <w:tabs>
              <w:tab w:pos="6955" w:val="right" w:leader="dot"/>
            </w:tabs>
            <w:rPr>
              <w:i/>
            </w:rPr>
          </w:pPr>
          <w:hyperlink w:history="true" w:anchor="_TOC_250066">
            <w:r>
              <w:rPr>
                <w:i/>
              </w:rPr>
              <w:t>VOLUME</w:t>
            </w:r>
            <w:r>
              <w:rPr>
                <w:i/>
                <w:spacing w:val="-2"/>
              </w:rPr>
              <w:t> </w:t>
            </w:r>
            <w:r>
              <w:rPr>
                <w:i/>
              </w:rPr>
              <w:t>AT</w:t>
            </w:r>
            <w:r>
              <w:rPr>
                <w:i/>
                <w:spacing w:val="-2"/>
              </w:rPr>
              <w:t> PRICE</w:t>
            </w:r>
            <w:r>
              <w:rPr>
                <w:i/>
              </w:rPr>
              <w:tab/>
            </w:r>
            <w:r>
              <w:rPr>
                <w:i/>
                <w:spacing w:val="-5"/>
              </w:rPr>
              <w:t>67</w:t>
            </w:r>
          </w:hyperlink>
        </w:p>
        <w:p>
          <w:pPr>
            <w:pStyle w:val="TOC5"/>
            <w:tabs>
              <w:tab w:pos="6959" w:val="right" w:leader="dot"/>
            </w:tabs>
            <w:spacing w:after="240"/>
            <w:rPr>
              <w:i/>
            </w:rPr>
          </w:pPr>
          <w:hyperlink w:history="true" w:anchor="_TOC_250065">
            <w:r>
              <w:rPr>
                <w:i/>
              </w:rPr>
              <w:t>ENGAGING</w:t>
            </w:r>
            <w:r>
              <w:rPr>
                <w:i/>
                <w:spacing w:val="-3"/>
              </w:rPr>
              <w:t> </w:t>
            </w:r>
            <w:r>
              <w:rPr>
                <w:i/>
              </w:rPr>
              <w:t>THE</w:t>
            </w:r>
            <w:r>
              <w:rPr>
                <w:i/>
                <w:spacing w:val="-3"/>
              </w:rPr>
              <w:t> </w:t>
            </w:r>
            <w:r>
              <w:rPr>
                <w:i/>
              </w:rPr>
              <w:t>MONEY</w:t>
            </w:r>
            <w:r>
              <w:rPr>
                <w:i/>
                <w:spacing w:val="-3"/>
              </w:rPr>
              <w:t> </w:t>
            </w:r>
            <w:r>
              <w:rPr>
                <w:i/>
                <w:spacing w:val="-4"/>
              </w:rPr>
              <w:t>ZONE</w:t>
            </w:r>
            <w:r>
              <w:rPr>
                <w:i/>
              </w:rPr>
              <w:tab/>
            </w:r>
            <w:r>
              <w:rPr>
                <w:i/>
                <w:spacing w:val="-5"/>
              </w:rPr>
              <w:t>69</w:t>
            </w:r>
          </w:hyperlink>
        </w:p>
        <w:p>
          <w:pPr>
            <w:pStyle w:val="TOC4"/>
            <w:tabs>
              <w:tab w:pos="7311" w:val="right" w:leader="dot"/>
            </w:tabs>
            <w:ind w:left="500"/>
          </w:pPr>
          <w:hyperlink w:history="true" w:anchor="_TOC_250064">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10"/>
              </w:rPr>
              <w:t>4</w:t>
            </w:r>
            <w:r>
              <w:rPr/>
              <w:tab/>
            </w:r>
            <w:r>
              <w:rPr>
                <w:spacing w:val="-5"/>
              </w:rPr>
              <w:t>71</w:t>
            </w:r>
          </w:hyperlink>
        </w:p>
        <w:p>
          <w:pPr>
            <w:pStyle w:val="TOC6"/>
            <w:tabs>
              <w:tab w:pos="7321" w:val="right" w:leader="dot"/>
            </w:tabs>
          </w:pPr>
          <w:hyperlink w:history="true" w:anchor="_TOC_250063">
            <w:r>
              <w:rPr>
                <w:spacing w:val="-2"/>
              </w:rPr>
              <w:t>ADVANCED</w:t>
            </w:r>
            <w:r>
              <w:rPr>
                <w:spacing w:val="-7"/>
              </w:rPr>
              <w:t> </w:t>
            </w:r>
            <w:r>
              <w:rPr>
                <w:spacing w:val="-2"/>
              </w:rPr>
              <w:t>MONEY</w:t>
            </w:r>
            <w:r>
              <w:rPr>
                <w:spacing w:val="-5"/>
              </w:rPr>
              <w:t> </w:t>
            </w:r>
            <w:r>
              <w:rPr>
                <w:spacing w:val="-2"/>
              </w:rPr>
              <w:t>ZONE</w:t>
            </w:r>
            <w:r>
              <w:rPr>
                <w:spacing w:val="-4"/>
              </w:rPr>
              <w:t> </w:t>
            </w:r>
            <w:r>
              <w:rPr>
                <w:spacing w:val="-2"/>
              </w:rPr>
              <w:t>CONCEPTS</w:t>
            </w:r>
            <w:r>
              <w:rPr/>
              <w:tab/>
            </w:r>
            <w:r>
              <w:rPr>
                <w:spacing w:val="-5"/>
              </w:rPr>
              <w:t>71</w:t>
            </w:r>
          </w:hyperlink>
        </w:p>
        <w:p>
          <w:pPr>
            <w:pStyle w:val="TOC7"/>
            <w:tabs>
              <w:tab w:pos="7324" w:val="right" w:leader="dot"/>
            </w:tabs>
            <w:spacing w:line="240" w:lineRule="auto"/>
            <w:rPr>
              <w:i/>
            </w:rPr>
          </w:pPr>
          <w:hyperlink w:history="true" w:anchor="_TOC_250062">
            <w:r>
              <w:rPr>
                <w:i/>
              </w:rPr>
              <w:t>THE</w:t>
            </w:r>
            <w:r>
              <w:rPr>
                <w:i/>
                <w:spacing w:val="-4"/>
              </w:rPr>
              <w:t> </w:t>
            </w:r>
            <w:r>
              <w:rPr>
                <w:i/>
              </w:rPr>
              <w:t>OPEN</w:t>
            </w:r>
            <w:r>
              <w:rPr>
                <w:i/>
                <w:spacing w:val="-3"/>
              </w:rPr>
              <w:t> </w:t>
            </w:r>
            <w:r>
              <w:rPr>
                <w:i/>
              </w:rPr>
              <w:t>IN</w:t>
            </w:r>
            <w:r>
              <w:rPr>
                <w:i/>
                <w:spacing w:val="-4"/>
              </w:rPr>
              <w:t> </w:t>
            </w:r>
            <w:r>
              <w:rPr>
                <w:i/>
              </w:rPr>
              <w:t>RELATION</w:t>
            </w:r>
            <w:r>
              <w:rPr>
                <w:i/>
                <w:spacing w:val="-3"/>
              </w:rPr>
              <w:t> </w:t>
            </w:r>
            <w:r>
              <w:rPr>
                <w:i/>
              </w:rPr>
              <w:t>TO</w:t>
            </w:r>
            <w:r>
              <w:rPr>
                <w:i/>
                <w:spacing w:val="-3"/>
              </w:rPr>
              <w:t> </w:t>
            </w:r>
            <w:r>
              <w:rPr>
                <w:i/>
              </w:rPr>
              <w:t>VALUE</w:t>
            </w:r>
            <w:r>
              <w:rPr>
                <w:i/>
                <w:spacing w:val="-3"/>
              </w:rPr>
              <w:t> </w:t>
            </w:r>
            <w:r>
              <w:rPr>
                <w:i/>
              </w:rPr>
              <w:t>AND</w:t>
            </w:r>
            <w:r>
              <w:rPr>
                <w:i/>
                <w:spacing w:val="-3"/>
              </w:rPr>
              <w:t> </w:t>
            </w:r>
            <w:r>
              <w:rPr>
                <w:i/>
                <w:spacing w:val="-4"/>
              </w:rPr>
              <w:t>RANGE</w:t>
            </w:r>
            <w:r>
              <w:rPr>
                <w:i/>
              </w:rPr>
              <w:tab/>
            </w:r>
            <w:r>
              <w:rPr>
                <w:i/>
                <w:spacing w:val="-5"/>
              </w:rPr>
              <w:t>72</w:t>
            </w:r>
          </w:hyperlink>
        </w:p>
        <w:p>
          <w:pPr>
            <w:pStyle w:val="TOC7"/>
            <w:tabs>
              <w:tab w:pos="7318" w:val="right" w:leader="dot"/>
            </w:tabs>
            <w:spacing w:before="1"/>
            <w:rPr>
              <w:i/>
            </w:rPr>
          </w:pPr>
          <w:hyperlink w:history="true" w:anchor="_TOC_250061">
            <w:r>
              <w:rPr>
                <w:i/>
              </w:rPr>
              <w:t>VALUE</w:t>
            </w:r>
            <w:r>
              <w:rPr>
                <w:i/>
                <w:spacing w:val="-3"/>
              </w:rPr>
              <w:t> </w:t>
            </w:r>
            <w:r>
              <w:rPr>
                <w:i/>
              </w:rPr>
              <w:t>AREA</w:t>
            </w:r>
            <w:r>
              <w:rPr>
                <w:i/>
                <w:spacing w:val="-2"/>
              </w:rPr>
              <w:t> RELATIONSHIPS</w:t>
            </w:r>
            <w:r>
              <w:rPr>
                <w:i/>
              </w:rPr>
              <w:tab/>
            </w:r>
            <w:r>
              <w:rPr>
                <w:i/>
                <w:spacing w:val="-5"/>
              </w:rPr>
              <w:t>76</w:t>
            </w:r>
          </w:hyperlink>
        </w:p>
        <w:p>
          <w:pPr>
            <w:pStyle w:val="TOC7"/>
            <w:tabs>
              <w:tab w:pos="7315" w:val="right" w:leader="dot"/>
            </w:tabs>
            <w:rPr>
              <w:i/>
            </w:rPr>
          </w:pPr>
          <w:hyperlink w:history="true" w:anchor="_TOC_250060">
            <w:r>
              <w:rPr>
                <w:i/>
              </w:rPr>
              <w:t>VALUE</w:t>
            </w:r>
            <w:r>
              <w:rPr>
                <w:i/>
                <w:spacing w:val="-5"/>
              </w:rPr>
              <w:t> </w:t>
            </w:r>
            <w:r>
              <w:rPr>
                <w:i/>
              </w:rPr>
              <w:t>AREA</w:t>
            </w:r>
            <w:r>
              <w:rPr>
                <w:i/>
                <w:spacing w:val="-2"/>
              </w:rPr>
              <w:t> </w:t>
            </w:r>
            <w:r>
              <w:rPr>
                <w:i/>
                <w:spacing w:val="-4"/>
              </w:rPr>
              <w:t>WIDTH</w:t>
            </w:r>
            <w:r>
              <w:rPr>
                <w:i/>
              </w:rPr>
              <w:tab/>
            </w:r>
            <w:r>
              <w:rPr>
                <w:i/>
                <w:spacing w:val="-5"/>
              </w:rPr>
              <w:t>92</w:t>
            </w:r>
          </w:hyperlink>
        </w:p>
        <w:p>
          <w:pPr>
            <w:pStyle w:val="TOC7"/>
            <w:tabs>
              <w:tab w:pos="7319" w:val="right" w:leader="dot"/>
            </w:tabs>
            <w:rPr>
              <w:i/>
            </w:rPr>
          </w:pPr>
          <w:hyperlink w:history="true" w:anchor="_TOC_250059">
            <w:r>
              <w:rPr>
                <w:i/>
              </w:rPr>
              <w:t>VIRGIN</w:t>
            </w:r>
            <w:r>
              <w:rPr>
                <w:i/>
                <w:spacing w:val="-4"/>
              </w:rPr>
              <w:t> </w:t>
            </w:r>
            <w:r>
              <w:rPr>
                <w:i/>
              </w:rPr>
              <w:t>MONEY</w:t>
            </w:r>
            <w:r>
              <w:rPr>
                <w:i/>
                <w:spacing w:val="-3"/>
              </w:rPr>
              <w:t> </w:t>
            </w:r>
            <w:r>
              <w:rPr>
                <w:i/>
              </w:rPr>
              <w:t>ZONE</w:t>
            </w:r>
            <w:r>
              <w:rPr>
                <w:i/>
                <w:spacing w:val="-3"/>
              </w:rPr>
              <w:t> </w:t>
            </w:r>
            <w:r>
              <w:rPr>
                <w:i/>
                <w:spacing w:val="-2"/>
              </w:rPr>
              <w:t>LEVELS</w:t>
            </w:r>
            <w:r>
              <w:rPr>
                <w:i/>
              </w:rPr>
              <w:tab/>
            </w:r>
            <w:r>
              <w:rPr>
                <w:i/>
                <w:spacing w:val="-5"/>
              </w:rPr>
              <w:t>95</w:t>
            </w:r>
          </w:hyperlink>
        </w:p>
        <w:p>
          <w:pPr>
            <w:pStyle w:val="TOC7"/>
            <w:tabs>
              <w:tab w:pos="7327" w:val="right" w:leader="dot"/>
            </w:tabs>
            <w:rPr>
              <w:i/>
            </w:rPr>
          </w:pPr>
          <w:hyperlink w:history="true" w:anchor="_TOC_250058">
            <w:r>
              <w:rPr>
                <w:i/>
              </w:rPr>
              <w:t>UNDERSTANDING</w:t>
            </w:r>
            <w:r>
              <w:rPr>
                <w:i/>
                <w:spacing w:val="-6"/>
              </w:rPr>
              <w:t> </w:t>
            </w:r>
            <w:r>
              <w:rPr>
                <w:i/>
              </w:rPr>
              <w:t>VOLUME</w:t>
            </w:r>
            <w:r>
              <w:rPr>
                <w:i/>
                <w:spacing w:val="-5"/>
              </w:rPr>
              <w:t> </w:t>
            </w:r>
            <w:r>
              <w:rPr>
                <w:i/>
              </w:rPr>
              <w:t>AT</w:t>
            </w:r>
            <w:r>
              <w:rPr>
                <w:i/>
                <w:spacing w:val="-6"/>
              </w:rPr>
              <w:t> </w:t>
            </w:r>
            <w:r>
              <w:rPr>
                <w:i/>
                <w:spacing w:val="-2"/>
              </w:rPr>
              <w:t>PRICE</w:t>
            </w:r>
            <w:r>
              <w:rPr>
                <w:i/>
              </w:rPr>
              <w:tab/>
            </w:r>
            <w:r>
              <w:rPr>
                <w:i/>
                <w:spacing w:val="-5"/>
              </w:rPr>
              <w:t>101</w:t>
            </w:r>
          </w:hyperlink>
        </w:p>
        <w:p>
          <w:pPr>
            <w:pStyle w:val="TOC7"/>
            <w:tabs>
              <w:tab w:pos="7327" w:val="right" w:leader="dot"/>
            </w:tabs>
            <w:spacing w:line="240" w:lineRule="auto" w:before="1"/>
            <w:rPr>
              <w:i/>
            </w:rPr>
          </w:pPr>
          <w:hyperlink w:history="true" w:anchor="_TOC_250057">
            <w:r>
              <w:rPr>
                <w:i/>
              </w:rPr>
              <w:t>THE</w:t>
            </w:r>
            <w:r>
              <w:rPr>
                <w:i/>
                <w:spacing w:val="-5"/>
              </w:rPr>
              <w:t> </w:t>
            </w:r>
            <w:r>
              <w:rPr>
                <w:i/>
              </w:rPr>
              <w:t>UNCHANGED</w:t>
            </w:r>
            <w:r>
              <w:rPr>
                <w:i/>
                <w:spacing w:val="-4"/>
              </w:rPr>
              <w:t> </w:t>
            </w:r>
            <w:r>
              <w:rPr>
                <w:i/>
              </w:rPr>
              <w:t>VPOC</w:t>
            </w:r>
            <w:r>
              <w:rPr>
                <w:i/>
                <w:spacing w:val="-4"/>
              </w:rPr>
              <w:t> </w:t>
            </w:r>
            <w:r>
              <w:rPr>
                <w:i/>
                <w:spacing w:val="-2"/>
              </w:rPr>
              <w:t>RELATIONSHIP</w:t>
            </w:r>
            <w:r>
              <w:rPr>
                <w:i/>
              </w:rPr>
              <w:tab/>
            </w:r>
            <w:r>
              <w:rPr>
                <w:i/>
                <w:spacing w:val="-5"/>
              </w:rPr>
              <w:t>103</w:t>
            </w:r>
          </w:hyperlink>
        </w:p>
        <w:p>
          <w:pPr>
            <w:pStyle w:val="TOC7"/>
            <w:tabs>
              <w:tab w:pos="7327" w:val="right" w:leader="dot"/>
            </w:tabs>
            <w:rPr>
              <w:i/>
            </w:rPr>
          </w:pPr>
          <w:hyperlink w:history="true" w:anchor="_TOC_250056">
            <w:r>
              <w:rPr>
                <w:i/>
              </w:rPr>
              <w:t>THE</w:t>
            </w:r>
            <w:r>
              <w:rPr>
                <w:i/>
                <w:spacing w:val="-5"/>
              </w:rPr>
              <w:t> </w:t>
            </w:r>
            <w:r>
              <w:rPr>
                <w:i/>
              </w:rPr>
              <w:t>VIRGIN</w:t>
            </w:r>
            <w:r>
              <w:rPr>
                <w:i/>
                <w:spacing w:val="-4"/>
              </w:rPr>
              <w:t> </w:t>
            </w:r>
            <w:r>
              <w:rPr>
                <w:i/>
              </w:rPr>
              <w:t>VOLUME</w:t>
            </w:r>
            <w:r>
              <w:rPr>
                <w:i/>
                <w:spacing w:val="-4"/>
              </w:rPr>
              <w:t> </w:t>
            </w:r>
            <w:r>
              <w:rPr>
                <w:i/>
              </w:rPr>
              <w:t>POINT</w:t>
            </w:r>
            <w:r>
              <w:rPr>
                <w:i/>
                <w:spacing w:val="-3"/>
              </w:rPr>
              <w:t> </w:t>
            </w:r>
            <w:r>
              <w:rPr>
                <w:i/>
              </w:rPr>
              <w:t>OF</w:t>
            </w:r>
            <w:r>
              <w:rPr>
                <w:i/>
                <w:spacing w:val="-4"/>
              </w:rPr>
              <w:t> </w:t>
            </w:r>
            <w:r>
              <w:rPr>
                <w:i/>
                <w:spacing w:val="-2"/>
              </w:rPr>
              <w:t>CONTROL</w:t>
            </w:r>
            <w:r>
              <w:rPr>
                <w:i/>
              </w:rPr>
              <w:tab/>
            </w:r>
            <w:r>
              <w:rPr>
                <w:i/>
                <w:spacing w:val="-5"/>
              </w:rPr>
              <w:t>104</w:t>
            </w:r>
          </w:hyperlink>
        </w:p>
        <w:p>
          <w:pPr>
            <w:pStyle w:val="TOC7"/>
            <w:tabs>
              <w:tab w:pos="7325" w:val="right" w:leader="dot"/>
            </w:tabs>
            <w:rPr>
              <w:i/>
            </w:rPr>
          </w:pPr>
          <w:hyperlink w:history="true" w:anchor="_TOC_250055">
            <w:r>
              <w:rPr>
                <w:i/>
              </w:rPr>
              <w:t>USING</w:t>
            </w:r>
            <w:r>
              <w:rPr>
                <w:i/>
                <w:spacing w:val="-3"/>
              </w:rPr>
              <w:t> </w:t>
            </w:r>
            <w:r>
              <w:rPr>
                <w:i/>
              </w:rPr>
              <w:t>VOLUME</w:t>
            </w:r>
            <w:r>
              <w:rPr>
                <w:i/>
                <w:spacing w:val="-2"/>
              </w:rPr>
              <w:t> </w:t>
            </w:r>
            <w:r>
              <w:rPr>
                <w:i/>
              </w:rPr>
              <w:t>AT</w:t>
            </w:r>
            <w:r>
              <w:rPr>
                <w:i/>
                <w:spacing w:val="-2"/>
              </w:rPr>
              <w:t> </w:t>
            </w:r>
            <w:r>
              <w:rPr>
                <w:i/>
              </w:rPr>
              <w:t>PRICE</w:t>
            </w:r>
            <w:r>
              <w:rPr>
                <w:i/>
                <w:spacing w:val="-3"/>
              </w:rPr>
              <w:t> </w:t>
            </w:r>
            <w:r>
              <w:rPr>
                <w:i/>
              </w:rPr>
              <w:t>IN</w:t>
            </w:r>
            <w:r>
              <w:rPr>
                <w:i/>
                <w:spacing w:val="-2"/>
              </w:rPr>
              <w:t> </w:t>
            </w:r>
            <w:r>
              <w:rPr>
                <w:i/>
              </w:rPr>
              <w:t>A</w:t>
            </w:r>
            <w:r>
              <w:rPr>
                <w:i/>
                <w:spacing w:val="-2"/>
              </w:rPr>
              <w:t> TREND</w:t>
            </w:r>
            <w:r>
              <w:rPr>
                <w:i/>
              </w:rPr>
              <w:tab/>
            </w:r>
            <w:r>
              <w:rPr>
                <w:i/>
                <w:spacing w:val="-5"/>
              </w:rPr>
              <w:t>107</w:t>
            </w:r>
          </w:hyperlink>
        </w:p>
        <w:p>
          <w:pPr>
            <w:pStyle w:val="TOC7"/>
            <w:tabs>
              <w:tab w:pos="7325" w:val="right" w:leader="dot"/>
            </w:tabs>
            <w:spacing w:line="240" w:lineRule="auto" w:before="1"/>
            <w:rPr>
              <w:i/>
            </w:rPr>
          </w:pPr>
          <w:hyperlink w:history="true" w:anchor="_TOC_250054">
            <w:r>
              <w:rPr>
                <w:i/>
              </w:rPr>
              <w:t>THE</w:t>
            </w:r>
            <w:r>
              <w:rPr>
                <w:i/>
                <w:spacing w:val="-4"/>
              </w:rPr>
              <w:t> </w:t>
            </w:r>
            <w:r>
              <w:rPr>
                <w:i/>
              </w:rPr>
              <w:t>MONEY</w:t>
            </w:r>
            <w:r>
              <w:rPr>
                <w:i/>
                <w:spacing w:val="-3"/>
              </w:rPr>
              <w:t> </w:t>
            </w:r>
            <w:r>
              <w:rPr>
                <w:i/>
              </w:rPr>
              <w:t>ZONE</w:t>
            </w:r>
            <w:r>
              <w:rPr>
                <w:i/>
                <w:spacing w:val="-3"/>
              </w:rPr>
              <w:t> </w:t>
            </w:r>
            <w:r>
              <w:rPr>
                <w:i/>
                <w:spacing w:val="-2"/>
              </w:rPr>
              <w:t>REVOLUTION</w:t>
            </w:r>
            <w:r>
              <w:rPr>
                <w:i/>
              </w:rPr>
              <w:tab/>
            </w:r>
            <w:r>
              <w:rPr>
                <w:i/>
                <w:spacing w:val="-5"/>
              </w:rPr>
              <w:t>110</w:t>
            </w:r>
          </w:hyperlink>
        </w:p>
        <w:p>
          <w:pPr>
            <w:pStyle w:val="TOC4"/>
            <w:tabs>
              <w:tab w:pos="7321" w:val="right" w:leader="dot"/>
            </w:tabs>
            <w:spacing w:before="122"/>
          </w:pPr>
          <w:hyperlink w:history="true" w:anchor="_TOC_250053">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10"/>
              </w:rPr>
              <w:t>5</w:t>
            </w:r>
            <w:r>
              <w:rPr/>
              <w:tab/>
            </w:r>
            <w:r>
              <w:rPr>
                <w:spacing w:val="-5"/>
              </w:rPr>
              <w:t>111</w:t>
            </w:r>
          </w:hyperlink>
        </w:p>
        <w:p>
          <w:pPr>
            <w:pStyle w:val="TOC6"/>
            <w:tabs>
              <w:tab w:pos="7324" w:val="right" w:leader="dot"/>
            </w:tabs>
          </w:pPr>
          <w:hyperlink w:history="true" w:anchor="_TOC_250052">
            <w:r>
              <w:rPr>
                <w:spacing w:val="-2"/>
              </w:rPr>
              <w:t>INTRODUCING</w:t>
            </w:r>
            <w:r>
              <w:rPr>
                <w:spacing w:val="-3"/>
              </w:rPr>
              <w:t> </w:t>
            </w:r>
            <w:r>
              <w:rPr>
                <w:spacing w:val="-2"/>
              </w:rPr>
              <w:t>FLOOR</w:t>
            </w:r>
            <w:r>
              <w:rPr>
                <w:spacing w:val="-3"/>
              </w:rPr>
              <w:t> </w:t>
            </w:r>
            <w:r>
              <w:rPr>
                <w:spacing w:val="-2"/>
              </w:rPr>
              <w:t>PIVOTS</w:t>
            </w:r>
            <w:r>
              <w:rPr/>
              <w:tab/>
            </w:r>
            <w:r>
              <w:rPr>
                <w:spacing w:val="-5"/>
              </w:rPr>
              <w:t>111</w:t>
            </w:r>
          </w:hyperlink>
        </w:p>
        <w:p>
          <w:pPr>
            <w:pStyle w:val="TOC7"/>
            <w:tabs>
              <w:tab w:pos="7327" w:val="right" w:leader="dot"/>
            </w:tabs>
            <w:spacing w:line="240" w:lineRule="auto" w:before="1"/>
            <w:rPr>
              <w:i/>
            </w:rPr>
          </w:pPr>
          <w:hyperlink w:history="true" w:anchor="_TOC_250051">
            <w:r>
              <w:rPr>
                <w:i/>
              </w:rPr>
              <w:t>THE</w:t>
            </w:r>
            <w:r>
              <w:rPr>
                <w:i/>
                <w:spacing w:val="-5"/>
              </w:rPr>
              <w:t> </w:t>
            </w:r>
            <w:r>
              <w:rPr>
                <w:i/>
              </w:rPr>
              <w:t>STANDARD</w:t>
            </w:r>
            <w:r>
              <w:rPr>
                <w:i/>
                <w:spacing w:val="-4"/>
              </w:rPr>
              <w:t> </w:t>
            </w:r>
            <w:r>
              <w:rPr>
                <w:i/>
              </w:rPr>
              <w:t>FLOOR</w:t>
            </w:r>
            <w:r>
              <w:rPr>
                <w:i/>
                <w:spacing w:val="-5"/>
              </w:rPr>
              <w:t> </w:t>
            </w:r>
            <w:r>
              <w:rPr>
                <w:i/>
              </w:rPr>
              <w:t>PIVOTS</w:t>
            </w:r>
            <w:r>
              <w:rPr>
                <w:i/>
                <w:spacing w:val="-3"/>
              </w:rPr>
              <w:t> </w:t>
            </w:r>
            <w:r>
              <w:rPr>
                <w:i/>
                <w:spacing w:val="-2"/>
              </w:rPr>
              <w:t>FORMULA</w:t>
            </w:r>
            <w:r>
              <w:rPr>
                <w:i/>
              </w:rPr>
              <w:tab/>
            </w:r>
            <w:r>
              <w:rPr>
                <w:i/>
                <w:spacing w:val="-5"/>
              </w:rPr>
              <w:t>112</w:t>
            </w:r>
          </w:hyperlink>
        </w:p>
        <w:p>
          <w:pPr>
            <w:pStyle w:val="TOC7"/>
            <w:tabs>
              <w:tab w:pos="7327" w:val="right" w:leader="dot"/>
            </w:tabs>
            <w:rPr>
              <w:i/>
            </w:rPr>
          </w:pPr>
          <w:hyperlink w:history="true" w:anchor="_TOC_250050">
            <w:r>
              <w:rPr>
                <w:i/>
              </w:rPr>
              <w:t>THE</w:t>
            </w:r>
            <w:r>
              <w:rPr>
                <w:i/>
                <w:spacing w:val="-5"/>
              </w:rPr>
              <w:t> </w:t>
            </w:r>
            <w:r>
              <w:rPr>
                <w:i/>
              </w:rPr>
              <w:t>EXPANDED</w:t>
            </w:r>
            <w:r>
              <w:rPr>
                <w:i/>
                <w:spacing w:val="-4"/>
              </w:rPr>
              <w:t> </w:t>
            </w:r>
            <w:r>
              <w:rPr>
                <w:i/>
              </w:rPr>
              <w:t>FLOOR</w:t>
            </w:r>
            <w:r>
              <w:rPr>
                <w:i/>
                <w:spacing w:val="-5"/>
              </w:rPr>
              <w:t> </w:t>
            </w:r>
            <w:r>
              <w:rPr>
                <w:i/>
              </w:rPr>
              <w:t>PIVOTS</w:t>
            </w:r>
            <w:r>
              <w:rPr>
                <w:i/>
                <w:spacing w:val="-3"/>
              </w:rPr>
              <w:t> </w:t>
            </w:r>
            <w:r>
              <w:rPr>
                <w:i/>
                <w:spacing w:val="-2"/>
              </w:rPr>
              <w:t>FORMULA</w:t>
            </w:r>
            <w:r>
              <w:rPr>
                <w:i/>
              </w:rPr>
              <w:tab/>
            </w:r>
            <w:r>
              <w:rPr>
                <w:i/>
                <w:spacing w:val="-5"/>
              </w:rPr>
              <w:t>114</w:t>
            </w:r>
          </w:hyperlink>
        </w:p>
        <w:p>
          <w:pPr>
            <w:pStyle w:val="TOC7"/>
            <w:tabs>
              <w:tab w:pos="7324" w:val="right" w:leader="dot"/>
            </w:tabs>
            <w:rPr>
              <w:i/>
            </w:rPr>
          </w:pPr>
          <w:hyperlink w:history="true" w:anchor="_TOC_250049">
            <w:r>
              <w:rPr>
                <w:i/>
              </w:rPr>
              <w:t>APPLYING</w:t>
            </w:r>
            <w:r>
              <w:rPr>
                <w:i/>
                <w:spacing w:val="-4"/>
              </w:rPr>
              <w:t> </w:t>
            </w:r>
            <w:r>
              <w:rPr>
                <w:i/>
              </w:rPr>
              <w:t>THE</w:t>
            </w:r>
            <w:r>
              <w:rPr>
                <w:i/>
                <w:spacing w:val="-2"/>
              </w:rPr>
              <w:t> FORMULA</w:t>
            </w:r>
            <w:r>
              <w:rPr>
                <w:i/>
              </w:rPr>
              <w:tab/>
            </w:r>
            <w:r>
              <w:rPr>
                <w:i/>
                <w:spacing w:val="-5"/>
              </w:rPr>
              <w:t>115</w:t>
            </w:r>
          </w:hyperlink>
        </w:p>
        <w:p>
          <w:pPr>
            <w:pStyle w:val="TOC7"/>
            <w:tabs>
              <w:tab w:pos="7323" w:val="right" w:leader="dot"/>
            </w:tabs>
            <w:spacing w:line="240" w:lineRule="auto" w:before="1"/>
            <w:rPr>
              <w:i/>
            </w:rPr>
          </w:pPr>
          <w:hyperlink w:history="true" w:anchor="_TOC_250048">
            <w:r>
              <w:rPr>
                <w:i/>
              </w:rPr>
              <w:t>FOLLOW</w:t>
            </w:r>
            <w:r>
              <w:rPr>
                <w:i/>
                <w:spacing w:val="-3"/>
              </w:rPr>
              <w:t> </w:t>
            </w:r>
            <w:r>
              <w:rPr>
                <w:i/>
              </w:rPr>
              <w:t>THE</w:t>
            </w:r>
            <w:r>
              <w:rPr>
                <w:i/>
                <w:spacing w:val="-3"/>
              </w:rPr>
              <w:t> </w:t>
            </w:r>
            <w:r>
              <w:rPr>
                <w:i/>
                <w:spacing w:val="-2"/>
              </w:rPr>
              <w:t>LEADER</w:t>
            </w:r>
            <w:r>
              <w:rPr>
                <w:i/>
              </w:rPr>
              <w:tab/>
            </w:r>
            <w:r>
              <w:rPr>
                <w:i/>
                <w:spacing w:val="-5"/>
              </w:rPr>
              <w:t>118</w:t>
            </w:r>
          </w:hyperlink>
        </w:p>
        <w:p>
          <w:pPr>
            <w:pStyle w:val="TOC7"/>
            <w:tabs>
              <w:tab w:pos="7323" w:val="right" w:leader="dot"/>
            </w:tabs>
            <w:rPr>
              <w:i/>
            </w:rPr>
          </w:pPr>
          <w:hyperlink w:history="true" w:anchor="_TOC_250047">
            <w:r>
              <w:rPr>
                <w:i/>
              </w:rPr>
              <w:t>THE</w:t>
            </w:r>
            <w:r>
              <w:rPr>
                <w:i/>
                <w:spacing w:val="-4"/>
              </w:rPr>
              <w:t> </w:t>
            </w:r>
            <w:r>
              <w:rPr>
                <w:i/>
              </w:rPr>
              <w:t>FOURTH</w:t>
            </w:r>
            <w:r>
              <w:rPr>
                <w:i/>
                <w:spacing w:val="-4"/>
              </w:rPr>
              <w:t> LAYER</w:t>
            </w:r>
            <w:r>
              <w:rPr>
                <w:i/>
              </w:rPr>
              <w:tab/>
            </w:r>
            <w:r>
              <w:rPr>
                <w:i/>
                <w:spacing w:val="-5"/>
              </w:rPr>
              <w:t>119</w:t>
            </w:r>
          </w:hyperlink>
        </w:p>
        <w:p>
          <w:pPr>
            <w:pStyle w:val="TOC7"/>
            <w:tabs>
              <w:tab w:pos="7322" w:val="right" w:leader="dot"/>
            </w:tabs>
            <w:rPr>
              <w:i/>
            </w:rPr>
          </w:pPr>
          <w:hyperlink w:history="true" w:anchor="_TOC_250046">
            <w:r>
              <w:rPr>
                <w:i/>
              </w:rPr>
              <w:t>THE</w:t>
            </w:r>
            <w:r>
              <w:rPr>
                <w:i/>
                <w:spacing w:val="-4"/>
              </w:rPr>
              <w:t> </w:t>
            </w:r>
            <w:r>
              <w:rPr>
                <w:i/>
              </w:rPr>
              <w:t>DATA</w:t>
            </w:r>
            <w:r>
              <w:rPr>
                <w:i/>
                <w:spacing w:val="-3"/>
              </w:rPr>
              <w:t> </w:t>
            </w:r>
            <w:r>
              <w:rPr>
                <w:i/>
                <w:spacing w:val="-2"/>
              </w:rPr>
              <w:t>DEBATE</w:t>
            </w:r>
            <w:r>
              <w:rPr>
                <w:i/>
              </w:rPr>
              <w:tab/>
            </w:r>
            <w:r>
              <w:rPr>
                <w:i/>
                <w:spacing w:val="-5"/>
              </w:rPr>
              <w:t>122</w:t>
            </w:r>
          </w:hyperlink>
        </w:p>
        <w:p>
          <w:pPr>
            <w:pStyle w:val="TOC7"/>
            <w:tabs>
              <w:tab w:pos="7324" w:val="right" w:leader="dot"/>
            </w:tabs>
            <w:spacing w:line="240" w:lineRule="auto"/>
            <w:rPr>
              <w:i/>
            </w:rPr>
          </w:pPr>
          <w:hyperlink w:history="true" w:anchor="_TOC_250045">
            <w:r>
              <w:rPr>
                <w:i/>
              </w:rPr>
              <w:t>PIVOT</w:t>
            </w:r>
            <w:r>
              <w:rPr>
                <w:i/>
                <w:spacing w:val="-3"/>
              </w:rPr>
              <w:t> </w:t>
            </w:r>
            <w:r>
              <w:rPr>
                <w:i/>
              </w:rPr>
              <w:t>TREND</w:t>
            </w:r>
            <w:r>
              <w:rPr>
                <w:i/>
                <w:spacing w:val="-3"/>
              </w:rPr>
              <w:t> </w:t>
            </w:r>
            <w:r>
              <w:rPr>
                <w:i/>
                <w:spacing w:val="-2"/>
              </w:rPr>
              <w:t>ANALYSIS</w:t>
            </w:r>
            <w:r>
              <w:rPr>
                <w:i/>
              </w:rPr>
              <w:tab/>
            </w:r>
            <w:r>
              <w:rPr>
                <w:i/>
                <w:spacing w:val="-5"/>
              </w:rPr>
              <w:t>124</w:t>
            </w:r>
          </w:hyperlink>
        </w:p>
        <w:p>
          <w:pPr>
            <w:pStyle w:val="TOC7"/>
            <w:tabs>
              <w:tab w:pos="7323" w:val="right" w:leader="dot"/>
            </w:tabs>
            <w:spacing w:before="1"/>
            <w:rPr>
              <w:i/>
            </w:rPr>
          </w:pPr>
          <w:hyperlink w:history="true" w:anchor="_TOC_250044">
            <w:r>
              <w:rPr>
                <w:i/>
              </w:rPr>
              <w:t>THE</w:t>
            </w:r>
            <w:r>
              <w:rPr>
                <w:i/>
                <w:spacing w:val="-5"/>
              </w:rPr>
              <w:t> </w:t>
            </w:r>
            <w:r>
              <w:rPr>
                <w:i/>
              </w:rPr>
              <w:t>BREAKAWAY</w:t>
            </w:r>
            <w:r>
              <w:rPr>
                <w:i/>
                <w:spacing w:val="-2"/>
              </w:rPr>
              <w:t> </w:t>
            </w:r>
            <w:r>
              <w:rPr>
                <w:i/>
                <w:spacing w:val="-4"/>
              </w:rPr>
              <w:t>PLAY</w:t>
            </w:r>
            <w:r>
              <w:rPr>
                <w:i/>
              </w:rPr>
              <w:tab/>
            </w:r>
            <w:r>
              <w:rPr>
                <w:i/>
                <w:spacing w:val="-5"/>
              </w:rPr>
              <w:t>131</w:t>
            </w:r>
          </w:hyperlink>
        </w:p>
        <w:p>
          <w:pPr>
            <w:pStyle w:val="TOC7"/>
            <w:tabs>
              <w:tab w:pos="7326" w:val="right" w:leader="dot"/>
            </w:tabs>
            <w:rPr>
              <w:i/>
            </w:rPr>
          </w:pPr>
          <w:hyperlink w:history="true" w:anchor="_TOC_250043">
            <w:r>
              <w:rPr>
                <w:i/>
              </w:rPr>
              <w:t>BUILDING</w:t>
            </w:r>
            <w:r>
              <w:rPr>
                <w:i/>
                <w:spacing w:val="-6"/>
              </w:rPr>
              <w:t> </w:t>
            </w:r>
            <w:r>
              <w:rPr>
                <w:i/>
              </w:rPr>
              <w:t>YOUR</w:t>
            </w:r>
            <w:r>
              <w:rPr>
                <w:i/>
                <w:spacing w:val="-6"/>
              </w:rPr>
              <w:t> </w:t>
            </w:r>
            <w:r>
              <w:rPr>
                <w:i/>
              </w:rPr>
              <w:t>KNOWLEDGE</w:t>
            </w:r>
            <w:r>
              <w:rPr>
                <w:i/>
                <w:spacing w:val="-5"/>
              </w:rPr>
              <w:t> </w:t>
            </w:r>
            <w:r>
              <w:rPr>
                <w:i/>
                <w:spacing w:val="-4"/>
              </w:rPr>
              <w:t>BASE</w:t>
            </w:r>
            <w:r>
              <w:rPr>
                <w:i/>
              </w:rPr>
              <w:tab/>
            </w:r>
            <w:r>
              <w:rPr>
                <w:i/>
                <w:spacing w:val="-5"/>
              </w:rPr>
              <w:t>134</w:t>
            </w:r>
          </w:hyperlink>
        </w:p>
        <w:p>
          <w:pPr>
            <w:pStyle w:val="TOC4"/>
            <w:tabs>
              <w:tab w:pos="7321" w:val="right" w:leader="dot"/>
            </w:tabs>
            <w:spacing w:line="229" w:lineRule="exact" w:before="123"/>
          </w:pPr>
          <w:hyperlink w:history="true" w:anchor="_TOC_250042">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10"/>
              </w:rPr>
              <w:t>6</w:t>
            </w:r>
            <w:r>
              <w:rPr/>
              <w:tab/>
            </w:r>
            <w:r>
              <w:rPr>
                <w:spacing w:val="-5"/>
              </w:rPr>
              <w:t>135</w:t>
            </w:r>
          </w:hyperlink>
        </w:p>
        <w:p>
          <w:pPr>
            <w:pStyle w:val="TOC6"/>
            <w:tabs>
              <w:tab w:pos="7324" w:val="right" w:leader="dot"/>
            </w:tabs>
            <w:spacing w:line="229" w:lineRule="exact"/>
          </w:pPr>
          <w:hyperlink w:history="true" w:anchor="_TOC_250041">
            <w:r>
              <w:rPr>
                <w:spacing w:val="-2"/>
              </w:rPr>
              <w:t>THE</w:t>
            </w:r>
            <w:r>
              <w:rPr>
                <w:spacing w:val="-4"/>
              </w:rPr>
              <w:t> </w:t>
            </w:r>
            <w:r>
              <w:rPr>
                <w:spacing w:val="-2"/>
              </w:rPr>
              <w:t>CENTRAL</w:t>
            </w:r>
            <w:r>
              <w:rPr>
                <w:spacing w:val="-3"/>
              </w:rPr>
              <w:t> </w:t>
            </w:r>
            <w:r>
              <w:rPr>
                <w:spacing w:val="-2"/>
              </w:rPr>
              <w:t>PIVOT</w:t>
            </w:r>
            <w:r>
              <w:rPr>
                <w:spacing w:val="-3"/>
              </w:rPr>
              <w:t> </w:t>
            </w:r>
            <w:r>
              <w:rPr>
                <w:spacing w:val="-4"/>
              </w:rPr>
              <w:t>RANGE</w:t>
            </w:r>
            <w:r>
              <w:rPr/>
              <w:tab/>
            </w:r>
            <w:r>
              <w:rPr>
                <w:spacing w:val="-5"/>
              </w:rPr>
              <w:t>135</w:t>
            </w:r>
          </w:hyperlink>
        </w:p>
        <w:p>
          <w:pPr>
            <w:pStyle w:val="TOC7"/>
            <w:tabs>
              <w:tab w:pos="7325" w:val="right" w:leader="dot"/>
            </w:tabs>
            <w:rPr>
              <w:i/>
            </w:rPr>
          </w:pPr>
          <w:hyperlink w:history="true" w:anchor="_TOC_250040">
            <w:r>
              <w:rPr>
                <w:i/>
              </w:rPr>
              <w:t>THE</w:t>
            </w:r>
            <w:r>
              <w:rPr>
                <w:i/>
                <w:spacing w:val="-5"/>
              </w:rPr>
              <w:t> </w:t>
            </w:r>
            <w:r>
              <w:rPr>
                <w:i/>
              </w:rPr>
              <w:t>DEVELOPING</w:t>
            </w:r>
            <w:r>
              <w:rPr>
                <w:i/>
                <w:spacing w:val="-4"/>
              </w:rPr>
              <w:t> </w:t>
            </w:r>
            <w:r>
              <w:rPr>
                <w:i/>
              </w:rPr>
              <w:t>PIVOT</w:t>
            </w:r>
            <w:r>
              <w:rPr>
                <w:i/>
                <w:spacing w:val="-6"/>
              </w:rPr>
              <w:t> </w:t>
            </w:r>
            <w:r>
              <w:rPr>
                <w:i/>
                <w:spacing w:val="-2"/>
              </w:rPr>
              <w:t>RANGE</w:t>
            </w:r>
            <w:r>
              <w:rPr>
                <w:i/>
              </w:rPr>
              <w:tab/>
            </w:r>
            <w:r>
              <w:rPr>
                <w:i/>
                <w:spacing w:val="-5"/>
              </w:rPr>
              <w:t>137</w:t>
            </w:r>
          </w:hyperlink>
        </w:p>
        <w:p>
          <w:pPr>
            <w:pStyle w:val="TOC7"/>
            <w:tabs>
              <w:tab w:pos="7326" w:val="right" w:leader="dot"/>
            </w:tabs>
            <w:rPr>
              <w:i/>
            </w:rPr>
          </w:pPr>
          <w:hyperlink w:history="true" w:anchor="_TOC_250039">
            <w:r>
              <w:rPr>
                <w:i/>
              </w:rPr>
              <w:t>TWO-DAY</w:t>
            </w:r>
            <w:r>
              <w:rPr>
                <w:i/>
                <w:spacing w:val="-6"/>
              </w:rPr>
              <w:t> </w:t>
            </w:r>
            <w:r>
              <w:rPr>
                <w:i/>
              </w:rPr>
              <w:t>PIVOT</w:t>
            </w:r>
            <w:r>
              <w:rPr>
                <w:i/>
                <w:spacing w:val="-5"/>
              </w:rPr>
              <w:t> </w:t>
            </w:r>
            <w:r>
              <w:rPr>
                <w:i/>
              </w:rPr>
              <w:t>RANGE</w:t>
            </w:r>
            <w:r>
              <w:rPr>
                <w:i/>
                <w:spacing w:val="-5"/>
              </w:rPr>
              <w:t> </w:t>
            </w:r>
            <w:r>
              <w:rPr>
                <w:i/>
                <w:spacing w:val="-2"/>
              </w:rPr>
              <w:t>RELATIONSHIPS</w:t>
            </w:r>
            <w:r>
              <w:rPr>
                <w:i/>
              </w:rPr>
              <w:tab/>
            </w:r>
            <w:r>
              <w:rPr>
                <w:i/>
                <w:spacing w:val="-5"/>
              </w:rPr>
              <w:t>139</w:t>
            </w:r>
          </w:hyperlink>
        </w:p>
        <w:p>
          <w:pPr>
            <w:pStyle w:val="TOC7"/>
            <w:tabs>
              <w:tab w:pos="7325" w:val="right" w:leader="dot"/>
            </w:tabs>
            <w:rPr>
              <w:i/>
            </w:rPr>
          </w:pPr>
          <w:hyperlink w:history="true" w:anchor="_TOC_250038">
            <w:r>
              <w:rPr>
                <w:i/>
              </w:rPr>
              <w:t>PIVOT</w:t>
            </w:r>
            <w:r>
              <w:rPr>
                <w:i/>
                <w:spacing w:val="-4"/>
              </w:rPr>
              <w:t> </w:t>
            </w:r>
            <w:r>
              <w:rPr>
                <w:i/>
              </w:rPr>
              <w:t>WIDTH</w:t>
            </w:r>
            <w:r>
              <w:rPr>
                <w:i/>
                <w:spacing w:val="-4"/>
              </w:rPr>
              <w:t> </w:t>
            </w:r>
            <w:r>
              <w:rPr>
                <w:i/>
                <w:spacing w:val="-2"/>
              </w:rPr>
              <w:t>FORECASTING</w:t>
            </w:r>
            <w:r>
              <w:rPr>
                <w:i/>
              </w:rPr>
              <w:tab/>
            </w:r>
            <w:r>
              <w:rPr>
                <w:i/>
                <w:spacing w:val="-5"/>
              </w:rPr>
              <w:t>153</w:t>
            </w:r>
          </w:hyperlink>
        </w:p>
        <w:p>
          <w:pPr>
            <w:pStyle w:val="TOC7"/>
            <w:tabs>
              <w:tab w:pos="7325" w:val="right" w:leader="dot"/>
            </w:tabs>
            <w:spacing w:line="240" w:lineRule="auto" w:before="1"/>
            <w:rPr>
              <w:i/>
            </w:rPr>
          </w:pPr>
          <w:hyperlink w:history="true" w:anchor="_TOC_250037">
            <w:r>
              <w:rPr>
                <w:i/>
              </w:rPr>
              <w:t>THE</w:t>
            </w:r>
            <w:r>
              <w:rPr>
                <w:i/>
                <w:spacing w:val="-3"/>
              </w:rPr>
              <w:t> </w:t>
            </w:r>
            <w:r>
              <w:rPr>
                <w:i/>
              </w:rPr>
              <w:t>PIVOT</w:t>
            </w:r>
            <w:r>
              <w:rPr>
                <w:i/>
                <w:spacing w:val="-3"/>
              </w:rPr>
              <w:t> </w:t>
            </w:r>
            <w:r>
              <w:rPr>
                <w:i/>
              </w:rPr>
              <w:t>RANGE</w:t>
            </w:r>
            <w:r>
              <w:rPr>
                <w:i/>
                <w:spacing w:val="-3"/>
              </w:rPr>
              <w:t> </w:t>
            </w:r>
            <w:r>
              <w:rPr>
                <w:i/>
                <w:spacing w:val="-2"/>
              </w:rPr>
              <w:t>HISTOGRAM</w:t>
            </w:r>
            <w:r>
              <w:rPr>
                <w:i/>
              </w:rPr>
              <w:tab/>
            </w:r>
            <w:r>
              <w:rPr>
                <w:i/>
                <w:spacing w:val="-5"/>
              </w:rPr>
              <w:t>164</w:t>
            </w:r>
          </w:hyperlink>
        </w:p>
        <w:p>
          <w:pPr>
            <w:pStyle w:val="TOC7"/>
            <w:tabs>
              <w:tab w:pos="7325" w:val="right" w:leader="dot"/>
            </w:tabs>
            <w:rPr>
              <w:i/>
            </w:rPr>
          </w:pPr>
          <w:hyperlink w:history="true" w:anchor="_TOC_250036">
            <w:r>
              <w:rPr>
                <w:i/>
              </w:rPr>
              <w:t>PIVOT</w:t>
            </w:r>
            <w:r>
              <w:rPr>
                <w:i/>
                <w:spacing w:val="-4"/>
              </w:rPr>
              <w:t> </w:t>
            </w:r>
            <w:r>
              <w:rPr>
                <w:i/>
              </w:rPr>
              <w:t>RANGE</w:t>
            </w:r>
            <w:r>
              <w:rPr>
                <w:i/>
                <w:spacing w:val="-4"/>
              </w:rPr>
              <w:t> </w:t>
            </w:r>
            <w:r>
              <w:rPr>
                <w:i/>
              </w:rPr>
              <w:t>TREND</w:t>
            </w:r>
            <w:r>
              <w:rPr>
                <w:i/>
                <w:spacing w:val="-3"/>
              </w:rPr>
              <w:t> </w:t>
            </w:r>
            <w:r>
              <w:rPr>
                <w:i/>
                <w:spacing w:val="-2"/>
              </w:rPr>
              <w:t>ANALYSIS</w:t>
            </w:r>
            <w:r>
              <w:rPr>
                <w:i/>
              </w:rPr>
              <w:tab/>
            </w:r>
            <w:r>
              <w:rPr>
                <w:i/>
                <w:spacing w:val="-5"/>
              </w:rPr>
              <w:t>166</w:t>
            </w:r>
          </w:hyperlink>
        </w:p>
        <w:p>
          <w:pPr>
            <w:pStyle w:val="TOC7"/>
            <w:tabs>
              <w:tab w:pos="7323" w:val="right" w:leader="dot"/>
            </w:tabs>
            <w:rPr>
              <w:i/>
            </w:rPr>
          </w:pPr>
          <w:hyperlink w:history="true" w:anchor="_TOC_250035">
            <w:r>
              <w:rPr>
                <w:i/>
              </w:rPr>
              <w:t>THE</w:t>
            </w:r>
            <w:r>
              <w:rPr>
                <w:i/>
                <w:spacing w:val="-5"/>
              </w:rPr>
              <w:t> </w:t>
            </w:r>
            <w:r>
              <w:rPr>
                <w:i/>
              </w:rPr>
              <w:t>MAGNET</w:t>
            </w:r>
            <w:r>
              <w:rPr>
                <w:i/>
                <w:spacing w:val="-3"/>
              </w:rPr>
              <w:t> </w:t>
            </w:r>
            <w:r>
              <w:rPr>
                <w:i/>
                <w:spacing w:val="-4"/>
              </w:rPr>
              <w:t>TRADE</w:t>
            </w:r>
            <w:r>
              <w:rPr>
                <w:i/>
              </w:rPr>
              <w:tab/>
            </w:r>
            <w:r>
              <w:rPr>
                <w:i/>
                <w:spacing w:val="-5"/>
              </w:rPr>
              <w:t>173</w:t>
            </w:r>
          </w:hyperlink>
        </w:p>
        <w:p>
          <w:pPr>
            <w:pStyle w:val="TOC7"/>
            <w:tabs>
              <w:tab w:pos="7327" w:val="right" w:leader="dot"/>
            </w:tabs>
            <w:spacing w:line="240" w:lineRule="auto"/>
            <w:rPr>
              <w:i/>
            </w:rPr>
          </w:pPr>
          <w:hyperlink w:history="true" w:anchor="_TOC_250034">
            <w:r>
              <w:rPr>
                <w:i/>
              </w:rPr>
              <w:t>THE</w:t>
            </w:r>
            <w:r>
              <w:rPr>
                <w:i/>
                <w:spacing w:val="-3"/>
              </w:rPr>
              <w:t> </w:t>
            </w:r>
            <w:r>
              <w:rPr>
                <w:i/>
              </w:rPr>
              <w:t>CENTRAL</w:t>
            </w:r>
            <w:r>
              <w:rPr>
                <w:i/>
                <w:spacing w:val="-3"/>
              </w:rPr>
              <w:t> </w:t>
            </w:r>
            <w:r>
              <w:rPr>
                <w:i/>
              </w:rPr>
              <w:t>PIVOT</w:t>
            </w:r>
            <w:r>
              <w:rPr>
                <w:i/>
                <w:spacing w:val="-4"/>
              </w:rPr>
              <w:t> </w:t>
            </w:r>
            <w:r>
              <w:rPr>
                <w:i/>
              </w:rPr>
              <w:t>RANGE</w:t>
            </w:r>
            <w:r>
              <w:rPr>
                <w:i/>
                <w:spacing w:val="-3"/>
              </w:rPr>
              <w:t> </w:t>
            </w:r>
            <w:r>
              <w:rPr>
                <w:i/>
                <w:spacing w:val="-2"/>
              </w:rPr>
              <w:t>REVOLUTION</w:t>
            </w:r>
            <w:r>
              <w:rPr>
                <w:i/>
              </w:rPr>
              <w:tab/>
            </w:r>
            <w:r>
              <w:rPr>
                <w:i/>
                <w:spacing w:val="-5"/>
              </w:rPr>
              <w:t>179</w:t>
            </w:r>
          </w:hyperlink>
        </w:p>
        <w:p>
          <w:pPr>
            <w:pStyle w:val="TOC4"/>
            <w:tabs>
              <w:tab w:pos="7321" w:val="right" w:leader="dot"/>
            </w:tabs>
            <w:spacing w:before="123"/>
            <w:ind w:left="500"/>
          </w:pPr>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10"/>
            </w:rPr>
            <w:t>7</w:t>
          </w:r>
          <w:r>
            <w:rPr/>
            <w:tab/>
          </w:r>
          <w:r>
            <w:rPr>
              <w:spacing w:val="-5"/>
            </w:rPr>
            <w:t>181</w:t>
          </w:r>
        </w:p>
        <w:p>
          <w:pPr>
            <w:pStyle w:val="TOC6"/>
            <w:tabs>
              <w:tab w:pos="7327" w:val="right" w:leader="dot"/>
            </w:tabs>
          </w:pPr>
          <w:r>
            <w:rPr>
              <w:spacing w:val="-2"/>
            </w:rPr>
            <w:t>INTRODUCING</w:t>
          </w:r>
          <w:r>
            <w:rPr>
              <w:spacing w:val="-1"/>
            </w:rPr>
            <w:t> </w:t>
          </w:r>
          <w:r>
            <w:rPr>
              <w:spacing w:val="-2"/>
            </w:rPr>
            <w:t>THE</w:t>
          </w:r>
          <w:r>
            <w:rPr>
              <w:spacing w:val="-1"/>
            </w:rPr>
            <w:t> </w:t>
          </w:r>
          <w:r>
            <w:rPr>
              <w:spacing w:val="-2"/>
            </w:rPr>
            <w:t>CAMARILLA</w:t>
          </w:r>
          <w:r>
            <w:rPr>
              <w:spacing w:val="-1"/>
            </w:rPr>
            <w:t> </w:t>
          </w:r>
          <w:r>
            <w:rPr>
              <w:spacing w:val="-2"/>
            </w:rPr>
            <w:t>EQUATION</w:t>
          </w:r>
          <w:r>
            <w:rPr/>
            <w:tab/>
          </w:r>
          <w:r>
            <w:rPr>
              <w:spacing w:val="-5"/>
            </w:rPr>
            <w:t>181</w:t>
          </w:r>
        </w:p>
        <w:p>
          <w:pPr>
            <w:pStyle w:val="TOC7"/>
            <w:tabs>
              <w:tab w:pos="7327" w:val="right" w:leader="dot"/>
            </w:tabs>
            <w:spacing w:line="240" w:lineRule="auto" w:before="1"/>
            <w:rPr>
              <w:i/>
            </w:rPr>
          </w:pPr>
          <w:hyperlink w:history="true" w:anchor="_TOC_250033">
            <w:r>
              <w:rPr>
                <w:i/>
              </w:rPr>
              <w:t>THE</w:t>
            </w:r>
            <w:r>
              <w:rPr>
                <w:i/>
                <w:spacing w:val="-6"/>
              </w:rPr>
              <w:t> </w:t>
            </w:r>
            <w:r>
              <w:rPr>
                <w:i/>
              </w:rPr>
              <w:t>STANDARD</w:t>
            </w:r>
            <w:r>
              <w:rPr>
                <w:i/>
                <w:spacing w:val="-4"/>
              </w:rPr>
              <w:t> </w:t>
            </w:r>
            <w:r>
              <w:rPr>
                <w:i/>
              </w:rPr>
              <w:t>CAMARILLA</w:t>
            </w:r>
            <w:r>
              <w:rPr>
                <w:i/>
                <w:spacing w:val="-4"/>
              </w:rPr>
              <w:t> </w:t>
            </w:r>
            <w:r>
              <w:rPr>
                <w:i/>
                <w:spacing w:val="-2"/>
              </w:rPr>
              <w:t>EQUATION</w:t>
            </w:r>
            <w:r>
              <w:rPr>
                <w:i/>
              </w:rPr>
              <w:tab/>
            </w:r>
            <w:r>
              <w:rPr>
                <w:i/>
                <w:spacing w:val="-5"/>
              </w:rPr>
              <w:t>182</w:t>
            </w:r>
          </w:hyperlink>
        </w:p>
        <w:p>
          <w:pPr>
            <w:pStyle w:val="TOC7"/>
            <w:tabs>
              <w:tab w:pos="7327" w:val="right" w:leader="dot"/>
            </w:tabs>
            <w:rPr>
              <w:i/>
            </w:rPr>
          </w:pPr>
          <w:hyperlink w:history="true" w:anchor="_TOC_250032">
            <w:r>
              <w:rPr>
                <w:i/>
              </w:rPr>
              <w:t>THE</w:t>
            </w:r>
            <w:r>
              <w:rPr>
                <w:i/>
                <w:spacing w:val="-6"/>
              </w:rPr>
              <w:t> </w:t>
            </w:r>
            <w:r>
              <w:rPr>
                <w:i/>
              </w:rPr>
              <w:t>EXPANDED</w:t>
            </w:r>
            <w:r>
              <w:rPr>
                <w:i/>
                <w:spacing w:val="-4"/>
              </w:rPr>
              <w:t> </w:t>
            </w:r>
            <w:r>
              <w:rPr>
                <w:i/>
              </w:rPr>
              <w:t>CAMARILLA</w:t>
            </w:r>
            <w:r>
              <w:rPr>
                <w:i/>
                <w:spacing w:val="-4"/>
              </w:rPr>
              <w:t> </w:t>
            </w:r>
            <w:r>
              <w:rPr>
                <w:i/>
                <w:spacing w:val="-2"/>
              </w:rPr>
              <w:t>EQUATION</w:t>
            </w:r>
            <w:r>
              <w:rPr>
                <w:i/>
              </w:rPr>
              <w:tab/>
            </w:r>
            <w:r>
              <w:rPr>
                <w:i/>
                <w:spacing w:val="-5"/>
              </w:rPr>
              <w:t>185</w:t>
            </w:r>
          </w:hyperlink>
        </w:p>
        <w:p>
          <w:pPr>
            <w:pStyle w:val="TOC7"/>
            <w:tabs>
              <w:tab w:pos="7326" w:val="right" w:leader="dot"/>
            </w:tabs>
            <w:rPr>
              <w:i/>
            </w:rPr>
          </w:pPr>
          <w:hyperlink w:history="true" w:anchor="_TOC_250031">
            <w:r>
              <w:rPr>
                <w:i/>
              </w:rPr>
              <w:t>THE</w:t>
            </w:r>
            <w:r>
              <w:rPr>
                <w:i/>
                <w:spacing w:val="-6"/>
              </w:rPr>
              <w:t> </w:t>
            </w:r>
            <w:r>
              <w:rPr>
                <w:i/>
              </w:rPr>
              <w:t>STANDARD</w:t>
            </w:r>
            <w:r>
              <w:rPr>
                <w:i/>
                <w:spacing w:val="-4"/>
              </w:rPr>
              <w:t> </w:t>
            </w:r>
            <w:r>
              <w:rPr>
                <w:i/>
              </w:rPr>
              <w:t>THIRD</w:t>
            </w:r>
            <w:r>
              <w:rPr>
                <w:i/>
                <w:spacing w:val="-5"/>
              </w:rPr>
              <w:t> </w:t>
            </w:r>
            <w:r>
              <w:rPr>
                <w:i/>
              </w:rPr>
              <w:t>LAYER</w:t>
            </w:r>
            <w:r>
              <w:rPr>
                <w:i/>
                <w:spacing w:val="-4"/>
              </w:rPr>
              <w:t> </w:t>
            </w:r>
            <w:r>
              <w:rPr>
                <w:i/>
                <w:spacing w:val="-2"/>
              </w:rPr>
              <w:t>REVERSAL</w:t>
            </w:r>
            <w:r>
              <w:rPr>
                <w:i/>
              </w:rPr>
              <w:tab/>
            </w:r>
            <w:r>
              <w:rPr>
                <w:i/>
                <w:spacing w:val="-5"/>
              </w:rPr>
              <w:t>187</w:t>
            </w:r>
          </w:hyperlink>
        </w:p>
        <w:p>
          <w:pPr>
            <w:pStyle w:val="TOC7"/>
            <w:tabs>
              <w:tab w:pos="7327" w:val="right" w:leader="dot"/>
            </w:tabs>
            <w:spacing w:line="240" w:lineRule="auto"/>
            <w:rPr>
              <w:i/>
            </w:rPr>
          </w:pPr>
          <w:hyperlink w:history="true" w:anchor="_TOC_250030">
            <w:r>
              <w:rPr>
                <w:i/>
              </w:rPr>
              <w:t>THE</w:t>
            </w:r>
            <w:r>
              <w:rPr>
                <w:i/>
                <w:spacing w:val="-5"/>
              </w:rPr>
              <w:t> </w:t>
            </w:r>
            <w:r>
              <w:rPr>
                <w:i/>
              </w:rPr>
              <w:t>STANDARD</w:t>
            </w:r>
            <w:r>
              <w:rPr>
                <w:i/>
                <w:spacing w:val="-5"/>
              </w:rPr>
              <w:t> </w:t>
            </w:r>
            <w:r>
              <w:rPr>
                <w:i/>
              </w:rPr>
              <w:t>FOURTH</w:t>
            </w:r>
            <w:r>
              <w:rPr>
                <w:i/>
                <w:spacing w:val="-5"/>
              </w:rPr>
              <w:t> </w:t>
            </w:r>
            <w:r>
              <w:rPr>
                <w:i/>
              </w:rPr>
              <w:t>LAYER</w:t>
            </w:r>
            <w:r>
              <w:rPr>
                <w:i/>
                <w:spacing w:val="-4"/>
              </w:rPr>
              <w:t> </w:t>
            </w:r>
            <w:r>
              <w:rPr>
                <w:i/>
                <w:spacing w:val="-2"/>
              </w:rPr>
              <w:t>BREAKOUT</w:t>
            </w:r>
            <w:r>
              <w:rPr>
                <w:i/>
              </w:rPr>
              <w:tab/>
            </w:r>
            <w:r>
              <w:rPr>
                <w:i/>
                <w:spacing w:val="-5"/>
              </w:rPr>
              <w:t>192</w:t>
            </w:r>
          </w:hyperlink>
        </w:p>
        <w:p>
          <w:pPr>
            <w:pStyle w:val="TOC7"/>
            <w:tabs>
              <w:tab w:pos="7324" w:val="right" w:leader="dot"/>
            </w:tabs>
            <w:spacing w:line="240" w:lineRule="auto" w:before="1"/>
            <w:rPr>
              <w:i/>
            </w:rPr>
          </w:pPr>
          <w:hyperlink w:history="true" w:anchor="_TOC_250029">
            <w:r>
              <w:rPr>
                <w:i/>
              </w:rPr>
              <w:t>ENGAGING</w:t>
            </w:r>
            <w:r>
              <w:rPr>
                <w:i/>
                <w:spacing w:val="-4"/>
              </w:rPr>
              <w:t> </w:t>
            </w:r>
            <w:r>
              <w:rPr>
                <w:i/>
                <w:spacing w:val="-2"/>
              </w:rPr>
              <w:t>CAMARILLA</w:t>
            </w:r>
            <w:r>
              <w:rPr>
                <w:i/>
              </w:rPr>
              <w:tab/>
            </w:r>
            <w:r>
              <w:rPr>
                <w:i/>
                <w:spacing w:val="-5"/>
              </w:rPr>
              <w:t>198</w:t>
            </w:r>
          </w:hyperlink>
        </w:p>
        <w:p>
          <w:pPr>
            <w:pStyle w:val="TOC4"/>
            <w:tabs>
              <w:tab w:pos="7321" w:val="right" w:leader="dot"/>
            </w:tabs>
            <w:spacing w:line="229" w:lineRule="exact" w:before="121"/>
          </w:pPr>
          <w:hyperlink w:history="true" w:anchor="_TOC_250028">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10"/>
              </w:rPr>
              <w:t>8</w:t>
            </w:r>
            <w:r>
              <w:rPr/>
              <w:tab/>
            </w:r>
            <w:r>
              <w:rPr>
                <w:spacing w:val="-5"/>
              </w:rPr>
              <w:t>201</w:t>
            </w:r>
          </w:hyperlink>
        </w:p>
        <w:p>
          <w:pPr>
            <w:pStyle w:val="TOC6"/>
            <w:tabs>
              <w:tab w:pos="7326" w:val="right" w:leader="dot"/>
            </w:tabs>
            <w:spacing w:line="229" w:lineRule="exact"/>
          </w:pPr>
          <w:hyperlink w:history="true" w:anchor="_TOC_250027">
            <w:r>
              <w:rPr>
                <w:spacing w:val="-2"/>
              </w:rPr>
              <w:t>ADVANCED</w:t>
            </w:r>
            <w:r>
              <w:rPr/>
              <w:t> </w:t>
            </w:r>
            <w:r>
              <w:rPr>
                <w:spacing w:val="-2"/>
              </w:rPr>
              <w:t>CAMARILLA</w:t>
            </w:r>
            <w:r>
              <w:rPr/>
              <w:t> </w:t>
            </w:r>
            <w:r>
              <w:rPr>
                <w:spacing w:val="-2"/>
              </w:rPr>
              <w:t>CONCEPTS</w:t>
            </w:r>
            <w:r>
              <w:rPr/>
              <w:tab/>
            </w:r>
            <w:r>
              <w:rPr>
                <w:spacing w:val="-5"/>
              </w:rPr>
              <w:t>201</w:t>
            </w:r>
          </w:hyperlink>
        </w:p>
        <w:p>
          <w:pPr>
            <w:pStyle w:val="TOC7"/>
            <w:tabs>
              <w:tab w:pos="7329" w:val="right" w:leader="dot"/>
            </w:tabs>
            <w:spacing w:before="1"/>
            <w:rPr>
              <w:i/>
            </w:rPr>
          </w:pPr>
          <w:hyperlink w:history="true" w:anchor="_TOC_250026">
            <w:r>
              <w:rPr>
                <w:i/>
              </w:rPr>
              <w:t>THE</w:t>
            </w:r>
            <w:r>
              <w:rPr>
                <w:i/>
                <w:spacing w:val="-7"/>
              </w:rPr>
              <w:t> </w:t>
            </w:r>
            <w:r>
              <w:rPr>
                <w:i/>
              </w:rPr>
              <w:t>DEVELOPING</w:t>
            </w:r>
            <w:r>
              <w:rPr>
                <w:i/>
                <w:spacing w:val="-5"/>
              </w:rPr>
              <w:t> </w:t>
            </w:r>
            <w:r>
              <w:rPr>
                <w:i/>
              </w:rPr>
              <w:t>CAMARILLA</w:t>
            </w:r>
            <w:r>
              <w:rPr>
                <w:i/>
                <w:spacing w:val="-5"/>
              </w:rPr>
              <w:t> </w:t>
            </w:r>
            <w:r>
              <w:rPr>
                <w:i/>
              </w:rPr>
              <w:t>THREE</w:t>
            </w:r>
            <w:r>
              <w:rPr>
                <w:i/>
                <w:spacing w:val="-4"/>
              </w:rPr>
              <w:t> </w:t>
            </w:r>
            <w:r>
              <w:rPr>
                <w:i/>
                <w:spacing w:val="-2"/>
              </w:rPr>
              <w:t>INDICATOR</w:t>
            </w:r>
            <w:r>
              <w:rPr>
                <w:i/>
              </w:rPr>
              <w:tab/>
            </w:r>
            <w:r>
              <w:rPr>
                <w:i/>
                <w:spacing w:val="-5"/>
              </w:rPr>
              <w:t>202</w:t>
            </w:r>
          </w:hyperlink>
        </w:p>
        <w:p>
          <w:pPr>
            <w:pStyle w:val="TOC7"/>
            <w:tabs>
              <w:tab w:pos="7324" w:val="right" w:leader="dot"/>
            </w:tabs>
            <w:rPr>
              <w:i/>
            </w:rPr>
          </w:pPr>
          <w:hyperlink w:history="true" w:anchor="_TOC_250025">
            <w:r>
              <w:rPr>
                <w:i/>
              </w:rPr>
              <w:t>PIVOT</w:t>
            </w:r>
            <w:r>
              <w:rPr>
                <w:i/>
                <w:spacing w:val="-4"/>
              </w:rPr>
              <w:t> </w:t>
            </w:r>
            <w:r>
              <w:rPr>
                <w:i/>
              </w:rPr>
              <w:t>WIDTH</w:t>
            </w:r>
            <w:r>
              <w:rPr>
                <w:i/>
                <w:spacing w:val="-4"/>
              </w:rPr>
              <w:t> </w:t>
            </w:r>
            <w:r>
              <w:rPr>
                <w:i/>
                <w:spacing w:val="-2"/>
              </w:rPr>
              <w:t>ANALYSIS</w:t>
            </w:r>
            <w:r>
              <w:rPr>
                <w:i/>
              </w:rPr>
              <w:tab/>
            </w:r>
            <w:r>
              <w:rPr>
                <w:i/>
                <w:spacing w:val="-5"/>
              </w:rPr>
              <w:t>203</w:t>
            </w:r>
          </w:hyperlink>
        </w:p>
        <w:p>
          <w:pPr>
            <w:pStyle w:val="TOC7"/>
            <w:tabs>
              <w:tab w:pos="7326" w:val="right" w:leader="dot"/>
            </w:tabs>
            <w:spacing w:line="240" w:lineRule="auto"/>
            <w:rPr>
              <w:i/>
            </w:rPr>
          </w:pPr>
          <w:hyperlink w:history="true" w:anchor="_TOC_250024">
            <w:r>
              <w:rPr>
                <w:i/>
              </w:rPr>
              <w:t>TWO-DAY</w:t>
            </w:r>
            <w:r>
              <w:rPr>
                <w:i/>
                <w:spacing w:val="-7"/>
              </w:rPr>
              <w:t> </w:t>
            </w:r>
            <w:r>
              <w:rPr>
                <w:i/>
              </w:rPr>
              <w:t>CAMARILLA</w:t>
            </w:r>
            <w:r>
              <w:rPr>
                <w:i/>
                <w:spacing w:val="-6"/>
              </w:rPr>
              <w:t> </w:t>
            </w:r>
            <w:r>
              <w:rPr>
                <w:i/>
                <w:spacing w:val="-2"/>
              </w:rPr>
              <w:t>RELATIONSHIPS</w:t>
            </w:r>
            <w:r>
              <w:rPr>
                <w:i/>
              </w:rPr>
              <w:tab/>
            </w:r>
            <w:r>
              <w:rPr>
                <w:i/>
                <w:spacing w:val="-5"/>
              </w:rPr>
              <w:t>206</w:t>
            </w:r>
          </w:hyperlink>
        </w:p>
        <w:p>
          <w:pPr>
            <w:pStyle w:val="TOC7"/>
            <w:tabs>
              <w:tab w:pos="7323" w:val="right" w:leader="dot"/>
            </w:tabs>
            <w:spacing w:before="1"/>
            <w:rPr>
              <w:i/>
            </w:rPr>
          </w:pPr>
          <w:hyperlink w:history="true" w:anchor="_TOC_250023">
            <w:r>
              <w:rPr>
                <w:i/>
              </w:rPr>
              <w:t>THE</w:t>
            </w:r>
            <w:r>
              <w:rPr>
                <w:i/>
                <w:spacing w:val="-5"/>
              </w:rPr>
              <w:t> </w:t>
            </w:r>
            <w:r>
              <w:rPr>
                <w:i/>
              </w:rPr>
              <w:t>HIDDEN</w:t>
            </w:r>
            <w:r>
              <w:rPr>
                <w:i/>
                <w:spacing w:val="-4"/>
              </w:rPr>
              <w:t> </w:t>
            </w:r>
            <w:r>
              <w:rPr>
                <w:i/>
                <w:spacing w:val="-2"/>
              </w:rPr>
              <w:t>LAYERS</w:t>
            </w:r>
            <w:r>
              <w:rPr>
                <w:i/>
              </w:rPr>
              <w:tab/>
            </w:r>
            <w:r>
              <w:rPr>
                <w:i/>
                <w:spacing w:val="-5"/>
              </w:rPr>
              <w:t>217</w:t>
            </w:r>
          </w:hyperlink>
        </w:p>
        <w:p>
          <w:pPr>
            <w:pStyle w:val="TOC7"/>
            <w:tabs>
              <w:tab w:pos="7326" w:val="right" w:leader="dot"/>
            </w:tabs>
            <w:rPr>
              <w:i/>
            </w:rPr>
          </w:pPr>
          <w:hyperlink w:history="true" w:anchor="_TOC_250022">
            <w:r>
              <w:rPr>
                <w:i/>
              </w:rPr>
              <w:t>THE</w:t>
            </w:r>
            <w:r>
              <w:rPr>
                <w:i/>
                <w:spacing w:val="-6"/>
              </w:rPr>
              <w:t> </w:t>
            </w:r>
            <w:r>
              <w:rPr>
                <w:i/>
              </w:rPr>
              <w:t>CAMARILLA</w:t>
            </w:r>
            <w:r>
              <w:rPr>
                <w:i/>
                <w:spacing w:val="-5"/>
              </w:rPr>
              <w:t> </w:t>
            </w:r>
            <w:r>
              <w:rPr>
                <w:i/>
              </w:rPr>
              <w:t>BREAKAWAY</w:t>
            </w:r>
            <w:r>
              <w:rPr>
                <w:i/>
                <w:spacing w:val="-5"/>
              </w:rPr>
              <w:t> </w:t>
            </w:r>
            <w:r>
              <w:rPr>
                <w:i/>
                <w:spacing w:val="-4"/>
              </w:rPr>
              <w:t>PLAY</w:t>
            </w:r>
            <w:r>
              <w:rPr>
                <w:i/>
              </w:rPr>
              <w:tab/>
            </w:r>
            <w:r>
              <w:rPr>
                <w:i/>
                <w:spacing w:val="-5"/>
              </w:rPr>
              <w:t>222</w:t>
            </w:r>
          </w:hyperlink>
        </w:p>
        <w:p>
          <w:pPr>
            <w:pStyle w:val="TOC7"/>
            <w:tabs>
              <w:tab w:pos="7324" w:val="right" w:leader="dot"/>
            </w:tabs>
            <w:spacing w:line="240" w:lineRule="auto" w:after="20"/>
            <w:rPr>
              <w:i/>
            </w:rPr>
          </w:pPr>
          <w:hyperlink w:history="true" w:anchor="_TOC_250021">
            <w:r>
              <w:rPr>
                <w:i/>
              </w:rPr>
              <w:t>PIVOT</w:t>
            </w:r>
            <w:r>
              <w:rPr>
                <w:i/>
                <w:spacing w:val="-3"/>
              </w:rPr>
              <w:t> </w:t>
            </w:r>
            <w:r>
              <w:rPr>
                <w:i/>
              </w:rPr>
              <w:t>TREND</w:t>
            </w:r>
            <w:r>
              <w:rPr>
                <w:i/>
                <w:spacing w:val="-3"/>
              </w:rPr>
              <w:t> </w:t>
            </w:r>
            <w:r>
              <w:rPr>
                <w:i/>
                <w:spacing w:val="-2"/>
              </w:rPr>
              <w:t>ANALYSIS</w:t>
            </w:r>
            <w:r>
              <w:rPr>
                <w:i/>
              </w:rPr>
              <w:tab/>
            </w:r>
            <w:r>
              <w:rPr>
                <w:i/>
                <w:spacing w:val="-5"/>
              </w:rPr>
              <w:t>227</w:t>
            </w:r>
          </w:hyperlink>
        </w:p>
        <w:p>
          <w:pPr>
            <w:pStyle w:val="TOC5"/>
            <w:tabs>
              <w:tab w:pos="6959" w:val="right" w:leader="dot"/>
            </w:tabs>
            <w:spacing w:line="240" w:lineRule="auto" w:before="80"/>
            <w:rPr>
              <w:i/>
            </w:rPr>
          </w:pPr>
          <w:r>
            <w:rPr>
              <w:i/>
            </w:rPr>
            <w:t>THE</w:t>
          </w:r>
          <w:r>
            <w:rPr>
              <w:i/>
              <w:spacing w:val="-6"/>
            </w:rPr>
            <w:t> </w:t>
          </w:r>
          <w:r>
            <w:rPr>
              <w:i/>
            </w:rPr>
            <w:t>CAMARILLA</w:t>
          </w:r>
          <w:r>
            <w:rPr>
              <w:i/>
              <w:spacing w:val="-6"/>
            </w:rPr>
            <w:t> </w:t>
          </w:r>
          <w:r>
            <w:rPr>
              <w:i/>
              <w:spacing w:val="-2"/>
            </w:rPr>
            <w:t>REVOLUTION</w:t>
          </w:r>
          <w:r>
            <w:rPr>
              <w:i/>
            </w:rPr>
            <w:tab/>
          </w:r>
          <w:r>
            <w:rPr>
              <w:i/>
              <w:spacing w:val="-5"/>
            </w:rPr>
            <w:t>233</w:t>
          </w:r>
        </w:p>
        <w:p>
          <w:pPr>
            <w:pStyle w:val="TOC2"/>
            <w:tabs>
              <w:tab w:pos="6952" w:val="right" w:leader="dot"/>
            </w:tabs>
          </w:pPr>
          <w:hyperlink w:history="true" w:anchor="_TOC_250020">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10"/>
              </w:rPr>
              <w:t>9</w:t>
            </w:r>
            <w:r>
              <w:rPr/>
              <w:tab/>
            </w:r>
            <w:r>
              <w:rPr>
                <w:spacing w:val="-5"/>
              </w:rPr>
              <w:t>235</w:t>
            </w:r>
          </w:hyperlink>
        </w:p>
        <w:p>
          <w:pPr>
            <w:pStyle w:val="TOC3"/>
            <w:tabs>
              <w:tab w:pos="6961" w:val="right" w:leader="dot"/>
            </w:tabs>
          </w:pPr>
          <w:hyperlink w:history="true" w:anchor="_TOC_250019">
            <w:r>
              <w:rPr>
                <w:spacing w:val="-2"/>
              </w:rPr>
              <w:t>HIGHER TIMEFRAME</w:t>
            </w:r>
            <w:r>
              <w:rPr>
                <w:spacing w:val="-1"/>
              </w:rPr>
              <w:t> </w:t>
            </w:r>
            <w:r>
              <w:rPr>
                <w:spacing w:val="-2"/>
              </w:rPr>
              <w:t>PIVOT</w:t>
            </w:r>
            <w:r>
              <w:rPr>
                <w:spacing w:val="-1"/>
              </w:rPr>
              <w:t> </w:t>
            </w:r>
            <w:r>
              <w:rPr>
                <w:spacing w:val="-2"/>
              </w:rPr>
              <w:t>ANALYSIS</w:t>
            </w:r>
            <w:r>
              <w:rPr/>
              <w:tab/>
            </w:r>
            <w:r>
              <w:rPr>
                <w:spacing w:val="-5"/>
              </w:rPr>
              <w:t>235</w:t>
            </w:r>
          </w:hyperlink>
        </w:p>
        <w:p>
          <w:pPr>
            <w:pStyle w:val="TOC5"/>
            <w:tabs>
              <w:tab w:pos="6962" w:val="right" w:leader="dot"/>
            </w:tabs>
            <w:spacing w:before="1"/>
            <w:rPr>
              <w:i/>
            </w:rPr>
          </w:pPr>
          <w:hyperlink w:history="true" w:anchor="_TOC_250018">
            <w:r>
              <w:rPr>
                <w:i/>
              </w:rPr>
              <w:t>TYPES</w:t>
            </w:r>
            <w:r>
              <w:rPr>
                <w:i/>
                <w:spacing w:val="-5"/>
              </w:rPr>
              <w:t> </w:t>
            </w:r>
            <w:r>
              <w:rPr>
                <w:i/>
              </w:rPr>
              <w:t>OF</w:t>
            </w:r>
            <w:r>
              <w:rPr>
                <w:i/>
                <w:spacing w:val="-4"/>
              </w:rPr>
              <w:t> </w:t>
            </w:r>
            <w:r>
              <w:rPr>
                <w:i/>
              </w:rPr>
              <w:t>HIGHER</w:t>
            </w:r>
            <w:r>
              <w:rPr>
                <w:i/>
                <w:spacing w:val="-4"/>
              </w:rPr>
              <w:t> </w:t>
            </w:r>
            <w:r>
              <w:rPr>
                <w:i/>
              </w:rPr>
              <w:t>TIMEFRAME</w:t>
            </w:r>
            <w:r>
              <w:rPr>
                <w:i/>
                <w:spacing w:val="-3"/>
              </w:rPr>
              <w:t> </w:t>
            </w:r>
            <w:r>
              <w:rPr>
                <w:i/>
                <w:spacing w:val="-2"/>
              </w:rPr>
              <w:t>PIVOTS</w:t>
            </w:r>
            <w:r>
              <w:rPr>
                <w:i/>
              </w:rPr>
              <w:tab/>
            </w:r>
            <w:r>
              <w:rPr>
                <w:i/>
                <w:spacing w:val="-5"/>
              </w:rPr>
              <w:t>237</w:t>
            </w:r>
          </w:hyperlink>
        </w:p>
        <w:p>
          <w:pPr>
            <w:pStyle w:val="TOC5"/>
            <w:tabs>
              <w:tab w:pos="6963" w:val="right" w:leader="dot"/>
            </w:tabs>
            <w:rPr>
              <w:i/>
            </w:rPr>
          </w:pPr>
          <w:hyperlink w:history="true" w:anchor="_TOC_250017">
            <w:r>
              <w:rPr>
                <w:i/>
              </w:rPr>
              <w:t>LONG-TERM</w:t>
            </w:r>
            <w:r>
              <w:rPr>
                <w:i/>
                <w:spacing w:val="-7"/>
              </w:rPr>
              <w:t> </w:t>
            </w:r>
            <w:r>
              <w:rPr>
                <w:i/>
              </w:rPr>
              <w:t>PIVOT</w:t>
            </w:r>
            <w:r>
              <w:rPr>
                <w:i/>
                <w:spacing w:val="-6"/>
              </w:rPr>
              <w:t> </w:t>
            </w:r>
            <w:r>
              <w:rPr>
                <w:i/>
              </w:rPr>
              <w:t>WIDTH</w:t>
            </w:r>
            <w:r>
              <w:rPr>
                <w:i/>
                <w:spacing w:val="-5"/>
              </w:rPr>
              <w:t> </w:t>
            </w:r>
            <w:r>
              <w:rPr>
                <w:i/>
                <w:spacing w:val="-2"/>
              </w:rPr>
              <w:t>FORECASTING</w:t>
            </w:r>
            <w:r>
              <w:rPr>
                <w:i/>
              </w:rPr>
              <w:tab/>
            </w:r>
            <w:r>
              <w:rPr>
                <w:i/>
                <w:spacing w:val="-5"/>
              </w:rPr>
              <w:t>242</w:t>
            </w:r>
          </w:hyperlink>
        </w:p>
        <w:p>
          <w:pPr>
            <w:pStyle w:val="TOC5"/>
            <w:tabs>
              <w:tab w:pos="6961" w:val="right" w:leader="dot"/>
            </w:tabs>
            <w:rPr>
              <w:i/>
            </w:rPr>
          </w:pPr>
          <w:hyperlink w:history="true" w:anchor="_TOC_250016">
            <w:r>
              <w:rPr>
                <w:i/>
              </w:rPr>
              <w:t>LONG</w:t>
            </w:r>
            <w:r>
              <w:rPr>
                <w:i/>
                <w:spacing w:val="-5"/>
              </w:rPr>
              <w:t> </w:t>
            </w:r>
            <w:r>
              <w:rPr>
                <w:i/>
              </w:rPr>
              <w:t>TERM</w:t>
            </w:r>
            <w:r>
              <w:rPr>
                <w:i/>
                <w:spacing w:val="-4"/>
              </w:rPr>
              <w:t> </w:t>
            </w:r>
            <w:r>
              <w:rPr>
                <w:i/>
              </w:rPr>
              <w:t>PIVOT</w:t>
            </w:r>
            <w:r>
              <w:rPr>
                <w:i/>
                <w:spacing w:val="-3"/>
              </w:rPr>
              <w:t> </w:t>
            </w:r>
            <w:r>
              <w:rPr>
                <w:i/>
              </w:rPr>
              <w:t>TREND</w:t>
            </w:r>
            <w:r>
              <w:rPr>
                <w:i/>
                <w:spacing w:val="-3"/>
              </w:rPr>
              <w:t> </w:t>
            </w:r>
            <w:r>
              <w:rPr>
                <w:i/>
                <w:spacing w:val="-2"/>
              </w:rPr>
              <w:t>ANALYSIS</w:t>
            </w:r>
            <w:r>
              <w:rPr>
                <w:i/>
              </w:rPr>
              <w:tab/>
            </w:r>
            <w:r>
              <w:rPr>
                <w:i/>
                <w:spacing w:val="-5"/>
              </w:rPr>
              <w:t>250</w:t>
            </w:r>
          </w:hyperlink>
        </w:p>
        <w:p>
          <w:pPr>
            <w:pStyle w:val="TOC5"/>
            <w:tabs>
              <w:tab w:pos="6958" w:val="right" w:leader="dot"/>
            </w:tabs>
            <w:rPr>
              <w:i/>
            </w:rPr>
          </w:pPr>
          <w:hyperlink w:history="true" w:anchor="_TOC_250015">
            <w:r>
              <w:rPr>
                <w:i/>
              </w:rPr>
              <w:t>TRADING</w:t>
            </w:r>
            <w:r>
              <w:rPr>
                <w:i/>
                <w:spacing w:val="-6"/>
              </w:rPr>
              <w:t> </w:t>
            </w:r>
            <w:r>
              <w:rPr>
                <w:i/>
              </w:rPr>
              <w:t>THE</w:t>
            </w:r>
            <w:r>
              <w:rPr>
                <w:i/>
                <w:spacing w:val="-4"/>
              </w:rPr>
              <w:t> </w:t>
            </w:r>
            <w:r>
              <w:rPr>
                <w:i/>
              </w:rPr>
              <w:t>BIG</w:t>
            </w:r>
            <w:r>
              <w:rPr>
                <w:i/>
                <w:spacing w:val="-4"/>
              </w:rPr>
              <w:t> </w:t>
            </w:r>
            <w:r>
              <w:rPr>
                <w:i/>
                <w:spacing w:val="-2"/>
              </w:rPr>
              <w:t>PICTURE</w:t>
            </w:r>
            <w:r>
              <w:rPr>
                <w:i/>
              </w:rPr>
              <w:tab/>
            </w:r>
            <w:r>
              <w:rPr>
                <w:i/>
                <w:spacing w:val="-5"/>
              </w:rPr>
              <w:t>257</w:t>
            </w:r>
          </w:hyperlink>
        </w:p>
        <w:p>
          <w:pPr>
            <w:pStyle w:val="TOC2"/>
            <w:tabs>
              <w:tab w:pos="6952" w:val="right" w:leader="dot"/>
            </w:tabs>
            <w:spacing w:before="123"/>
          </w:pPr>
          <w:hyperlink w:history="true" w:anchor="_TOC_250014">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5"/>
              </w:rPr>
              <w:t>10</w:t>
            </w:r>
            <w:r>
              <w:rPr/>
              <w:tab/>
            </w:r>
            <w:r>
              <w:rPr>
                <w:spacing w:val="-5"/>
              </w:rPr>
              <w:t>259</w:t>
            </w:r>
          </w:hyperlink>
        </w:p>
        <w:p>
          <w:pPr>
            <w:pStyle w:val="TOC3"/>
            <w:tabs>
              <w:tab w:pos="6958" w:val="right" w:leader="dot"/>
            </w:tabs>
          </w:pPr>
          <w:hyperlink w:history="true" w:anchor="_TOC_250013">
            <w:r>
              <w:rPr>
                <w:spacing w:val="-2"/>
              </w:rPr>
              <w:t>MULTIPLE</w:t>
            </w:r>
            <w:r>
              <w:rPr>
                <w:spacing w:val="-5"/>
              </w:rPr>
              <w:t> </w:t>
            </w:r>
            <w:r>
              <w:rPr>
                <w:spacing w:val="-2"/>
              </w:rPr>
              <w:t>PIVOT</w:t>
            </w:r>
            <w:r>
              <w:rPr>
                <w:spacing w:val="-7"/>
              </w:rPr>
              <w:t> </w:t>
            </w:r>
            <w:r>
              <w:rPr>
                <w:spacing w:val="-2"/>
              </w:rPr>
              <w:t>HOT</w:t>
            </w:r>
            <w:r>
              <w:rPr>
                <w:spacing w:val="-4"/>
              </w:rPr>
              <w:t> </w:t>
            </w:r>
            <w:r>
              <w:rPr>
                <w:spacing w:val="-2"/>
              </w:rPr>
              <w:t>ZONES</w:t>
            </w:r>
            <w:r>
              <w:rPr/>
              <w:tab/>
            </w:r>
            <w:r>
              <w:rPr>
                <w:spacing w:val="-5"/>
              </w:rPr>
              <w:t>259</w:t>
            </w:r>
          </w:hyperlink>
        </w:p>
        <w:p>
          <w:pPr>
            <w:pStyle w:val="TOC5"/>
            <w:tabs>
              <w:tab w:pos="6960" w:val="right" w:leader="dot"/>
            </w:tabs>
            <w:rPr>
              <w:i/>
            </w:rPr>
          </w:pPr>
          <w:hyperlink w:history="true" w:anchor="_TOC_250012">
            <w:r>
              <w:rPr>
                <w:i/>
              </w:rPr>
              <w:t>THE</w:t>
            </w:r>
            <w:r>
              <w:rPr>
                <w:i/>
                <w:spacing w:val="-3"/>
              </w:rPr>
              <w:t> </w:t>
            </w:r>
            <w:r>
              <w:rPr>
                <w:i/>
              </w:rPr>
              <w:t>POWER</w:t>
            </w:r>
            <w:r>
              <w:rPr>
                <w:i/>
                <w:spacing w:val="-2"/>
              </w:rPr>
              <w:t> </w:t>
            </w:r>
            <w:r>
              <w:rPr>
                <w:i/>
              </w:rPr>
              <w:t>OF</w:t>
            </w:r>
            <w:r>
              <w:rPr>
                <w:i/>
                <w:spacing w:val="-1"/>
              </w:rPr>
              <w:t> </w:t>
            </w:r>
            <w:r>
              <w:rPr>
                <w:i/>
                <w:spacing w:val="-2"/>
              </w:rPr>
              <w:t>CONFLUENCE</w:t>
            </w:r>
            <w:r>
              <w:rPr>
                <w:i/>
              </w:rPr>
              <w:tab/>
            </w:r>
            <w:r>
              <w:rPr>
                <w:i/>
                <w:spacing w:val="-5"/>
              </w:rPr>
              <w:t>260</w:t>
            </w:r>
          </w:hyperlink>
        </w:p>
        <w:p>
          <w:pPr>
            <w:pStyle w:val="TOC5"/>
            <w:tabs>
              <w:tab w:pos="6958" w:val="right" w:leader="dot"/>
            </w:tabs>
            <w:spacing w:line="240" w:lineRule="auto"/>
            <w:rPr>
              <w:i/>
            </w:rPr>
          </w:pPr>
          <w:hyperlink w:history="true" w:anchor="_TOC_250011">
            <w:r>
              <w:rPr>
                <w:i/>
              </w:rPr>
              <w:t>DOUBLE</w:t>
            </w:r>
            <w:r>
              <w:rPr>
                <w:i/>
                <w:spacing w:val="-4"/>
              </w:rPr>
              <w:t> </w:t>
            </w:r>
            <w:r>
              <w:rPr>
                <w:i/>
              </w:rPr>
              <w:t>PIVOT</w:t>
            </w:r>
            <w:r>
              <w:rPr>
                <w:i/>
                <w:spacing w:val="-5"/>
              </w:rPr>
              <w:t> </w:t>
            </w:r>
            <w:r>
              <w:rPr>
                <w:i/>
              </w:rPr>
              <w:t>HOT</w:t>
            </w:r>
            <w:r>
              <w:rPr>
                <w:i/>
                <w:spacing w:val="-4"/>
              </w:rPr>
              <w:t> ZONES</w:t>
            </w:r>
            <w:r>
              <w:rPr>
                <w:i/>
              </w:rPr>
              <w:tab/>
            </w:r>
            <w:r>
              <w:rPr>
                <w:i/>
                <w:spacing w:val="-5"/>
              </w:rPr>
              <w:t>261</w:t>
            </w:r>
          </w:hyperlink>
        </w:p>
        <w:p>
          <w:pPr>
            <w:pStyle w:val="TOC5"/>
            <w:tabs>
              <w:tab w:pos="6957" w:val="right" w:leader="dot"/>
            </w:tabs>
            <w:spacing w:before="1"/>
            <w:rPr>
              <w:i/>
            </w:rPr>
          </w:pPr>
          <w:hyperlink w:history="true" w:anchor="_TOC_250010">
            <w:r>
              <w:rPr>
                <w:i/>
              </w:rPr>
              <w:t>THE</w:t>
            </w:r>
            <w:r>
              <w:rPr>
                <w:i/>
                <w:spacing w:val="-4"/>
              </w:rPr>
              <w:t> </w:t>
            </w:r>
            <w:r>
              <w:rPr>
                <w:i/>
              </w:rPr>
              <w:t>GOLDEN</w:t>
            </w:r>
            <w:r>
              <w:rPr>
                <w:i/>
                <w:spacing w:val="-4"/>
              </w:rPr>
              <w:t> </w:t>
            </w:r>
            <w:r>
              <w:rPr>
                <w:i/>
              </w:rPr>
              <w:t>PIVOT</w:t>
            </w:r>
            <w:r>
              <w:rPr>
                <w:i/>
                <w:spacing w:val="-3"/>
              </w:rPr>
              <w:t> </w:t>
            </w:r>
            <w:r>
              <w:rPr>
                <w:i/>
                <w:spacing w:val="-4"/>
              </w:rPr>
              <w:t>ZONE</w:t>
            </w:r>
            <w:r>
              <w:rPr>
                <w:i/>
              </w:rPr>
              <w:tab/>
            </w:r>
            <w:r>
              <w:rPr>
                <w:i/>
                <w:spacing w:val="-5"/>
              </w:rPr>
              <w:t>266</w:t>
            </w:r>
          </w:hyperlink>
        </w:p>
        <w:p>
          <w:pPr>
            <w:pStyle w:val="TOC5"/>
            <w:tabs>
              <w:tab w:pos="6961" w:val="right" w:leader="dot"/>
            </w:tabs>
            <w:rPr>
              <w:i/>
            </w:rPr>
          </w:pPr>
          <w:hyperlink w:history="true" w:anchor="_TOC_250009">
            <w:r>
              <w:rPr>
                <w:i/>
              </w:rPr>
              <w:t>MULTIPLE</w:t>
            </w:r>
            <w:r>
              <w:rPr>
                <w:i/>
                <w:spacing w:val="-5"/>
              </w:rPr>
              <w:t> </w:t>
            </w:r>
            <w:r>
              <w:rPr>
                <w:i/>
              </w:rPr>
              <w:t>TIMEFRAME</w:t>
            </w:r>
            <w:r>
              <w:rPr>
                <w:i/>
                <w:spacing w:val="-5"/>
              </w:rPr>
              <w:t> </w:t>
            </w:r>
            <w:r>
              <w:rPr>
                <w:i/>
              </w:rPr>
              <w:t>HOT</w:t>
            </w:r>
            <w:r>
              <w:rPr>
                <w:i/>
                <w:spacing w:val="-4"/>
              </w:rPr>
              <w:t> </w:t>
            </w:r>
            <w:r>
              <w:rPr>
                <w:i/>
                <w:spacing w:val="-2"/>
              </w:rPr>
              <w:t>ZONES</w:t>
            </w:r>
            <w:r>
              <w:rPr>
                <w:i/>
              </w:rPr>
              <w:tab/>
            </w:r>
            <w:r>
              <w:rPr>
                <w:i/>
                <w:spacing w:val="-5"/>
              </w:rPr>
              <w:t>274</w:t>
            </w:r>
          </w:hyperlink>
        </w:p>
        <w:p>
          <w:pPr>
            <w:pStyle w:val="TOC5"/>
            <w:tabs>
              <w:tab w:pos="6956" w:val="right" w:leader="dot"/>
            </w:tabs>
            <w:spacing w:line="240" w:lineRule="auto"/>
            <w:rPr>
              <w:i/>
            </w:rPr>
          </w:pPr>
          <w:hyperlink w:history="true" w:anchor="_TOC_250008">
            <w:r>
              <w:rPr>
                <w:i/>
              </w:rPr>
              <w:t>ENGAGING</w:t>
            </w:r>
            <w:r>
              <w:rPr>
                <w:i/>
                <w:spacing w:val="-4"/>
              </w:rPr>
              <w:t> </w:t>
            </w:r>
            <w:r>
              <w:rPr>
                <w:i/>
              </w:rPr>
              <w:t>HOT</w:t>
            </w:r>
            <w:r>
              <w:rPr>
                <w:i/>
                <w:spacing w:val="-3"/>
              </w:rPr>
              <w:t> </w:t>
            </w:r>
            <w:r>
              <w:rPr>
                <w:i/>
                <w:spacing w:val="-4"/>
              </w:rPr>
              <w:t>ZONES</w:t>
            </w:r>
            <w:r>
              <w:rPr>
                <w:i/>
              </w:rPr>
              <w:tab/>
            </w:r>
            <w:r>
              <w:rPr>
                <w:i/>
                <w:spacing w:val="-5"/>
              </w:rPr>
              <w:t>279</w:t>
            </w:r>
          </w:hyperlink>
        </w:p>
        <w:p>
          <w:pPr>
            <w:pStyle w:val="TOC1"/>
            <w:tabs>
              <w:tab w:pos="6952" w:val="right" w:leader="dot"/>
            </w:tabs>
          </w:pPr>
          <w:hyperlink w:history="true" w:anchor="_TOC_250007">
            <w:r>
              <w:rPr/>
              <w:t>C</w:t>
            </w:r>
            <w:r>
              <w:rPr>
                <w:spacing w:val="9"/>
              </w:rPr>
              <w:t> </w:t>
            </w:r>
            <w:r>
              <w:rPr/>
              <w:t>H</w:t>
            </w:r>
            <w:r>
              <w:rPr>
                <w:spacing w:val="8"/>
              </w:rPr>
              <w:t> </w:t>
            </w:r>
            <w:r>
              <w:rPr/>
              <w:t>A</w:t>
            </w:r>
            <w:r>
              <w:rPr>
                <w:spacing w:val="8"/>
              </w:rPr>
              <w:t> </w:t>
            </w:r>
            <w:r>
              <w:rPr/>
              <w:t>P</w:t>
            </w:r>
            <w:r>
              <w:rPr>
                <w:spacing w:val="10"/>
              </w:rPr>
              <w:t> </w:t>
            </w:r>
            <w:r>
              <w:rPr/>
              <w:t>T</w:t>
            </w:r>
            <w:r>
              <w:rPr>
                <w:spacing w:val="9"/>
              </w:rPr>
              <w:t> </w:t>
            </w:r>
            <w:r>
              <w:rPr/>
              <w:t>E</w:t>
            </w:r>
            <w:r>
              <w:rPr>
                <w:spacing w:val="7"/>
              </w:rPr>
              <w:t> </w:t>
            </w:r>
            <w:r>
              <w:rPr/>
              <w:t>R</w:t>
            </w:r>
            <w:r>
              <w:rPr>
                <w:spacing w:val="8"/>
              </w:rPr>
              <w:t> </w:t>
            </w:r>
            <w:r>
              <w:rPr>
                <w:spacing w:val="-5"/>
              </w:rPr>
              <w:t>11</w:t>
            </w:r>
            <w:r>
              <w:rPr/>
              <w:tab/>
            </w:r>
            <w:r>
              <w:rPr>
                <w:spacing w:val="-5"/>
              </w:rPr>
              <w:t>281</w:t>
            </w:r>
          </w:hyperlink>
        </w:p>
        <w:p>
          <w:pPr>
            <w:pStyle w:val="TOC3"/>
            <w:tabs>
              <w:tab w:pos="6956" w:val="right" w:leader="dot"/>
            </w:tabs>
            <w:spacing w:line="228" w:lineRule="exact"/>
          </w:pPr>
          <w:hyperlink w:history="true" w:anchor="_TOC_250006">
            <w:r>
              <w:rPr>
                <w:spacing w:val="-2"/>
              </w:rPr>
              <w:t>PLANNING</w:t>
            </w:r>
            <w:r>
              <w:rPr>
                <w:spacing w:val="-6"/>
              </w:rPr>
              <w:t> </w:t>
            </w:r>
            <w:r>
              <w:rPr>
                <w:spacing w:val="-2"/>
              </w:rPr>
              <w:t>FOR</w:t>
            </w:r>
            <w:r>
              <w:rPr>
                <w:spacing w:val="-6"/>
              </w:rPr>
              <w:t> </w:t>
            </w:r>
            <w:r>
              <w:rPr>
                <w:spacing w:val="-2"/>
              </w:rPr>
              <w:t>SUCCESS</w:t>
            </w:r>
            <w:r>
              <w:rPr/>
              <w:tab/>
            </w:r>
            <w:r>
              <w:rPr>
                <w:spacing w:val="-5"/>
              </w:rPr>
              <w:t>281</w:t>
            </w:r>
          </w:hyperlink>
        </w:p>
        <w:p>
          <w:pPr>
            <w:pStyle w:val="TOC5"/>
            <w:tabs>
              <w:tab w:pos="6955" w:val="right" w:leader="dot"/>
            </w:tabs>
            <w:spacing w:line="240" w:lineRule="auto"/>
            <w:rPr>
              <w:i/>
            </w:rPr>
          </w:pPr>
          <w:hyperlink w:history="true" w:anchor="_TOC_250005">
            <w:r>
              <w:rPr>
                <w:i/>
              </w:rPr>
              <w:t>THE</w:t>
            </w:r>
            <w:r>
              <w:rPr>
                <w:i/>
                <w:spacing w:val="-4"/>
              </w:rPr>
              <w:t> </w:t>
            </w:r>
            <w:r>
              <w:rPr>
                <w:i/>
              </w:rPr>
              <w:t>FLIGHT</w:t>
            </w:r>
            <w:r>
              <w:rPr>
                <w:i/>
                <w:spacing w:val="-4"/>
              </w:rPr>
              <w:t> PLAN</w:t>
            </w:r>
            <w:r>
              <w:rPr>
                <w:i/>
              </w:rPr>
              <w:tab/>
            </w:r>
            <w:r>
              <w:rPr>
                <w:i/>
                <w:spacing w:val="-5"/>
              </w:rPr>
              <w:t>282</w:t>
            </w:r>
          </w:hyperlink>
        </w:p>
        <w:p>
          <w:pPr>
            <w:pStyle w:val="TOC5"/>
            <w:tabs>
              <w:tab w:pos="6962" w:val="right" w:leader="dot"/>
            </w:tabs>
            <w:spacing w:line="240" w:lineRule="auto" w:before="1"/>
            <w:rPr>
              <w:i/>
            </w:rPr>
          </w:pPr>
          <w:hyperlink w:history="true" w:anchor="_TOC_250004">
            <w:r>
              <w:rPr>
                <w:i/>
              </w:rPr>
              <w:t>PREPARATION</w:t>
            </w:r>
            <w:r>
              <w:rPr>
                <w:i/>
                <w:spacing w:val="-6"/>
              </w:rPr>
              <w:t> </w:t>
            </w:r>
            <w:r>
              <w:rPr>
                <w:i/>
              </w:rPr>
              <w:t>BREEDS</w:t>
            </w:r>
            <w:r>
              <w:rPr>
                <w:i/>
                <w:spacing w:val="-6"/>
              </w:rPr>
              <w:t> </w:t>
            </w:r>
            <w:r>
              <w:rPr>
                <w:i/>
                <w:spacing w:val="-2"/>
              </w:rPr>
              <w:t>CONFIDENCE</w:t>
            </w:r>
            <w:r>
              <w:rPr>
                <w:i/>
              </w:rPr>
              <w:tab/>
            </w:r>
            <w:r>
              <w:rPr>
                <w:i/>
                <w:spacing w:val="-5"/>
              </w:rPr>
              <w:t>286</w:t>
            </w:r>
          </w:hyperlink>
        </w:p>
        <w:p>
          <w:pPr>
            <w:pStyle w:val="TOC2"/>
            <w:tabs>
              <w:tab w:pos="6952" w:val="right" w:leader="dot"/>
            </w:tabs>
          </w:pPr>
          <w:hyperlink w:history="true" w:anchor="_TOC_250003">
            <w:r>
              <w:rPr/>
              <w:t>A</w:t>
            </w:r>
            <w:r>
              <w:rPr>
                <w:spacing w:val="6"/>
              </w:rPr>
              <w:t> </w:t>
            </w:r>
            <w:r>
              <w:rPr/>
              <w:t>P</w:t>
            </w:r>
            <w:r>
              <w:rPr>
                <w:spacing w:val="5"/>
              </w:rPr>
              <w:t> </w:t>
            </w:r>
            <w:r>
              <w:rPr/>
              <w:t>P</w:t>
            </w:r>
            <w:r>
              <w:rPr>
                <w:spacing w:val="6"/>
              </w:rPr>
              <w:t> </w:t>
            </w:r>
            <w:r>
              <w:rPr/>
              <w:t>E</w:t>
            </w:r>
            <w:r>
              <w:rPr>
                <w:spacing w:val="5"/>
              </w:rPr>
              <w:t> </w:t>
            </w:r>
            <w:r>
              <w:rPr/>
              <w:t>N</w:t>
            </w:r>
            <w:r>
              <w:rPr>
                <w:spacing w:val="4"/>
              </w:rPr>
              <w:t> </w:t>
            </w:r>
            <w:r>
              <w:rPr/>
              <w:t>D</w:t>
            </w:r>
            <w:r>
              <w:rPr>
                <w:spacing w:val="7"/>
              </w:rPr>
              <w:t> </w:t>
            </w:r>
            <w:r>
              <w:rPr/>
              <w:t>I</w:t>
            </w:r>
            <w:r>
              <w:rPr>
                <w:spacing w:val="2"/>
              </w:rPr>
              <w:t> </w:t>
            </w:r>
            <w:r>
              <w:rPr/>
              <w:t>X</w:t>
            </w:r>
            <w:r>
              <w:rPr>
                <w:spacing w:val="3"/>
              </w:rPr>
              <w:t> </w:t>
            </w:r>
            <w:r>
              <w:rPr>
                <w:spacing w:val="-10"/>
              </w:rPr>
              <w:t>A</w:t>
            </w:r>
            <w:r>
              <w:rPr/>
              <w:tab/>
            </w:r>
            <w:r>
              <w:rPr>
                <w:spacing w:val="-5"/>
              </w:rPr>
              <w:t>289</w:t>
            </w:r>
          </w:hyperlink>
        </w:p>
        <w:p>
          <w:pPr>
            <w:pStyle w:val="TOC3"/>
            <w:tabs>
              <w:tab w:pos="6957" w:val="right" w:leader="dot"/>
            </w:tabs>
          </w:pPr>
          <w:hyperlink w:history="true" w:anchor="_TOC_250002">
            <w:r>
              <w:rPr>
                <w:spacing w:val="-2"/>
              </w:rPr>
              <w:t>FLOOR</w:t>
            </w:r>
            <w:r>
              <w:rPr>
                <w:spacing w:val="-6"/>
              </w:rPr>
              <w:t> </w:t>
            </w:r>
            <w:r>
              <w:rPr>
                <w:spacing w:val="-2"/>
              </w:rPr>
              <w:t>PIVOTS</w:t>
            </w:r>
            <w:r>
              <w:rPr>
                <w:spacing w:val="-5"/>
              </w:rPr>
              <w:t> </w:t>
            </w:r>
            <w:r>
              <w:rPr>
                <w:spacing w:val="-2"/>
              </w:rPr>
              <w:t>RESEARCH</w:t>
            </w:r>
            <w:r>
              <w:rPr/>
              <w:tab/>
            </w:r>
            <w:r>
              <w:rPr>
                <w:spacing w:val="-5"/>
              </w:rPr>
              <w:t>289</w:t>
            </w:r>
          </w:hyperlink>
        </w:p>
        <w:p>
          <w:pPr>
            <w:pStyle w:val="TOC1"/>
            <w:tabs>
              <w:tab w:pos="6952" w:val="right" w:leader="dot"/>
            </w:tabs>
          </w:pPr>
          <w:hyperlink w:history="true" w:anchor="_TOC_250001">
            <w:r>
              <w:rPr/>
              <w:t>A</w:t>
            </w:r>
            <w:r>
              <w:rPr>
                <w:spacing w:val="6"/>
              </w:rPr>
              <w:t> </w:t>
            </w:r>
            <w:r>
              <w:rPr/>
              <w:t>P</w:t>
            </w:r>
            <w:r>
              <w:rPr>
                <w:spacing w:val="4"/>
              </w:rPr>
              <w:t> </w:t>
            </w:r>
            <w:r>
              <w:rPr/>
              <w:t>P</w:t>
            </w:r>
            <w:r>
              <w:rPr>
                <w:spacing w:val="7"/>
              </w:rPr>
              <w:t> </w:t>
            </w:r>
            <w:r>
              <w:rPr/>
              <w:t>E</w:t>
            </w:r>
            <w:r>
              <w:rPr>
                <w:spacing w:val="4"/>
              </w:rPr>
              <w:t> </w:t>
            </w:r>
            <w:r>
              <w:rPr/>
              <w:t>N</w:t>
            </w:r>
            <w:r>
              <w:rPr>
                <w:spacing w:val="5"/>
              </w:rPr>
              <w:t> </w:t>
            </w:r>
            <w:r>
              <w:rPr/>
              <w:t>D</w:t>
            </w:r>
            <w:r>
              <w:rPr>
                <w:spacing w:val="6"/>
              </w:rPr>
              <w:t> </w:t>
            </w:r>
            <w:r>
              <w:rPr/>
              <w:t>I</w:t>
            </w:r>
            <w:r>
              <w:rPr>
                <w:spacing w:val="3"/>
              </w:rPr>
              <w:t> </w:t>
            </w:r>
            <w:r>
              <w:rPr/>
              <w:t>X</w:t>
            </w:r>
            <w:r>
              <w:rPr>
                <w:spacing w:val="5"/>
              </w:rPr>
              <w:t> </w:t>
            </w:r>
            <w:r>
              <w:rPr>
                <w:spacing w:val="-10"/>
              </w:rPr>
              <w:t>B</w:t>
            </w:r>
            <w:r>
              <w:rPr/>
              <w:tab/>
            </w:r>
            <w:r>
              <w:rPr>
                <w:spacing w:val="-5"/>
              </w:rPr>
              <w:t>297</w:t>
            </w:r>
          </w:hyperlink>
        </w:p>
        <w:p>
          <w:pPr>
            <w:pStyle w:val="TOC3"/>
            <w:tabs>
              <w:tab w:pos="6956" w:val="right" w:leader="dot"/>
            </w:tabs>
            <w:spacing w:line="228" w:lineRule="exact"/>
          </w:pPr>
          <w:r>
            <w:rPr>
              <w:spacing w:val="-2"/>
            </w:rPr>
            <w:t>CUSTOM</w:t>
          </w:r>
          <w:r>
            <w:rPr>
              <w:spacing w:val="-3"/>
            </w:rPr>
            <w:t> </w:t>
          </w:r>
          <w:r>
            <w:rPr>
              <w:spacing w:val="-2"/>
            </w:rPr>
            <w:t>CODE</w:t>
          </w:r>
          <w:r>
            <w:rPr>
              <w:spacing w:val="-3"/>
            </w:rPr>
            <w:t> </w:t>
          </w:r>
          <w:r>
            <w:rPr>
              <w:spacing w:val="-2"/>
            </w:rPr>
            <w:t>LIBRARY</w:t>
          </w:r>
          <w:r>
            <w:rPr/>
            <w:tab/>
          </w:r>
          <w:r>
            <w:rPr>
              <w:spacing w:val="-5"/>
            </w:rPr>
            <w:t>297</w:t>
          </w:r>
        </w:p>
        <w:p>
          <w:pPr>
            <w:pStyle w:val="TOC3"/>
            <w:tabs>
              <w:tab w:pos="6949" w:val="right" w:leader="dot"/>
            </w:tabs>
            <w:spacing w:line="240" w:lineRule="auto" w:before="121"/>
            <w:ind w:left="356"/>
          </w:pPr>
          <w:hyperlink w:history="true" w:anchor="_TOC_250000">
            <w:r>
              <w:rPr>
                <w:spacing w:val="-2"/>
              </w:rPr>
              <w:t>INDEX</w:t>
            </w:r>
            <w:r>
              <w:rPr/>
              <w:tab/>
            </w:r>
            <w:r>
              <w:rPr>
                <w:spacing w:val="-5"/>
              </w:rPr>
              <w:t>311</w:t>
            </w:r>
          </w:hyperlink>
        </w:p>
      </w:sdtContent>
    </w:sdt>
    <w:p>
      <w:pPr>
        <w:spacing w:after="0" w:line="240" w:lineRule="auto"/>
        <w:sectPr>
          <w:type w:val="continuous"/>
          <w:pgSz w:w="8640" w:h="12960"/>
          <w:pgMar w:top="1020" w:bottom="780" w:left="580" w:right="580"/>
        </w:sectPr>
      </w:pPr>
    </w:p>
    <w:p>
      <w:pPr>
        <w:pStyle w:val="BodyText"/>
        <w:rPr>
          <w:sz w:val="82"/>
        </w:rPr>
      </w:pPr>
    </w:p>
    <w:p>
      <w:pPr>
        <w:pStyle w:val="BodyText"/>
        <w:spacing w:before="4"/>
        <w:rPr>
          <w:sz w:val="64"/>
        </w:rPr>
      </w:pPr>
    </w:p>
    <w:p>
      <w:pPr>
        <w:pStyle w:val="Heading1"/>
        <w:spacing w:before="0"/>
        <w:ind w:left="1570"/>
        <w:jc w:val="center"/>
      </w:pPr>
      <w:bookmarkStart w:name="_TOC_250090" w:id="1"/>
      <w:bookmarkEnd w:id="1"/>
      <w:r>
        <w:rPr>
          <w:smallCaps/>
          <w:spacing w:val="-2"/>
          <w:w w:val="90"/>
        </w:rPr>
        <w:t>Acknowledgments</w:t>
      </w:r>
    </w:p>
    <w:p>
      <w:pPr>
        <w:pStyle w:val="BodyText"/>
        <w:spacing w:before="533"/>
        <w:ind w:left="500" w:right="134" w:firstLine="432"/>
        <w:jc w:val="both"/>
      </w:pPr>
      <w:r>
        <w:rPr/>
        <w:t>Anyone that has attempted to tackle a project of this magnitude knows the task is nearly insurmountable without an incredible supporting cast. I’d like to thank the entire Nirvana Systems family for supporting me during this project and throughout my professional career. Special thanks go to Ed Downs for giving me my start in this exciting industry. His vision and leadership</w:t>
      </w:r>
      <w:r>
        <w:rPr/>
        <w:t> have been amazing to watch over the years. Thanks to Steve Belknap for being the captain of the ship. Thanks also go to Jeff Drake, Matthew Greenslet, and Gianluca Paganoni, whose development and coding efforts led to my discovering the amazing relationships these powerful indicators have to offer. I would also like to thank Kevin Gallagher for his contagious enthusiasm for trading. Bouncing trading ideas off each other</w:t>
      </w:r>
      <w:r>
        <w:rPr>
          <w:spacing w:val="40"/>
        </w:rPr>
        <w:t> </w:t>
      </w:r>
      <w:r>
        <w:rPr/>
        <w:t>over the last several years has been instrumental in my development as a trader and analyst. Thank you, Melissa Drake, for creating the wonderful cover art for the book.</w:t>
      </w:r>
    </w:p>
    <w:p>
      <w:pPr>
        <w:pStyle w:val="BodyText"/>
        <w:ind w:left="500" w:right="134" w:firstLine="432"/>
        <w:jc w:val="both"/>
      </w:pPr>
      <w:r>
        <w:rPr/>
        <w:t>Behind every man is an amazing woman. In my case, I have three amazing ladies in my corner. I’d like to</w:t>
      </w:r>
      <w:r>
        <w:rPr>
          <w:spacing w:val="-1"/>
        </w:rPr>
        <w:t> </w:t>
      </w:r>
      <w:r>
        <w:rPr/>
        <w:t>thank my mother Maria for being my number one fan. She inspired me at an early age, and has never stopped. Everything I am is a testament to her. I’d like to thank my beautiful and talented</w:t>
      </w:r>
      <w:r>
        <w:rPr>
          <w:spacing w:val="-4"/>
        </w:rPr>
        <w:t> </w:t>
      </w:r>
      <w:r>
        <w:rPr/>
        <w:t>wife</w:t>
      </w:r>
      <w:r>
        <w:rPr>
          <w:spacing w:val="-3"/>
        </w:rPr>
        <w:t> </w:t>
      </w:r>
      <w:r>
        <w:rPr/>
        <w:t>Claudia</w:t>
      </w:r>
      <w:r>
        <w:rPr>
          <w:spacing w:val="-4"/>
        </w:rPr>
        <w:t> </w:t>
      </w:r>
      <w:r>
        <w:rPr/>
        <w:t>for</w:t>
      </w:r>
      <w:r>
        <w:rPr>
          <w:spacing w:val="-5"/>
        </w:rPr>
        <w:t> </w:t>
      </w:r>
      <w:r>
        <w:rPr/>
        <w:t>her</w:t>
      </w:r>
      <w:r>
        <w:rPr>
          <w:spacing w:val="-4"/>
        </w:rPr>
        <w:t> </w:t>
      </w:r>
      <w:r>
        <w:rPr/>
        <w:t>unwavering</w:t>
      </w:r>
      <w:r>
        <w:rPr>
          <w:spacing w:val="-4"/>
        </w:rPr>
        <w:t> </w:t>
      </w:r>
      <w:r>
        <w:rPr/>
        <w:t>support,</w:t>
      </w:r>
      <w:r>
        <w:rPr>
          <w:spacing w:val="-5"/>
        </w:rPr>
        <w:t> </w:t>
      </w:r>
      <w:r>
        <w:rPr/>
        <w:t>inspiration,</w:t>
      </w:r>
      <w:r>
        <w:rPr>
          <w:spacing w:val="-4"/>
        </w:rPr>
        <w:t> </w:t>
      </w:r>
      <w:r>
        <w:rPr/>
        <w:t>and</w:t>
      </w:r>
      <w:r>
        <w:rPr>
          <w:spacing w:val="-5"/>
        </w:rPr>
        <w:t> </w:t>
      </w:r>
      <w:r>
        <w:rPr/>
        <w:t>everlasting patience through this long and trying process. She is the pulse of my family, without whom, I would be lost. Lastly, I’d like to thank my daughter Olivia for being the ultimate inspiration for writing this book. I want you to know that through hard work and dedication anything is possible. The sky is the limit for you, baby doll.</w:t>
      </w:r>
    </w:p>
    <w:p>
      <w:pPr>
        <w:pStyle w:val="BodyText"/>
        <w:ind w:left="500" w:right="137" w:firstLine="432"/>
        <w:jc w:val="both"/>
      </w:pPr>
      <w:r>
        <w:rPr/>
        <w:t>Thanks to the memory of my father Franklin, who passed too soon, but remains an important part of who I am.</w:t>
      </w:r>
    </w:p>
    <w:p>
      <w:pPr>
        <w:spacing w:after="0"/>
        <w:jc w:val="both"/>
        <w:sectPr>
          <w:footerReference w:type="default" r:id="rId6"/>
          <w:footerReference w:type="even" r:id="rId7"/>
          <w:pgSz w:w="8640" w:h="12960"/>
          <w:pgMar w:footer="1060" w:header="0" w:top="1480" w:bottom="1260" w:left="580" w:right="580"/>
          <w:pgNumType w:start="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306"/>
        <w:ind w:left="2985"/>
      </w:pPr>
      <w:bookmarkStart w:name="_TOC_250089" w:id="2"/>
      <w:bookmarkEnd w:id="2"/>
      <w:r>
        <w:rPr>
          <w:smallCaps/>
          <w:spacing w:val="-2"/>
          <w:w w:val="90"/>
        </w:rPr>
        <w:t>Introduction</w:t>
      </w:r>
    </w:p>
    <w:p>
      <w:pPr>
        <w:spacing w:line="276" w:lineRule="auto" w:before="414"/>
        <w:ind w:left="859" w:right="0" w:firstLine="0"/>
        <w:jc w:val="left"/>
        <w:rPr>
          <w:i/>
          <w:sz w:val="22"/>
        </w:rPr>
      </w:pPr>
      <w:r>
        <w:rPr>
          <w:i/>
          <w:sz w:val="22"/>
        </w:rPr>
        <w:t>“Fear</w:t>
      </w:r>
      <w:r>
        <w:rPr>
          <w:i/>
          <w:spacing w:val="80"/>
          <w:sz w:val="22"/>
        </w:rPr>
        <w:t> </w:t>
      </w:r>
      <w:r>
        <w:rPr>
          <w:i/>
          <w:sz w:val="22"/>
        </w:rPr>
        <w:t>and</w:t>
      </w:r>
      <w:r>
        <w:rPr>
          <w:i/>
          <w:spacing w:val="80"/>
          <w:sz w:val="22"/>
        </w:rPr>
        <w:t> </w:t>
      </w:r>
      <w:r>
        <w:rPr>
          <w:i/>
          <w:sz w:val="22"/>
        </w:rPr>
        <w:t>hope</w:t>
      </w:r>
      <w:r>
        <w:rPr>
          <w:i/>
          <w:spacing w:val="80"/>
          <w:sz w:val="22"/>
        </w:rPr>
        <w:t> </w:t>
      </w:r>
      <w:r>
        <w:rPr>
          <w:i/>
          <w:sz w:val="22"/>
        </w:rPr>
        <w:t>remain</w:t>
      </w:r>
      <w:r>
        <w:rPr>
          <w:i/>
          <w:spacing w:val="80"/>
          <w:sz w:val="22"/>
        </w:rPr>
        <w:t> </w:t>
      </w:r>
      <w:r>
        <w:rPr>
          <w:i/>
          <w:sz w:val="22"/>
        </w:rPr>
        <w:t>the</w:t>
      </w:r>
      <w:r>
        <w:rPr>
          <w:i/>
          <w:spacing w:val="80"/>
          <w:sz w:val="22"/>
        </w:rPr>
        <w:t> </w:t>
      </w:r>
      <w:r>
        <w:rPr>
          <w:i/>
          <w:sz w:val="22"/>
        </w:rPr>
        <w:t>same;</w:t>
      </w:r>
      <w:r>
        <w:rPr>
          <w:i/>
          <w:spacing w:val="80"/>
          <w:sz w:val="22"/>
        </w:rPr>
        <w:t> </w:t>
      </w:r>
      <w:r>
        <w:rPr>
          <w:i/>
          <w:sz w:val="22"/>
        </w:rPr>
        <w:t>therefore</w:t>
      </w:r>
      <w:r>
        <w:rPr>
          <w:i/>
          <w:spacing w:val="80"/>
          <w:sz w:val="22"/>
        </w:rPr>
        <w:t> </w:t>
      </w:r>
      <w:r>
        <w:rPr>
          <w:i/>
          <w:sz w:val="22"/>
        </w:rPr>
        <w:t>the</w:t>
      </w:r>
      <w:r>
        <w:rPr>
          <w:i/>
          <w:spacing w:val="80"/>
          <w:sz w:val="22"/>
        </w:rPr>
        <w:t> </w:t>
      </w:r>
      <w:r>
        <w:rPr>
          <w:i/>
          <w:sz w:val="22"/>
        </w:rPr>
        <w:t>study</w:t>
      </w:r>
      <w:r>
        <w:rPr>
          <w:i/>
          <w:spacing w:val="80"/>
          <w:sz w:val="22"/>
        </w:rPr>
        <w:t> </w:t>
      </w:r>
      <w:r>
        <w:rPr>
          <w:i/>
          <w:sz w:val="22"/>
        </w:rPr>
        <w:t>of</w:t>
      </w:r>
      <w:r>
        <w:rPr>
          <w:i/>
          <w:spacing w:val="80"/>
          <w:sz w:val="22"/>
        </w:rPr>
        <w:t> </w:t>
      </w:r>
      <w:r>
        <w:rPr>
          <w:i/>
          <w:sz w:val="22"/>
        </w:rPr>
        <w:t>the</w:t>
      </w:r>
      <w:r>
        <w:rPr>
          <w:i/>
          <w:sz w:val="22"/>
        </w:rPr>
        <w:t> psychology of speculators remains as valuable as it ever was.”</w:t>
      </w:r>
    </w:p>
    <w:p>
      <w:pPr>
        <w:pStyle w:val="BodyText"/>
        <w:spacing w:line="252" w:lineRule="exact"/>
        <w:ind w:left="2221"/>
      </w:pPr>
      <w:r>
        <w:rPr>
          <w:w w:val="105"/>
        </w:rPr>
        <w:t>-</w:t>
      </w:r>
      <w:r>
        <w:rPr>
          <w:spacing w:val="-14"/>
          <w:w w:val="105"/>
        </w:rPr>
        <w:t> </w:t>
      </w:r>
      <w:r>
        <w:rPr>
          <w:w w:val="105"/>
        </w:rPr>
        <w:t>Jesse</w:t>
      </w:r>
      <w:r>
        <w:rPr>
          <w:spacing w:val="-10"/>
          <w:w w:val="105"/>
        </w:rPr>
        <w:t> </w:t>
      </w:r>
      <w:r>
        <w:rPr>
          <w:w w:val="105"/>
        </w:rPr>
        <w:t>Livermore</w:t>
      </w:r>
      <w:r>
        <w:rPr>
          <w:spacing w:val="-6"/>
          <w:w w:val="105"/>
        </w:rPr>
        <w:t> </w:t>
      </w:r>
      <w:r>
        <w:rPr>
          <w:w w:val="105"/>
        </w:rPr>
        <w:t>(1877–</w:t>
      </w:r>
      <w:r>
        <w:rPr>
          <w:spacing w:val="-11"/>
          <w:w w:val="105"/>
        </w:rPr>
        <w:t> </w:t>
      </w:r>
      <w:r>
        <w:rPr>
          <w:w w:val="105"/>
        </w:rPr>
        <w:t>1940),</w:t>
      </w:r>
      <w:r>
        <w:rPr>
          <w:spacing w:val="-11"/>
          <w:w w:val="105"/>
        </w:rPr>
        <w:t> </w:t>
      </w:r>
      <w:r>
        <w:rPr>
          <w:w w:val="105"/>
        </w:rPr>
        <w:t>Legendary</w:t>
      </w:r>
      <w:r>
        <w:rPr>
          <w:spacing w:val="-10"/>
          <w:w w:val="105"/>
        </w:rPr>
        <w:t> </w:t>
      </w:r>
      <w:r>
        <w:rPr>
          <w:spacing w:val="-2"/>
          <w:w w:val="105"/>
        </w:rPr>
        <w:t>Trader</w:t>
      </w:r>
    </w:p>
    <w:p>
      <w:pPr>
        <w:pStyle w:val="BodyText"/>
      </w:pPr>
    </w:p>
    <w:p>
      <w:pPr>
        <w:pStyle w:val="BodyText"/>
      </w:pPr>
    </w:p>
    <w:p>
      <w:pPr>
        <w:pStyle w:val="BodyText"/>
      </w:pPr>
    </w:p>
    <w:p>
      <w:pPr>
        <w:pStyle w:val="BodyText"/>
      </w:pPr>
    </w:p>
    <w:p>
      <w:pPr>
        <w:pStyle w:val="BodyText"/>
        <w:spacing w:before="190"/>
        <w:ind w:left="140" w:right="496" w:firstLine="432"/>
        <w:jc w:val="both"/>
      </w:pPr>
      <w:r>
        <w:rPr/>
        <w:t>The Dow Jones Industrial Average closed the day at 11,842.69 on June 20, 2008. After the session closed, I scrawled </w:t>
      </w:r>
      <w:r>
        <w:rPr>
          <w:i/>
        </w:rPr>
        <w:t>“Target </w:t>
      </w:r>
      <w:r>
        <w:rPr>
          <w:i/>
          <w:u w:val="single"/>
        </w:rPr>
        <w:t>8385</w:t>
      </w:r>
      <w:r>
        <w:rPr>
          <w:i/>
        </w:rPr>
        <w:t>” </w:t>
      </w:r>
      <w:r>
        <w:rPr/>
        <w:t>in my</w:t>
      </w:r>
      <w:r>
        <w:rPr>
          <w:spacing w:val="40"/>
        </w:rPr>
        <w:t> </w:t>
      </w:r>
      <w:r>
        <w:rPr/>
        <w:t>notebook, along with extremely bearish targets of the other major market indexes. This came six months after I called for a drop back to the 10,000 level despite the Dow reaching an all-time high at 14,198.10 on October 8, 2007.</w:t>
      </w:r>
      <w:r>
        <w:rPr>
          <w:spacing w:val="-1"/>
        </w:rPr>
        <w:t> </w:t>
      </w:r>
      <w:r>
        <w:rPr/>
        <w:t>Needless</w:t>
      </w:r>
      <w:r>
        <w:rPr>
          <w:spacing w:val="-1"/>
        </w:rPr>
        <w:t> </w:t>
      </w:r>
      <w:r>
        <w:rPr/>
        <w:t>to</w:t>
      </w:r>
      <w:r>
        <w:rPr>
          <w:spacing w:val="-2"/>
        </w:rPr>
        <w:t> </w:t>
      </w:r>
      <w:r>
        <w:rPr/>
        <w:t>say,</w:t>
      </w:r>
      <w:r>
        <w:rPr>
          <w:spacing w:val="-1"/>
        </w:rPr>
        <w:t> </w:t>
      </w:r>
      <w:r>
        <w:rPr/>
        <w:t>I</w:t>
      </w:r>
      <w:r>
        <w:rPr>
          <w:spacing w:val="-1"/>
        </w:rPr>
        <w:t> </w:t>
      </w:r>
      <w:r>
        <w:rPr/>
        <w:t>received</w:t>
      </w:r>
      <w:r>
        <w:rPr>
          <w:spacing w:val="-2"/>
        </w:rPr>
        <w:t> </w:t>
      </w:r>
      <w:r>
        <w:rPr/>
        <w:t>a</w:t>
      </w:r>
      <w:r>
        <w:rPr>
          <w:spacing w:val="-1"/>
        </w:rPr>
        <w:t> </w:t>
      </w:r>
      <w:r>
        <w:rPr/>
        <w:t>lot</w:t>
      </w:r>
      <w:r>
        <w:rPr>
          <w:spacing w:val="-1"/>
        </w:rPr>
        <w:t> </w:t>
      </w:r>
      <w:r>
        <w:rPr/>
        <w:t>of</w:t>
      </w:r>
      <w:r>
        <w:rPr>
          <w:spacing w:val="-2"/>
        </w:rPr>
        <w:t> </w:t>
      </w:r>
      <w:r>
        <w:rPr/>
        <w:t>flak</w:t>
      </w:r>
      <w:r>
        <w:rPr>
          <w:spacing w:val="-1"/>
        </w:rPr>
        <w:t> </w:t>
      </w:r>
      <w:r>
        <w:rPr/>
        <w:t>from</w:t>
      </w:r>
      <w:r>
        <w:rPr>
          <w:spacing w:val="-1"/>
        </w:rPr>
        <w:t> </w:t>
      </w:r>
      <w:r>
        <w:rPr/>
        <w:t>traders</w:t>
      </w:r>
      <w:r>
        <w:rPr>
          <w:spacing w:val="-2"/>
        </w:rPr>
        <w:t> </w:t>
      </w:r>
      <w:r>
        <w:rPr/>
        <w:t>and</w:t>
      </w:r>
      <w:r>
        <w:rPr>
          <w:spacing w:val="-1"/>
        </w:rPr>
        <w:t> </w:t>
      </w:r>
      <w:r>
        <w:rPr/>
        <w:t>investors</w:t>
      </w:r>
      <w:r>
        <w:rPr>
          <w:spacing w:val="-1"/>
        </w:rPr>
        <w:t> </w:t>
      </w:r>
      <w:r>
        <w:rPr/>
        <w:t>from around the world, claiming I was purposely pumping fear into the market. This was not my intention. I was merely translating what the charts were telling me, and I reported my findings to the public through my daily market newsletter. In the months that followed, the market experienced a major collapse, with the Dow eventually finding a bottom at 6,469.95 on March 6, 2009—a whopping 45 percent nosedive from my June 20 prediction.</w:t>
      </w:r>
    </w:p>
    <w:p>
      <w:pPr>
        <w:pStyle w:val="BodyText"/>
        <w:ind w:left="140" w:right="496" w:firstLine="432"/>
        <w:jc w:val="both"/>
      </w:pPr>
      <w:r>
        <w:rPr/>
        <w:t>How was I able to forecast this move? The concepts and techniques in this book helped me with the prediction. Every now and again, a book is published that offers incredible insight into professional trading. My friend, you are holding that book in your hands right now.</w:t>
      </w:r>
    </w:p>
    <w:p>
      <w:pPr>
        <w:pStyle w:val="BodyText"/>
        <w:rPr>
          <w:sz w:val="20"/>
        </w:rPr>
      </w:pPr>
    </w:p>
    <w:p>
      <w:pPr>
        <w:spacing w:before="0"/>
        <w:ind w:left="2139" w:right="224" w:hanging="1662"/>
        <w:jc w:val="left"/>
        <w:rPr>
          <w:i/>
          <w:sz w:val="22"/>
        </w:rPr>
      </w:pPr>
      <w:r>
        <w:rPr>
          <w:i/>
          <w:sz w:val="22"/>
        </w:rPr>
        <w:t>This</w:t>
      </w:r>
      <w:r>
        <w:rPr>
          <w:i/>
          <w:spacing w:val="-3"/>
          <w:sz w:val="22"/>
        </w:rPr>
        <w:t> </w:t>
      </w:r>
      <w:r>
        <w:rPr>
          <w:i/>
          <w:sz w:val="22"/>
        </w:rPr>
        <w:t>book</w:t>
      </w:r>
      <w:r>
        <w:rPr>
          <w:i/>
          <w:spacing w:val="-3"/>
          <w:sz w:val="22"/>
        </w:rPr>
        <w:t> </w:t>
      </w:r>
      <w:r>
        <w:rPr>
          <w:i/>
          <w:sz w:val="22"/>
        </w:rPr>
        <w:t>offers</w:t>
      </w:r>
      <w:r>
        <w:rPr>
          <w:i/>
          <w:spacing w:val="-3"/>
          <w:sz w:val="22"/>
        </w:rPr>
        <w:t> </w:t>
      </w:r>
      <w:r>
        <w:rPr>
          <w:i/>
          <w:sz w:val="22"/>
        </w:rPr>
        <w:t>a</w:t>
      </w:r>
      <w:r>
        <w:rPr>
          <w:i/>
          <w:spacing w:val="-3"/>
          <w:sz w:val="22"/>
        </w:rPr>
        <w:t> </w:t>
      </w:r>
      <w:r>
        <w:rPr>
          <w:i/>
          <w:sz w:val="22"/>
        </w:rPr>
        <w:t>road</w:t>
      </w:r>
      <w:r>
        <w:rPr>
          <w:i/>
          <w:spacing w:val="-4"/>
          <w:sz w:val="22"/>
        </w:rPr>
        <w:t> </w:t>
      </w:r>
      <w:r>
        <w:rPr>
          <w:i/>
          <w:sz w:val="22"/>
        </w:rPr>
        <w:t>map</w:t>
      </w:r>
      <w:r>
        <w:rPr>
          <w:i/>
          <w:spacing w:val="-4"/>
          <w:sz w:val="22"/>
        </w:rPr>
        <w:t> </w:t>
      </w:r>
      <w:r>
        <w:rPr>
          <w:i/>
          <w:sz w:val="22"/>
        </w:rPr>
        <w:t>to</w:t>
      </w:r>
      <w:r>
        <w:rPr>
          <w:i/>
          <w:spacing w:val="-3"/>
          <w:sz w:val="22"/>
        </w:rPr>
        <w:t> </w:t>
      </w:r>
      <w:r>
        <w:rPr>
          <w:i/>
          <w:sz w:val="22"/>
        </w:rPr>
        <w:t>the</w:t>
      </w:r>
      <w:r>
        <w:rPr>
          <w:i/>
          <w:spacing w:val="-3"/>
          <w:sz w:val="22"/>
        </w:rPr>
        <w:t> </w:t>
      </w:r>
      <w:r>
        <w:rPr>
          <w:i/>
          <w:sz w:val="22"/>
        </w:rPr>
        <w:t>market</w:t>
      </w:r>
      <w:r>
        <w:rPr>
          <w:i/>
          <w:spacing w:val="-4"/>
          <w:sz w:val="22"/>
        </w:rPr>
        <w:t> </w:t>
      </w:r>
      <w:r>
        <w:rPr>
          <w:i/>
          <w:sz w:val="22"/>
        </w:rPr>
        <w:t>that</w:t>
      </w:r>
      <w:r>
        <w:rPr>
          <w:i/>
          <w:spacing w:val="-3"/>
          <w:sz w:val="22"/>
        </w:rPr>
        <w:t> </w:t>
      </w:r>
      <w:r>
        <w:rPr>
          <w:i/>
          <w:sz w:val="22"/>
        </w:rPr>
        <w:t>can</w:t>
      </w:r>
      <w:r>
        <w:rPr>
          <w:i/>
          <w:spacing w:val="-3"/>
          <w:sz w:val="22"/>
        </w:rPr>
        <w:t> </w:t>
      </w:r>
      <w:r>
        <w:rPr>
          <w:i/>
          <w:sz w:val="22"/>
        </w:rPr>
        <w:t>be</w:t>
      </w:r>
      <w:r>
        <w:rPr>
          <w:i/>
          <w:spacing w:val="-3"/>
          <w:sz w:val="22"/>
        </w:rPr>
        <w:t> </w:t>
      </w:r>
      <w:r>
        <w:rPr>
          <w:i/>
          <w:sz w:val="22"/>
        </w:rPr>
        <w:t>so</w:t>
      </w:r>
      <w:r>
        <w:rPr>
          <w:i/>
          <w:spacing w:val="-4"/>
          <w:sz w:val="22"/>
        </w:rPr>
        <w:t> </w:t>
      </w:r>
      <w:r>
        <w:rPr>
          <w:i/>
          <w:sz w:val="22"/>
        </w:rPr>
        <w:t>unbelievably</w:t>
      </w:r>
      <w:r>
        <w:rPr>
          <w:i/>
          <w:sz w:val="22"/>
        </w:rPr>
        <w:t> accurate it’s like trader voodoo.</w:t>
      </w:r>
    </w:p>
    <w:p>
      <w:pPr>
        <w:spacing w:after="0"/>
        <w:jc w:val="left"/>
        <w:rPr>
          <w:sz w:val="22"/>
        </w:rPr>
        <w:sectPr>
          <w:pgSz w:w="8640" w:h="12960"/>
          <w:pgMar w:header="0" w:footer="1060" w:top="1480" w:bottom="1260" w:left="580" w:right="580"/>
        </w:sectPr>
      </w:pPr>
    </w:p>
    <w:p>
      <w:pPr>
        <w:pStyle w:val="BodyText"/>
        <w:spacing w:before="41"/>
        <w:ind w:left="500" w:right="133" w:firstLine="432"/>
        <w:jc w:val="both"/>
      </w:pPr>
      <w:r>
        <w:rPr/>
        <w:t>For every trade, there is a good price, a bad price, and a fair price. The techniques and concepts in this book will help you find the best price. Professional traders use tools that are based purely on price, which is a leading indicator in its own class. In this book, you will discover the best leading indicators available to traders: The Money Zone, Floor Pivots, and</w:t>
      </w:r>
      <w:r>
        <w:rPr>
          <w:spacing w:val="40"/>
        </w:rPr>
        <w:t> </w:t>
      </w:r>
      <w:r>
        <w:rPr/>
        <w:t>the Camarilla Equation. Some of these tools have been around for decades, but many traders do not know they exist or how to use them properly to</w:t>
      </w:r>
      <w:r>
        <w:rPr>
          <w:spacing w:val="40"/>
        </w:rPr>
        <w:t> </w:t>
      </w:r>
      <w:r>
        <w:rPr/>
        <w:t>profit in the market. In fact, the traders that do use these tools are typically</w:t>
      </w:r>
      <w:r>
        <w:rPr>
          <w:spacing w:val="40"/>
        </w:rPr>
        <w:t> </w:t>
      </w:r>
      <w:r>
        <w:rPr/>
        <w:t>the ones that drive better cars and have bigger homes. Traders like Larry Williams, Mark Fisher, John Person, and John Carter all use pivots in their trading. These are distinguished traders, educators, and authors that have</w:t>
      </w:r>
      <w:r>
        <w:rPr>
          <w:spacing w:val="40"/>
        </w:rPr>
        <w:t> </w:t>
      </w:r>
      <w:r>
        <w:rPr/>
        <w:t>seen the road map and can no longer look at charts the same without these powerful tools plotted in some form or fashion.</w:t>
      </w:r>
    </w:p>
    <w:p>
      <w:pPr>
        <w:pStyle w:val="BodyText"/>
        <w:ind w:left="500" w:right="134" w:firstLine="432"/>
        <w:jc w:val="both"/>
      </w:pPr>
      <w:r>
        <w:rPr/>
        <w:t>Independently, the Money Zone, Floor Pivots, and the Camarilla Equation offer road maps to trading virtually any chart you can plot. But when used in combination, these tools create the GPS navigation system to trading the market. While you may have studied forms of pivots in the past, I am providing a fresh perspective that can only be described as a truly unique approach to playing these amazing levels for profit. Concepts like two-day pivot</w:t>
      </w:r>
      <w:r>
        <w:rPr>
          <w:spacing w:val="-3"/>
        </w:rPr>
        <w:t> </w:t>
      </w:r>
      <w:r>
        <w:rPr/>
        <w:t>relationships,</w:t>
      </w:r>
      <w:r>
        <w:rPr>
          <w:spacing w:val="-3"/>
        </w:rPr>
        <w:t> </w:t>
      </w:r>
      <w:r>
        <w:rPr/>
        <w:t>pivot</w:t>
      </w:r>
      <w:r>
        <w:rPr>
          <w:spacing w:val="-4"/>
        </w:rPr>
        <w:t> </w:t>
      </w:r>
      <w:r>
        <w:rPr/>
        <w:t>width</w:t>
      </w:r>
      <w:r>
        <w:rPr>
          <w:spacing w:val="-3"/>
        </w:rPr>
        <w:t> </w:t>
      </w:r>
      <w:r>
        <w:rPr/>
        <w:t>forecasting,</w:t>
      </w:r>
      <w:r>
        <w:rPr>
          <w:spacing w:val="-5"/>
        </w:rPr>
        <w:t> </w:t>
      </w:r>
      <w:r>
        <w:rPr/>
        <w:t>pivot</w:t>
      </w:r>
      <w:r>
        <w:rPr>
          <w:spacing w:val="-4"/>
        </w:rPr>
        <w:t> </w:t>
      </w:r>
      <w:r>
        <w:rPr/>
        <w:t>trend</w:t>
      </w:r>
      <w:r>
        <w:rPr>
          <w:spacing w:val="-3"/>
        </w:rPr>
        <w:t> </w:t>
      </w:r>
      <w:r>
        <w:rPr/>
        <w:t>analysis,</w:t>
      </w:r>
      <w:r>
        <w:rPr>
          <w:spacing w:val="-3"/>
        </w:rPr>
        <w:t> </w:t>
      </w:r>
      <w:r>
        <w:rPr/>
        <w:t>and</w:t>
      </w:r>
      <w:r>
        <w:rPr>
          <w:spacing w:val="-3"/>
        </w:rPr>
        <w:t> </w:t>
      </w:r>
      <w:r>
        <w:rPr/>
        <w:t>multiple pivot hot zones can improve your analysis and trading by leaps and bounds.</w:t>
      </w:r>
    </w:p>
    <w:p>
      <w:pPr>
        <w:pStyle w:val="BodyText"/>
        <w:ind w:left="500" w:right="137" w:firstLine="432"/>
        <w:jc w:val="both"/>
      </w:pPr>
      <w:r>
        <w:rPr/>
        <w:t>Not only will I teach you incredible pivot relationships, but I will also divulge my best trading secrets, including powerful candlestick setups and proprietary</w:t>
      </w:r>
      <w:r>
        <w:rPr>
          <w:spacing w:val="-2"/>
        </w:rPr>
        <w:t> </w:t>
      </w:r>
      <w:r>
        <w:rPr/>
        <w:t>indicators</w:t>
      </w:r>
      <w:r>
        <w:rPr>
          <w:spacing w:val="-2"/>
        </w:rPr>
        <w:t> </w:t>
      </w:r>
      <w:r>
        <w:rPr/>
        <w:t>that</w:t>
      </w:r>
      <w:r>
        <w:rPr>
          <w:spacing w:val="-2"/>
        </w:rPr>
        <w:t> </w:t>
      </w:r>
      <w:r>
        <w:rPr/>
        <w:t>I</w:t>
      </w:r>
      <w:r>
        <w:rPr>
          <w:spacing w:val="-4"/>
        </w:rPr>
        <w:t> </w:t>
      </w:r>
      <w:r>
        <w:rPr/>
        <w:t>have</w:t>
      </w:r>
      <w:r>
        <w:rPr>
          <w:spacing w:val="-2"/>
        </w:rPr>
        <w:t> </w:t>
      </w:r>
      <w:r>
        <w:rPr/>
        <w:t>created</w:t>
      </w:r>
      <w:r>
        <w:rPr>
          <w:spacing w:val="-2"/>
        </w:rPr>
        <w:t> </w:t>
      </w:r>
      <w:r>
        <w:rPr/>
        <w:t>to</w:t>
      </w:r>
      <w:r>
        <w:rPr>
          <w:spacing w:val="-2"/>
        </w:rPr>
        <w:t> </w:t>
      </w:r>
      <w:r>
        <w:rPr/>
        <w:t>both</w:t>
      </w:r>
      <w:r>
        <w:rPr>
          <w:spacing w:val="-2"/>
        </w:rPr>
        <w:t> </w:t>
      </w:r>
      <w:r>
        <w:rPr/>
        <w:t>trade</w:t>
      </w:r>
      <w:r>
        <w:rPr>
          <w:spacing w:val="-3"/>
        </w:rPr>
        <w:t> </w:t>
      </w:r>
      <w:r>
        <w:rPr/>
        <w:t>and</w:t>
      </w:r>
      <w:r>
        <w:rPr>
          <w:spacing w:val="-2"/>
        </w:rPr>
        <w:t> </w:t>
      </w:r>
      <w:r>
        <w:rPr/>
        <w:t>analyze</w:t>
      </w:r>
      <w:r>
        <w:rPr>
          <w:spacing w:val="-2"/>
        </w:rPr>
        <w:t> </w:t>
      </w:r>
      <w:r>
        <w:rPr/>
        <w:t>the</w:t>
      </w:r>
      <w:r>
        <w:rPr>
          <w:spacing w:val="-2"/>
        </w:rPr>
        <w:t> </w:t>
      </w:r>
      <w:r>
        <w:rPr/>
        <w:t>market in a highly accurate and profitable manner. Taking this a step farther, I have also provided the actual code to each of the scripts that I’ve written in Appendix B to help you find the same amazing setups that I will teach.</w:t>
      </w:r>
    </w:p>
    <w:p>
      <w:pPr>
        <w:pStyle w:val="BodyText"/>
        <w:rPr>
          <w:sz w:val="20"/>
        </w:rPr>
      </w:pPr>
    </w:p>
    <w:p>
      <w:pPr>
        <w:spacing w:before="1"/>
        <w:ind w:left="689" w:right="278" w:hanging="51"/>
        <w:jc w:val="both"/>
        <w:rPr>
          <w:i/>
          <w:sz w:val="22"/>
        </w:rPr>
      </w:pPr>
      <w:r>
        <w:rPr>
          <w:i/>
          <w:sz w:val="22"/>
        </w:rPr>
        <w:t>The</w:t>
      </w:r>
      <w:r>
        <w:rPr>
          <w:i/>
          <w:spacing w:val="-4"/>
          <w:sz w:val="22"/>
        </w:rPr>
        <w:t> </w:t>
      </w:r>
      <w:r>
        <w:rPr>
          <w:i/>
          <w:sz w:val="22"/>
        </w:rPr>
        <w:t>market</w:t>
      </w:r>
      <w:r>
        <w:rPr>
          <w:i/>
          <w:spacing w:val="-5"/>
          <w:sz w:val="22"/>
        </w:rPr>
        <w:t> </w:t>
      </w:r>
      <w:r>
        <w:rPr>
          <w:i/>
          <w:sz w:val="22"/>
        </w:rPr>
        <w:t>revolves</w:t>
      </w:r>
      <w:r>
        <w:rPr>
          <w:i/>
          <w:spacing w:val="-4"/>
          <w:sz w:val="22"/>
        </w:rPr>
        <w:t> </w:t>
      </w:r>
      <w:r>
        <w:rPr>
          <w:i/>
          <w:sz w:val="22"/>
        </w:rPr>
        <w:t>around</w:t>
      </w:r>
      <w:r>
        <w:rPr>
          <w:i/>
          <w:spacing w:val="-4"/>
          <w:sz w:val="22"/>
        </w:rPr>
        <w:t> </w:t>
      </w:r>
      <w:r>
        <w:rPr>
          <w:i/>
          <w:sz w:val="22"/>
        </w:rPr>
        <w:t>repetition</w:t>
      </w:r>
      <w:r>
        <w:rPr>
          <w:i/>
          <w:spacing w:val="-5"/>
          <w:sz w:val="22"/>
        </w:rPr>
        <w:t> </w:t>
      </w:r>
      <w:r>
        <w:rPr>
          <w:i/>
          <w:sz w:val="22"/>
        </w:rPr>
        <w:t>due</w:t>
      </w:r>
      <w:r>
        <w:rPr>
          <w:i/>
          <w:spacing w:val="-4"/>
          <w:sz w:val="22"/>
        </w:rPr>
        <w:t> </w:t>
      </w:r>
      <w:r>
        <w:rPr>
          <w:i/>
          <w:sz w:val="22"/>
        </w:rPr>
        <w:t>to</w:t>
      </w:r>
      <w:r>
        <w:rPr>
          <w:i/>
          <w:spacing w:val="-4"/>
          <w:sz w:val="22"/>
        </w:rPr>
        <w:t> </w:t>
      </w:r>
      <w:r>
        <w:rPr>
          <w:i/>
          <w:sz w:val="22"/>
        </w:rPr>
        <w:t>human</w:t>
      </w:r>
      <w:r>
        <w:rPr>
          <w:i/>
          <w:spacing w:val="-6"/>
          <w:sz w:val="22"/>
        </w:rPr>
        <w:t> </w:t>
      </w:r>
      <w:r>
        <w:rPr>
          <w:i/>
          <w:sz w:val="22"/>
        </w:rPr>
        <w:t>nature—namely</w:t>
      </w:r>
      <w:r>
        <w:rPr>
          <w:i/>
          <w:spacing w:val="-4"/>
          <w:sz w:val="22"/>
        </w:rPr>
        <w:t> </w:t>
      </w:r>
      <w:r>
        <w:rPr>
          <w:i/>
          <w:sz w:val="22"/>
        </w:rPr>
        <w:t>fear,</w:t>
      </w:r>
      <w:r>
        <w:rPr>
          <w:i/>
          <w:sz w:val="22"/>
        </w:rPr>
        <w:t> greed, and uncertainty. This truism is why the Money Zone, Floor</w:t>
      </w:r>
      <w:r>
        <w:rPr>
          <w:i/>
          <w:spacing w:val="-1"/>
          <w:sz w:val="22"/>
        </w:rPr>
        <w:t> </w:t>
      </w:r>
      <w:r>
        <w:rPr>
          <w:i/>
          <w:sz w:val="22"/>
        </w:rPr>
        <w:t>Pivots, and the Camarilla Equation work and</w:t>
      </w:r>
      <w:r>
        <w:rPr>
          <w:i/>
          <w:spacing w:val="-2"/>
          <w:sz w:val="22"/>
        </w:rPr>
        <w:t> </w:t>
      </w:r>
      <w:r>
        <w:rPr>
          <w:i/>
          <w:sz w:val="22"/>
        </w:rPr>
        <w:t>will continue</w:t>
      </w:r>
      <w:r>
        <w:rPr>
          <w:i/>
          <w:spacing w:val="-1"/>
          <w:sz w:val="22"/>
        </w:rPr>
        <w:t> </w:t>
      </w:r>
      <w:r>
        <w:rPr>
          <w:i/>
          <w:sz w:val="22"/>
        </w:rPr>
        <w:t>to work in the</w:t>
      </w:r>
      <w:r>
        <w:rPr>
          <w:i/>
          <w:spacing w:val="-1"/>
          <w:sz w:val="22"/>
        </w:rPr>
        <w:t> </w:t>
      </w:r>
      <w:r>
        <w:rPr>
          <w:i/>
          <w:sz w:val="22"/>
        </w:rPr>
        <w:t>future.</w:t>
      </w:r>
    </w:p>
    <w:p>
      <w:pPr>
        <w:pStyle w:val="BodyText"/>
        <w:spacing w:before="10"/>
        <w:rPr>
          <w:i/>
          <w:sz w:val="19"/>
        </w:rPr>
      </w:pPr>
    </w:p>
    <w:p>
      <w:pPr>
        <w:pStyle w:val="BodyText"/>
        <w:ind w:left="499" w:right="137" w:firstLine="432"/>
        <w:jc w:val="both"/>
      </w:pPr>
      <w:r>
        <w:rPr>
          <w:i/>
        </w:rPr>
        <w:t>Secrets of a Pivot Boss </w:t>
      </w:r>
      <w:r>
        <w:rPr/>
        <w:t>offers the most comprehensive collection of pivot-related trading ideas and concepts available to traders. Whether you</w:t>
      </w:r>
      <w:r>
        <w:rPr>
          <w:spacing w:val="80"/>
        </w:rPr>
        <w:t> </w:t>
      </w:r>
      <w:r>
        <w:rPr/>
        <w:t>are</w:t>
      </w:r>
      <w:r>
        <w:rPr>
          <w:spacing w:val="40"/>
        </w:rPr>
        <w:t> </w:t>
      </w:r>
      <w:r>
        <w:rPr/>
        <w:t>a</w:t>
      </w:r>
      <w:r>
        <w:rPr>
          <w:spacing w:val="40"/>
        </w:rPr>
        <w:t> </w:t>
      </w:r>
      <w:r>
        <w:rPr/>
        <w:t>real-time</w:t>
      </w:r>
      <w:r>
        <w:rPr>
          <w:spacing w:val="40"/>
        </w:rPr>
        <w:t> </w:t>
      </w:r>
      <w:r>
        <w:rPr/>
        <w:t>trader,</w:t>
      </w:r>
      <w:r>
        <w:rPr>
          <w:spacing w:val="40"/>
        </w:rPr>
        <w:t> </w:t>
      </w:r>
      <w:r>
        <w:rPr/>
        <w:t>swing</w:t>
      </w:r>
      <w:r>
        <w:rPr>
          <w:spacing w:val="40"/>
        </w:rPr>
        <w:t> </w:t>
      </w:r>
      <w:r>
        <w:rPr/>
        <w:t>trader,</w:t>
      </w:r>
      <w:r>
        <w:rPr>
          <w:spacing w:val="40"/>
        </w:rPr>
        <w:t> </w:t>
      </w:r>
      <w:r>
        <w:rPr/>
        <w:t>position</w:t>
      </w:r>
      <w:r>
        <w:rPr>
          <w:spacing w:val="40"/>
        </w:rPr>
        <w:t> </w:t>
      </w:r>
      <w:r>
        <w:rPr/>
        <w:t>trader,</w:t>
      </w:r>
      <w:r>
        <w:rPr>
          <w:spacing w:val="40"/>
        </w:rPr>
        <w:t> </w:t>
      </w:r>
      <w:r>
        <w:rPr/>
        <w:t>or</w:t>
      </w:r>
      <w:r>
        <w:rPr>
          <w:spacing w:val="40"/>
        </w:rPr>
        <w:t> </w:t>
      </w:r>
      <w:r>
        <w:rPr/>
        <w:t>investor,</w:t>
      </w:r>
      <w:r>
        <w:rPr>
          <w:spacing w:val="40"/>
        </w:rPr>
        <w:t> </w:t>
      </w:r>
      <w:r>
        <w:rPr/>
        <w:t>you</w:t>
      </w:r>
      <w:r>
        <w:rPr>
          <w:spacing w:val="40"/>
        </w:rPr>
        <w:t> </w:t>
      </w:r>
      <w:r>
        <w:rPr/>
        <w:t>will find great value in this book, both as a teaching tool and as a reference, regardless of the markets you trade or your level of experience. I have analyzed</w:t>
      </w:r>
      <w:r>
        <w:rPr>
          <w:spacing w:val="40"/>
        </w:rPr>
        <w:t> </w:t>
      </w:r>
      <w:r>
        <w:rPr/>
        <w:t>the</w:t>
      </w:r>
      <w:r>
        <w:rPr>
          <w:spacing w:val="40"/>
        </w:rPr>
        <w:t> </w:t>
      </w:r>
      <w:r>
        <w:rPr/>
        <w:t>market</w:t>
      </w:r>
      <w:r>
        <w:rPr>
          <w:spacing w:val="40"/>
        </w:rPr>
        <w:t> </w:t>
      </w:r>
      <w:r>
        <w:rPr/>
        <w:t>every</w:t>
      </w:r>
      <w:r>
        <w:rPr>
          <w:spacing w:val="40"/>
        </w:rPr>
        <w:t> </w:t>
      </w:r>
      <w:r>
        <w:rPr/>
        <w:t>day</w:t>
      </w:r>
      <w:r>
        <w:rPr>
          <w:spacing w:val="40"/>
        </w:rPr>
        <w:t> </w:t>
      </w:r>
      <w:r>
        <w:rPr/>
        <w:t>for</w:t>
      </w:r>
      <w:r>
        <w:rPr>
          <w:spacing w:val="40"/>
        </w:rPr>
        <w:t> </w:t>
      </w:r>
      <w:r>
        <w:rPr/>
        <w:t>the</w:t>
      </w:r>
      <w:r>
        <w:rPr>
          <w:spacing w:val="40"/>
        </w:rPr>
        <w:t> </w:t>
      </w:r>
      <w:r>
        <w:rPr/>
        <w:t>past</w:t>
      </w:r>
      <w:r>
        <w:rPr>
          <w:spacing w:val="40"/>
        </w:rPr>
        <w:t> </w:t>
      </w:r>
      <w:r>
        <w:rPr/>
        <w:t>twelve</w:t>
      </w:r>
      <w:r>
        <w:rPr>
          <w:spacing w:val="40"/>
        </w:rPr>
        <w:t> </w:t>
      </w:r>
      <w:r>
        <w:rPr/>
        <w:t>years</w:t>
      </w:r>
      <w:r>
        <w:rPr>
          <w:spacing w:val="40"/>
        </w:rPr>
        <w:t> </w:t>
      </w:r>
      <w:r>
        <w:rPr/>
        <w:t>and</w:t>
      </w:r>
      <w:r>
        <w:rPr>
          <w:spacing w:val="40"/>
        </w:rPr>
        <w:t> </w:t>
      </w:r>
      <w:r>
        <w:rPr/>
        <w:t>have cultivated the techniques in this book into a fine art using the best leading indicators</w:t>
      </w:r>
      <w:r>
        <w:rPr>
          <w:spacing w:val="40"/>
        </w:rPr>
        <w:t> </w:t>
      </w:r>
      <w:r>
        <w:rPr/>
        <w:t>available</w:t>
      </w:r>
      <w:r>
        <w:rPr>
          <w:spacing w:val="40"/>
        </w:rPr>
        <w:t> </w:t>
      </w:r>
      <w:r>
        <w:rPr/>
        <w:t>to</w:t>
      </w:r>
      <w:r>
        <w:rPr>
          <w:spacing w:val="40"/>
        </w:rPr>
        <w:t> </w:t>
      </w:r>
      <w:r>
        <w:rPr/>
        <w:t>traders.</w:t>
      </w:r>
      <w:r>
        <w:rPr>
          <w:spacing w:val="40"/>
        </w:rPr>
        <w:t> </w:t>
      </w:r>
      <w:r>
        <w:rPr/>
        <w:t>I</w:t>
      </w:r>
      <w:r>
        <w:rPr>
          <w:spacing w:val="40"/>
        </w:rPr>
        <w:t> </w:t>
      </w:r>
      <w:r>
        <w:rPr/>
        <w:t>truly</w:t>
      </w:r>
      <w:r>
        <w:rPr>
          <w:spacing w:val="40"/>
        </w:rPr>
        <w:t> </w:t>
      </w:r>
      <w:r>
        <w:rPr/>
        <w:t>believe</w:t>
      </w:r>
      <w:r>
        <w:rPr>
          <w:spacing w:val="40"/>
        </w:rPr>
        <w:t> </w:t>
      </w:r>
      <w:r>
        <w:rPr/>
        <w:t>the</w:t>
      </w:r>
      <w:r>
        <w:rPr>
          <w:spacing w:val="40"/>
        </w:rPr>
        <w:t> </w:t>
      </w:r>
      <w:r>
        <w:rPr/>
        <w:t>concepts</w:t>
      </w:r>
      <w:r>
        <w:rPr>
          <w:spacing w:val="40"/>
        </w:rPr>
        <w:t> </w:t>
      </w:r>
      <w:r>
        <w:rPr/>
        <w:t>in</w:t>
      </w:r>
      <w:r>
        <w:rPr>
          <w:spacing w:val="40"/>
        </w:rPr>
        <w:t> </w:t>
      </w:r>
      <w:r>
        <w:rPr/>
        <w:t>this</w:t>
      </w:r>
      <w:r>
        <w:rPr>
          <w:spacing w:val="40"/>
        </w:rPr>
        <w:t> </w:t>
      </w:r>
      <w:r>
        <w:rPr/>
        <w:t>book will</w:t>
      </w:r>
      <w:r>
        <w:rPr>
          <w:spacing w:val="32"/>
        </w:rPr>
        <w:t> </w:t>
      </w:r>
      <w:r>
        <w:rPr/>
        <w:t>help</w:t>
      </w:r>
      <w:r>
        <w:rPr>
          <w:spacing w:val="32"/>
        </w:rPr>
        <w:t> </w:t>
      </w:r>
      <w:r>
        <w:rPr/>
        <w:t>to</w:t>
      </w:r>
      <w:r>
        <w:rPr>
          <w:spacing w:val="32"/>
        </w:rPr>
        <w:t> </w:t>
      </w:r>
      <w:r>
        <w:rPr/>
        <w:t>guide</w:t>
      </w:r>
      <w:r>
        <w:rPr>
          <w:spacing w:val="32"/>
        </w:rPr>
        <w:t> </w:t>
      </w:r>
      <w:r>
        <w:rPr/>
        <w:t>you</w:t>
      </w:r>
      <w:r>
        <w:rPr>
          <w:spacing w:val="32"/>
        </w:rPr>
        <w:t> </w:t>
      </w:r>
      <w:r>
        <w:rPr/>
        <w:t>to</w:t>
      </w:r>
      <w:r>
        <w:rPr>
          <w:spacing w:val="32"/>
        </w:rPr>
        <w:t> </w:t>
      </w:r>
      <w:r>
        <w:rPr/>
        <w:t>a</w:t>
      </w:r>
      <w:r>
        <w:rPr>
          <w:spacing w:val="34"/>
        </w:rPr>
        <w:t> </w:t>
      </w:r>
      <w:r>
        <w:rPr/>
        <w:t>higher</w:t>
      </w:r>
      <w:r>
        <w:rPr>
          <w:spacing w:val="34"/>
        </w:rPr>
        <w:t> </w:t>
      </w:r>
      <w:r>
        <w:rPr/>
        <w:t>level</w:t>
      </w:r>
      <w:r>
        <w:rPr>
          <w:spacing w:val="34"/>
        </w:rPr>
        <w:t> </w:t>
      </w:r>
      <w:r>
        <w:rPr/>
        <w:t>of</w:t>
      </w:r>
      <w:r>
        <w:rPr>
          <w:spacing w:val="32"/>
        </w:rPr>
        <w:t> </w:t>
      </w:r>
      <w:r>
        <w:rPr/>
        <w:t>trading</w:t>
      </w:r>
      <w:r>
        <w:rPr>
          <w:spacing w:val="34"/>
        </w:rPr>
        <w:t> </w:t>
      </w:r>
      <w:r>
        <w:rPr/>
        <w:t>success.</w:t>
      </w:r>
    </w:p>
    <w:p>
      <w:pPr>
        <w:spacing w:after="0"/>
        <w:jc w:val="both"/>
        <w:sectPr>
          <w:pgSz w:w="8640" w:h="12960"/>
          <w:pgMar w:header="0" w:footer="1060" w:top="1060" w:bottom="1260" w:left="580" w:right="580"/>
        </w:sectPr>
      </w:pPr>
    </w:p>
    <w:p>
      <w:pPr>
        <w:pStyle w:val="BodyText"/>
        <w:spacing w:before="4"/>
        <w:rPr>
          <w:sz w:val="17"/>
        </w:rPr>
      </w:pPr>
    </w:p>
    <w:p>
      <w:pPr>
        <w:spacing w:after="0"/>
        <w:rPr>
          <w:sz w:val="17"/>
        </w:rPr>
        <w:sectPr>
          <w:footerReference w:type="even" r:id="rId8"/>
          <w:pgSz w:w="8640" w:h="12960"/>
          <w:pgMar w:footer="0" w:header="0" w:top="14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2"/>
        <w:spacing w:before="183"/>
        <w:rPr>
          <w:sz w:val="180"/>
        </w:rPr>
      </w:pPr>
      <w:r>
        <w:rPr/>
        <w:pict>
          <v:line style="position:absolute;mso-position-horizontal-relative:page;mso-position-vertical-relative:paragraph;z-index:-19686400" from="53.279999pt,104.033447pt" to="387.719999pt,104.033447pt" stroked="true" strokeweight=".75pt" strokecolor="#000000">
            <v:stroke dashstyle="solid"/>
            <w10:wrap type="none"/>
          </v:line>
        </w:pict>
      </w:r>
      <w:bookmarkStart w:name="_TOC_250088" w:id="3"/>
      <w:r>
        <w:rPr>
          <w:w w:val="105"/>
        </w:rPr>
        <w:t>C H A P T E R</w:t>
      </w:r>
      <w:r>
        <w:rPr>
          <w:spacing w:val="-1"/>
          <w:w w:val="105"/>
        </w:rPr>
        <w:t> </w:t>
      </w:r>
      <w:bookmarkEnd w:id="3"/>
      <w:r>
        <w:rPr>
          <w:spacing w:val="-12"/>
          <w:w w:val="105"/>
          <w:sz w:val="180"/>
        </w:rPr>
        <w:t>1</w:t>
      </w:r>
    </w:p>
    <w:p>
      <w:pPr>
        <w:pStyle w:val="Heading1"/>
        <w:ind w:right="136"/>
        <w:jc w:val="right"/>
      </w:pPr>
      <w:r>
        <w:rPr>
          <w:smallCaps/>
          <w:spacing w:val="-2"/>
          <w:w w:val="90"/>
        </w:rPr>
        <w:t>Understanding</w:t>
      </w:r>
    </w:p>
    <w:p>
      <w:pPr>
        <w:spacing w:before="124"/>
        <w:ind w:left="0" w:right="137" w:firstLine="0"/>
        <w:jc w:val="right"/>
        <w:rPr>
          <w:sz w:val="72"/>
        </w:rPr>
      </w:pPr>
      <w:r>
        <w:rPr>
          <w:smallCaps/>
          <w:spacing w:val="-8"/>
          <w:sz w:val="72"/>
        </w:rPr>
        <w:t>Markets</w:t>
      </w:r>
    </w:p>
    <w:p>
      <w:pPr>
        <w:spacing w:line="276" w:lineRule="auto" w:before="414"/>
        <w:ind w:left="1219" w:right="0" w:firstLine="0"/>
        <w:jc w:val="left"/>
        <w:rPr>
          <w:i/>
          <w:sz w:val="22"/>
        </w:rPr>
      </w:pPr>
      <w:r>
        <w:rPr>
          <w:i/>
          <w:sz w:val="22"/>
        </w:rPr>
        <w:t>“Nowhere</w:t>
      </w:r>
      <w:r>
        <w:rPr>
          <w:i/>
          <w:spacing w:val="80"/>
          <w:sz w:val="22"/>
        </w:rPr>
        <w:t> </w:t>
      </w:r>
      <w:r>
        <w:rPr>
          <w:i/>
          <w:sz w:val="22"/>
        </w:rPr>
        <w:t>does</w:t>
      </w:r>
      <w:r>
        <w:rPr>
          <w:i/>
          <w:spacing w:val="80"/>
          <w:sz w:val="22"/>
        </w:rPr>
        <w:t> </w:t>
      </w:r>
      <w:r>
        <w:rPr>
          <w:i/>
          <w:sz w:val="22"/>
        </w:rPr>
        <w:t>history</w:t>
      </w:r>
      <w:r>
        <w:rPr>
          <w:i/>
          <w:spacing w:val="80"/>
          <w:sz w:val="22"/>
        </w:rPr>
        <w:t> </w:t>
      </w:r>
      <w:r>
        <w:rPr>
          <w:i/>
          <w:sz w:val="22"/>
        </w:rPr>
        <w:t>indulge</w:t>
      </w:r>
      <w:r>
        <w:rPr>
          <w:i/>
          <w:spacing w:val="80"/>
          <w:sz w:val="22"/>
        </w:rPr>
        <w:t> </w:t>
      </w:r>
      <w:r>
        <w:rPr>
          <w:i/>
          <w:sz w:val="22"/>
        </w:rPr>
        <w:t>in</w:t>
      </w:r>
      <w:r>
        <w:rPr>
          <w:i/>
          <w:spacing w:val="80"/>
          <w:sz w:val="22"/>
        </w:rPr>
        <w:t> </w:t>
      </w:r>
      <w:r>
        <w:rPr>
          <w:i/>
          <w:sz w:val="22"/>
        </w:rPr>
        <w:t>repetitions</w:t>
      </w:r>
      <w:r>
        <w:rPr>
          <w:i/>
          <w:spacing w:val="80"/>
          <w:sz w:val="22"/>
        </w:rPr>
        <w:t> </w:t>
      </w:r>
      <w:r>
        <w:rPr>
          <w:i/>
          <w:sz w:val="22"/>
        </w:rPr>
        <w:t>so</w:t>
      </w:r>
      <w:r>
        <w:rPr>
          <w:i/>
          <w:spacing w:val="80"/>
          <w:sz w:val="22"/>
        </w:rPr>
        <w:t> </w:t>
      </w:r>
      <w:r>
        <w:rPr>
          <w:i/>
          <w:sz w:val="22"/>
        </w:rPr>
        <w:t>often</w:t>
      </w:r>
      <w:r>
        <w:rPr>
          <w:i/>
          <w:spacing w:val="80"/>
          <w:sz w:val="22"/>
        </w:rPr>
        <w:t> </w:t>
      </w:r>
      <w:r>
        <w:rPr>
          <w:i/>
          <w:sz w:val="22"/>
        </w:rPr>
        <w:t>or</w:t>
      </w:r>
      <w:r>
        <w:rPr>
          <w:i/>
          <w:spacing w:val="80"/>
          <w:sz w:val="22"/>
        </w:rPr>
        <w:t> </w:t>
      </w:r>
      <w:r>
        <w:rPr>
          <w:i/>
          <w:sz w:val="22"/>
        </w:rPr>
        <w:t>so</w:t>
      </w:r>
      <w:r>
        <w:rPr>
          <w:i/>
          <w:sz w:val="22"/>
        </w:rPr>
        <w:t> uniformly as in Wall Street.”</w:t>
      </w:r>
    </w:p>
    <w:p>
      <w:pPr>
        <w:pStyle w:val="BodyText"/>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spacing w:before="188"/>
        <w:ind w:left="499" w:right="135" w:firstLine="432"/>
        <w:jc w:val="both"/>
      </w:pPr>
      <w:r>
        <w:rPr/>
        <w:t>About a month ago, I woke up filled with excitement about the upcoming trading day. I had a feeling that a huge breakout was going to be seen</w:t>
      </w:r>
      <w:r>
        <w:rPr>
          <w:spacing w:val="-2"/>
        </w:rPr>
        <w:t> </w:t>
      </w:r>
      <w:r>
        <w:rPr/>
        <w:t>in</w:t>
      </w:r>
      <w:r>
        <w:rPr>
          <w:spacing w:val="-2"/>
        </w:rPr>
        <w:t> </w:t>
      </w:r>
      <w:r>
        <w:rPr/>
        <w:t>the</w:t>
      </w:r>
      <w:r>
        <w:rPr>
          <w:spacing w:val="-2"/>
        </w:rPr>
        <w:t> </w:t>
      </w:r>
      <w:r>
        <w:rPr/>
        <w:t>market</w:t>
      </w:r>
      <w:r>
        <w:rPr>
          <w:spacing w:val="-2"/>
        </w:rPr>
        <w:t> </w:t>
      </w:r>
      <w:r>
        <w:rPr/>
        <w:t>and</w:t>
      </w:r>
      <w:r>
        <w:rPr>
          <w:spacing w:val="-2"/>
        </w:rPr>
        <w:t> </w:t>
      </w:r>
      <w:r>
        <w:rPr/>
        <w:t>I</w:t>
      </w:r>
      <w:r>
        <w:rPr>
          <w:spacing w:val="-2"/>
        </w:rPr>
        <w:t> </w:t>
      </w:r>
      <w:r>
        <w:rPr/>
        <w:t>wanted</w:t>
      </w:r>
      <w:r>
        <w:rPr>
          <w:spacing w:val="-2"/>
        </w:rPr>
        <w:t> </w:t>
      </w:r>
      <w:r>
        <w:rPr/>
        <w:t>to</w:t>
      </w:r>
      <w:r>
        <w:rPr>
          <w:spacing w:val="-2"/>
        </w:rPr>
        <w:t> </w:t>
      </w:r>
      <w:r>
        <w:rPr/>
        <w:t>be</w:t>
      </w:r>
      <w:r>
        <w:rPr>
          <w:spacing w:val="-2"/>
        </w:rPr>
        <w:t> </w:t>
      </w:r>
      <w:r>
        <w:rPr/>
        <w:t>sure</w:t>
      </w:r>
      <w:r>
        <w:rPr>
          <w:spacing w:val="-2"/>
        </w:rPr>
        <w:t> </w:t>
      </w:r>
      <w:r>
        <w:rPr/>
        <w:t>that</w:t>
      </w:r>
      <w:r>
        <w:rPr>
          <w:spacing w:val="-2"/>
        </w:rPr>
        <w:t> </w:t>
      </w:r>
      <w:r>
        <w:rPr/>
        <w:t>I</w:t>
      </w:r>
      <w:r>
        <w:rPr>
          <w:spacing w:val="-2"/>
        </w:rPr>
        <w:t> </w:t>
      </w:r>
      <w:r>
        <w:rPr/>
        <w:t>profited</w:t>
      </w:r>
      <w:r>
        <w:rPr>
          <w:spacing w:val="-2"/>
        </w:rPr>
        <w:t> </w:t>
      </w:r>
      <w:r>
        <w:rPr/>
        <w:t>from</w:t>
      </w:r>
      <w:r>
        <w:rPr>
          <w:spacing w:val="-2"/>
        </w:rPr>
        <w:t> </w:t>
      </w:r>
      <w:r>
        <w:rPr/>
        <w:t>the</w:t>
      </w:r>
      <w:r>
        <w:rPr>
          <w:spacing w:val="-2"/>
        </w:rPr>
        <w:t> </w:t>
      </w:r>
      <w:r>
        <w:rPr/>
        <w:t>move.</w:t>
      </w:r>
      <w:r>
        <w:rPr>
          <w:spacing w:val="-2"/>
        </w:rPr>
        <w:t> </w:t>
      </w:r>
      <w:r>
        <w:rPr/>
        <w:t>This type of move only occurs two or three times a month, but the amount of money you can make during these few days can be incredible. Using the techniques</w:t>
      </w:r>
      <w:r>
        <w:rPr>
          <w:spacing w:val="6"/>
        </w:rPr>
        <w:t> </w:t>
      </w:r>
      <w:r>
        <w:rPr/>
        <w:t>that</w:t>
      </w:r>
      <w:r>
        <w:rPr>
          <w:spacing w:val="6"/>
        </w:rPr>
        <w:t> </w:t>
      </w:r>
      <w:r>
        <w:rPr/>
        <w:t>I</w:t>
      </w:r>
      <w:r>
        <w:rPr>
          <w:spacing w:val="6"/>
        </w:rPr>
        <w:t> </w:t>
      </w:r>
      <w:r>
        <w:rPr/>
        <w:t>will</w:t>
      </w:r>
      <w:r>
        <w:rPr>
          <w:spacing w:val="7"/>
        </w:rPr>
        <w:t> </w:t>
      </w:r>
      <w:r>
        <w:rPr/>
        <w:t>teach</w:t>
      </w:r>
      <w:r>
        <w:rPr>
          <w:spacing w:val="6"/>
        </w:rPr>
        <w:t> </w:t>
      </w:r>
      <w:r>
        <w:rPr/>
        <w:t>in</w:t>
      </w:r>
      <w:r>
        <w:rPr>
          <w:spacing w:val="6"/>
        </w:rPr>
        <w:t> </w:t>
      </w:r>
      <w:r>
        <w:rPr/>
        <w:t>this</w:t>
      </w:r>
      <w:r>
        <w:rPr>
          <w:spacing w:val="7"/>
        </w:rPr>
        <w:t> </w:t>
      </w:r>
      <w:r>
        <w:rPr/>
        <w:t>book,</w:t>
      </w:r>
      <w:r>
        <w:rPr>
          <w:spacing w:val="6"/>
        </w:rPr>
        <w:t> </w:t>
      </w:r>
      <w:r>
        <w:rPr/>
        <w:t>I</w:t>
      </w:r>
      <w:r>
        <w:rPr>
          <w:spacing w:val="6"/>
        </w:rPr>
        <w:t> </w:t>
      </w:r>
      <w:r>
        <w:rPr/>
        <w:t>was</w:t>
      </w:r>
      <w:r>
        <w:rPr>
          <w:spacing w:val="7"/>
        </w:rPr>
        <w:t> </w:t>
      </w:r>
      <w:r>
        <w:rPr/>
        <w:t>able</w:t>
      </w:r>
      <w:r>
        <w:rPr>
          <w:spacing w:val="7"/>
        </w:rPr>
        <w:t> </w:t>
      </w:r>
      <w:r>
        <w:rPr/>
        <w:t>to</w:t>
      </w:r>
      <w:r>
        <w:rPr>
          <w:spacing w:val="6"/>
        </w:rPr>
        <w:t> </w:t>
      </w:r>
      <w:r>
        <w:rPr/>
        <w:t>pinpoint</w:t>
      </w:r>
      <w:r>
        <w:rPr>
          <w:spacing w:val="7"/>
        </w:rPr>
        <w:t> </w:t>
      </w:r>
      <w:r>
        <w:rPr/>
        <w:t>the</w:t>
      </w:r>
      <w:r>
        <w:rPr>
          <w:spacing w:val="6"/>
        </w:rPr>
        <w:t> </w:t>
      </w:r>
      <w:r>
        <w:rPr>
          <w:spacing w:val="-2"/>
        </w:rPr>
        <w:t>explosive</w:t>
      </w:r>
    </w:p>
    <w:p>
      <w:pPr>
        <w:spacing w:after="0"/>
        <w:jc w:val="both"/>
        <w:sectPr>
          <w:footerReference w:type="default" r:id="rId9"/>
          <w:footerReference w:type="even" r:id="rId10"/>
          <w:pgSz w:w="8640" w:h="12960"/>
          <w:pgMar w:footer="1060" w:header="0" w:top="1480" w:bottom="1260" w:left="580" w:right="580"/>
          <w:pgNumType w:start="13"/>
        </w:sectPr>
      </w:pPr>
    </w:p>
    <w:p>
      <w:pPr>
        <w:pStyle w:val="BodyText"/>
        <w:spacing w:before="5"/>
        <w:rPr>
          <w:sz w:val="18"/>
        </w:rPr>
      </w:pPr>
    </w:p>
    <w:p>
      <w:pPr>
        <w:pStyle w:val="BodyText"/>
        <w:spacing w:before="64"/>
        <w:ind w:left="140" w:right="497"/>
        <w:jc w:val="both"/>
      </w:pPr>
      <w:r>
        <w:rPr/>
        <w:t>breakout that occurred on this day </w:t>
      </w:r>
      <w:r>
        <w:rPr>
          <w:i/>
        </w:rPr>
        <w:t>before </w:t>
      </w:r>
      <w:r>
        <w:rPr/>
        <w:t>the opening print was even recorded. How did I do this? By having a keen understanding of market dynamics and pivot point concepts. Needless to say, the market experienced</w:t>
      </w:r>
      <w:r>
        <w:rPr>
          <w:spacing w:val="40"/>
        </w:rPr>
        <w:t> </w:t>
      </w:r>
      <w:r>
        <w:rPr/>
        <w:t>a major rally on this day, allowing me to capture a healthy five-figure gain in just one session! The trades I took on this day, like the one shown in Figure 1.1, were easily identifiable using the concepts in this book, and I will show you exactly how to find them.</w:t>
      </w:r>
    </w:p>
    <w:p>
      <w:pPr>
        <w:pStyle w:val="BodyText"/>
        <w:spacing w:before="2"/>
        <w:rPr>
          <w:sz w:val="20"/>
        </w:rPr>
      </w:pPr>
      <w:r>
        <w:rPr/>
        <w:drawing>
          <wp:anchor distT="0" distB="0" distL="0" distR="0" allowOverlap="1" layoutInCell="1" locked="0" behindDoc="0" simplePos="0" relativeHeight="2">
            <wp:simplePos x="0" y="0"/>
            <wp:positionH relativeFrom="page">
              <wp:posOffset>457200</wp:posOffset>
            </wp:positionH>
            <wp:positionV relativeFrom="paragraph">
              <wp:posOffset>162900</wp:posOffset>
            </wp:positionV>
            <wp:extent cx="4343302" cy="3111722"/>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3" cstate="print"/>
                    <a:stretch>
                      <a:fillRect/>
                    </a:stretch>
                  </pic:blipFill>
                  <pic:spPr>
                    <a:xfrm>
                      <a:off x="0" y="0"/>
                      <a:ext cx="4343302" cy="3111722"/>
                    </a:xfrm>
                    <a:prstGeom prst="rect">
                      <a:avLst/>
                    </a:prstGeom>
                  </pic:spPr>
                </pic:pic>
              </a:graphicData>
            </a:graphic>
          </wp:anchor>
        </w:drawing>
      </w:r>
    </w:p>
    <w:p>
      <w:pPr>
        <w:spacing w:before="0"/>
        <w:ind w:left="140" w:right="0" w:firstLine="0"/>
        <w:jc w:val="both"/>
        <w:rPr>
          <w:sz w:val="16"/>
        </w:rPr>
      </w:pPr>
      <w:r>
        <w:rPr>
          <w:sz w:val="16"/>
        </w:rPr>
        <w:t>FIGURE 1.1:</w:t>
      </w:r>
      <w:r>
        <w:rPr>
          <w:spacing w:val="1"/>
          <w:sz w:val="16"/>
        </w:rPr>
        <w:t> </w:t>
      </w:r>
      <w:r>
        <w:rPr>
          <w:sz w:val="16"/>
        </w:rPr>
        <w:t>The</w:t>
      </w:r>
      <w:r>
        <w:rPr>
          <w:spacing w:val="1"/>
          <w:sz w:val="16"/>
        </w:rPr>
        <w:t> </w:t>
      </w:r>
      <w:r>
        <w:rPr>
          <w:sz w:val="16"/>
        </w:rPr>
        <w:t>concepts in this book will</w:t>
      </w:r>
      <w:r>
        <w:rPr>
          <w:spacing w:val="1"/>
          <w:sz w:val="16"/>
        </w:rPr>
        <w:t> </w:t>
      </w:r>
      <w:r>
        <w:rPr>
          <w:sz w:val="16"/>
        </w:rPr>
        <w:t>help you identify this trade before it</w:t>
      </w:r>
      <w:r>
        <w:rPr>
          <w:spacing w:val="1"/>
          <w:sz w:val="16"/>
        </w:rPr>
        <w:t> </w:t>
      </w:r>
      <w:r>
        <w:rPr>
          <w:spacing w:val="-2"/>
          <w:sz w:val="16"/>
        </w:rPr>
        <w:t>happens.</w:t>
      </w:r>
    </w:p>
    <w:p>
      <w:pPr>
        <w:pStyle w:val="BodyText"/>
        <w:spacing w:before="7"/>
        <w:rPr>
          <w:sz w:val="21"/>
        </w:rPr>
      </w:pPr>
    </w:p>
    <w:p>
      <w:pPr>
        <w:pStyle w:val="BodyText"/>
        <w:spacing w:before="1"/>
        <w:ind w:left="139" w:right="496" w:firstLine="432"/>
        <w:jc w:val="both"/>
      </w:pPr>
      <w:r>
        <w:rPr/>
        <w:t>However, before an aspiring trader can learn to make money in this game, he or she must first obtain a proper understanding of the market. Too often, novice traders race out of the gate in search of sizzling setups and</w:t>
      </w:r>
      <w:r>
        <w:rPr>
          <w:spacing w:val="40"/>
        </w:rPr>
        <w:t> </w:t>
      </w:r>
      <w:r>
        <w:rPr/>
        <w:t>black box mechanical trading systems, without ever understanding fully the role of the marketplace and its buyers and sellers. To have a chance at profiting from the market, you must have a firm understanding of market dynamics. Understanding, after all, is the operative word. As you make your way through this book, you will learn many definitions, concepts, and setups as they pertain to the market. However, your ability to gain the most out of the information will come from the evolution of your learning into true understanding. The ability to understand why the market is behaving the way that</w:t>
      </w:r>
      <w:r>
        <w:rPr>
          <w:spacing w:val="16"/>
        </w:rPr>
        <w:t> </w:t>
      </w:r>
      <w:r>
        <w:rPr/>
        <w:t>it</w:t>
      </w:r>
      <w:r>
        <w:rPr>
          <w:spacing w:val="16"/>
        </w:rPr>
        <w:t> </w:t>
      </w:r>
      <w:r>
        <w:rPr/>
        <w:t>is</w:t>
      </w:r>
      <w:r>
        <w:rPr>
          <w:spacing w:val="18"/>
        </w:rPr>
        <w:t> </w:t>
      </w:r>
      <w:r>
        <w:rPr/>
        <w:t>will</w:t>
      </w:r>
      <w:r>
        <w:rPr>
          <w:spacing w:val="17"/>
        </w:rPr>
        <w:t> </w:t>
      </w:r>
      <w:r>
        <w:rPr/>
        <w:t>allow</w:t>
      </w:r>
      <w:r>
        <w:rPr>
          <w:spacing w:val="16"/>
        </w:rPr>
        <w:t> </w:t>
      </w:r>
      <w:r>
        <w:rPr/>
        <w:t>you</w:t>
      </w:r>
      <w:r>
        <w:rPr>
          <w:spacing w:val="17"/>
        </w:rPr>
        <w:t> </w:t>
      </w:r>
      <w:r>
        <w:rPr/>
        <w:t>to</w:t>
      </w:r>
      <w:r>
        <w:rPr>
          <w:spacing w:val="15"/>
        </w:rPr>
        <w:t> </w:t>
      </w:r>
      <w:r>
        <w:rPr/>
        <w:t>innately</w:t>
      </w:r>
      <w:r>
        <w:rPr>
          <w:spacing w:val="16"/>
        </w:rPr>
        <w:t> </w:t>
      </w:r>
      <w:r>
        <w:rPr/>
        <w:t>anticipate</w:t>
      </w:r>
      <w:r>
        <w:rPr>
          <w:spacing w:val="18"/>
        </w:rPr>
        <w:t> </w:t>
      </w:r>
      <w:r>
        <w:rPr/>
        <w:t>market</w:t>
      </w:r>
      <w:r>
        <w:rPr>
          <w:spacing w:val="17"/>
        </w:rPr>
        <w:t> </w:t>
      </w:r>
      <w:r>
        <w:rPr/>
        <w:t>behavior</w:t>
      </w:r>
      <w:r>
        <w:rPr>
          <w:spacing w:val="16"/>
        </w:rPr>
        <w:t> </w:t>
      </w:r>
      <w:r>
        <w:rPr/>
        <w:t>and</w:t>
      </w:r>
      <w:r>
        <w:rPr>
          <w:spacing w:val="17"/>
        </w:rPr>
        <w:t> </w:t>
      </w:r>
      <w:r>
        <w:rPr>
          <w:spacing w:val="-2"/>
        </w:rPr>
        <w:t>pinpoint</w:t>
      </w:r>
    </w:p>
    <w:p>
      <w:pPr>
        <w:spacing w:after="0"/>
        <w:jc w:val="both"/>
        <w:sectPr>
          <w:headerReference w:type="even" r:id="rId11"/>
          <w:headerReference w:type="default" r:id="rId12"/>
          <w:pgSz w:w="8640" w:h="12960"/>
          <w:pgMar w:header="579" w:footer="1060" w:top="760" w:bottom="1260" w:left="580" w:right="580"/>
        </w:sectPr>
      </w:pPr>
    </w:p>
    <w:p>
      <w:pPr>
        <w:pStyle w:val="BodyText"/>
        <w:spacing w:before="3"/>
      </w:pPr>
    </w:p>
    <w:p>
      <w:pPr>
        <w:pStyle w:val="BodyText"/>
        <w:spacing w:before="64"/>
        <w:ind w:left="500" w:right="224"/>
      </w:pPr>
      <w:r>
        <w:rPr/>
        <w:t>entries and exits using the tools and techniques in this book. In many cases,</w:t>
      </w:r>
      <w:r>
        <w:rPr>
          <w:spacing w:val="40"/>
        </w:rPr>
        <w:t> </w:t>
      </w:r>
      <w:r>
        <w:rPr/>
        <w:t>to begin to understand the market is to first understand the auction process.</w:t>
      </w:r>
    </w:p>
    <w:p>
      <w:pPr>
        <w:pStyle w:val="BodyText"/>
      </w:pPr>
    </w:p>
    <w:p>
      <w:pPr>
        <w:pStyle w:val="Heading3"/>
        <w:ind w:left="500"/>
      </w:pPr>
      <w:r>
        <w:rPr/>
        <w:pict>
          <v:shape style="position:absolute;margin-left:54.779999pt;margin-top:18.230324pt;width:341pt;height:.1pt;mso-position-horizontal-relative:page;mso-position-vertical-relative:paragraph;z-index:-15727104;mso-wrap-distance-left:0;mso-wrap-distance-right:0" id="docshape15" coordorigin="1096,365" coordsize="6820,0" path="m1096,365l7915,365e" filled="false" stroked="true" strokeweight=".75pt" strokecolor="#000000">
            <v:path arrowok="t"/>
            <v:stroke dashstyle="solid"/>
            <w10:wrap type="topAndBottom"/>
          </v:shape>
        </w:pict>
      </w:r>
      <w:bookmarkStart w:name="_TOC_250087" w:id="4"/>
      <w:r>
        <w:rPr>
          <w:smallCaps/>
        </w:rPr>
        <w:t>The</w:t>
      </w:r>
      <w:r>
        <w:rPr>
          <w:smallCaps/>
          <w:spacing w:val="-9"/>
        </w:rPr>
        <w:t> </w:t>
      </w:r>
      <w:r>
        <w:rPr>
          <w:smallCaps/>
        </w:rPr>
        <w:t>Auction</w:t>
      </w:r>
      <w:r>
        <w:rPr>
          <w:smallCaps/>
          <w:spacing w:val="-9"/>
        </w:rPr>
        <w:t> </w:t>
      </w:r>
      <w:bookmarkEnd w:id="4"/>
      <w:r>
        <w:rPr>
          <w:smallCaps/>
          <w:spacing w:val="-2"/>
        </w:rPr>
        <w:t>Process</w:t>
      </w:r>
    </w:p>
    <w:p>
      <w:pPr>
        <w:pStyle w:val="BodyText"/>
        <w:spacing w:before="203"/>
        <w:ind w:left="500" w:right="135" w:firstLine="432"/>
        <w:jc w:val="both"/>
      </w:pPr>
      <w:r>
        <w:rPr/>
        <w:t>The role of the marketplace is to facilitate trade between buyers and sellers. Price will auction higher and lower as it attempts to find an area where trade can be easily facilitated. If price opens too low, it will auction higher to find sellers, and if price is too high, it will auction lower to find buyers.</w:t>
      </w:r>
      <w:r>
        <w:rPr>
          <w:spacing w:val="-1"/>
        </w:rPr>
        <w:t> </w:t>
      </w:r>
      <w:r>
        <w:rPr/>
        <w:t>If</w:t>
      </w:r>
      <w:r>
        <w:rPr>
          <w:spacing w:val="-2"/>
        </w:rPr>
        <w:t> </w:t>
      </w:r>
      <w:r>
        <w:rPr/>
        <w:t>you</w:t>
      </w:r>
      <w:r>
        <w:rPr>
          <w:spacing w:val="-1"/>
        </w:rPr>
        <w:t> </w:t>
      </w:r>
      <w:r>
        <w:rPr/>
        <w:t>put</w:t>
      </w:r>
      <w:r>
        <w:rPr>
          <w:spacing w:val="-2"/>
        </w:rPr>
        <w:t> </w:t>
      </w:r>
      <w:r>
        <w:rPr/>
        <w:t>this</w:t>
      </w:r>
      <w:r>
        <w:rPr>
          <w:spacing w:val="-2"/>
        </w:rPr>
        <w:t> </w:t>
      </w:r>
      <w:r>
        <w:rPr/>
        <w:t>into</w:t>
      </w:r>
      <w:r>
        <w:rPr>
          <w:spacing w:val="-2"/>
        </w:rPr>
        <w:t> </w:t>
      </w:r>
      <w:r>
        <w:rPr/>
        <w:t>an</w:t>
      </w:r>
      <w:r>
        <w:rPr>
          <w:spacing w:val="-1"/>
        </w:rPr>
        <w:t> </w:t>
      </w:r>
      <w:r>
        <w:rPr/>
        <w:t>easily</w:t>
      </w:r>
      <w:r>
        <w:rPr>
          <w:spacing w:val="-2"/>
        </w:rPr>
        <w:t> </w:t>
      </w:r>
      <w:r>
        <w:rPr/>
        <w:t>understood</w:t>
      </w:r>
      <w:r>
        <w:rPr>
          <w:spacing w:val="-1"/>
        </w:rPr>
        <w:t> </w:t>
      </w:r>
      <w:r>
        <w:rPr/>
        <w:t>framework,</w:t>
      </w:r>
      <w:r>
        <w:rPr>
          <w:spacing w:val="-2"/>
        </w:rPr>
        <w:t> </w:t>
      </w:r>
      <w:r>
        <w:rPr/>
        <w:t>you</w:t>
      </w:r>
      <w:r>
        <w:rPr>
          <w:spacing w:val="-1"/>
        </w:rPr>
        <w:t> </w:t>
      </w:r>
      <w:r>
        <w:rPr/>
        <w:t>will</w:t>
      </w:r>
      <w:r>
        <w:rPr>
          <w:spacing w:val="-1"/>
        </w:rPr>
        <w:t> </w:t>
      </w:r>
      <w:r>
        <w:rPr/>
        <w:t>come</w:t>
      </w:r>
      <w:r>
        <w:rPr>
          <w:spacing w:val="-1"/>
        </w:rPr>
        <w:t> </w:t>
      </w:r>
      <w:r>
        <w:rPr/>
        <w:t>to see that this information makes complete sense. If an original painting by Pablo Picasso were to be auctioned for a starting bid of $10 on the open market,</w:t>
      </w:r>
      <w:r>
        <w:rPr/>
        <w:t> buyers would enter the market en masse because price is too low. Buyers would drive price higher until the last buyer stood alone, essentially ending the auction with the sale, likely for a price in the tens of millions of dollars. However, what would happen if I were to auction off a painting by my one-year-old daughter with a starting bid of $1 million dollars? Obviously, the starting bid is too high; the price would begin to auction</w:t>
      </w:r>
      <w:r>
        <w:rPr>
          <w:spacing w:val="80"/>
        </w:rPr>
        <w:t> </w:t>
      </w:r>
      <w:r>
        <w:rPr/>
        <w:t>lower in search of buyers. Eventually, price would auction low enough to</w:t>
      </w:r>
      <w:r>
        <w:rPr>
          <w:spacing w:val="40"/>
        </w:rPr>
        <w:t> </w:t>
      </w:r>
      <w:r>
        <w:rPr/>
        <w:t>find a buyer, perhaps her loving grandmother, for a mere $10.</w:t>
      </w:r>
    </w:p>
    <w:p>
      <w:pPr>
        <w:pStyle w:val="BodyText"/>
        <w:ind w:left="500" w:right="134" w:firstLine="432"/>
        <w:jc w:val="both"/>
      </w:pPr>
      <w:r>
        <w:rPr/>
        <w:t>Price continually moves higher and lower in search of the best value to both buyers and sellers. Buyers will enter the market when they feel price is below value, while sellers will enter the market when they believe price is overvalued. This will be a consistent theme over the course of the book. It boggles my</w:t>
      </w:r>
      <w:r>
        <w:rPr>
          <w:spacing w:val="-1"/>
        </w:rPr>
        <w:t> </w:t>
      </w:r>
      <w:r>
        <w:rPr/>
        <w:t>mind how a novice trader can be a smart shopper in the everyday marketplace, but become a completely different person when engaging the stock and futures markets.</w:t>
      </w:r>
    </w:p>
    <w:p>
      <w:pPr>
        <w:pStyle w:val="BodyText"/>
        <w:ind w:left="500" w:right="137" w:firstLine="432"/>
        <w:jc w:val="both"/>
      </w:pPr>
      <w:r>
        <w:rPr/>
        <w:t>Meet Novice Joe, who is a fantastic shopper when it comes to food, clothes, and even cars, but throws all of his instincts out of the window when it comes to trading. Joe loves to eat lobster, but he knows that this can be an expensive habit, so he must buy when the price of lobster is below value. He keenly observes the price of lobster regularly and knows that the average price per pound is about $10.99. As you can expect, when the price per</w:t>
      </w:r>
      <w:r>
        <w:rPr>
          <w:spacing w:val="40"/>
        </w:rPr>
        <w:t> </w:t>
      </w:r>
      <w:r>
        <w:rPr/>
        <w:t>pound drops to $6.99 he pounces on the offer and buys several pounds.</w:t>
      </w:r>
    </w:p>
    <w:p>
      <w:pPr>
        <w:pStyle w:val="BodyText"/>
        <w:ind w:left="500" w:right="136" w:firstLine="432"/>
        <w:jc w:val="both"/>
      </w:pPr>
      <w:r>
        <w:rPr/>
        <w:t>The very next morning, however, Joe engages the stock or futures market in a completely different manner. Instead of waiting on value, as he did</w:t>
      </w:r>
      <w:r>
        <w:rPr>
          <w:spacing w:val="-3"/>
        </w:rPr>
        <w:t> </w:t>
      </w:r>
      <w:r>
        <w:rPr/>
        <w:t>with</w:t>
      </w:r>
      <w:r>
        <w:rPr>
          <w:spacing w:val="-4"/>
        </w:rPr>
        <w:t> </w:t>
      </w:r>
      <w:r>
        <w:rPr/>
        <w:t>the</w:t>
      </w:r>
      <w:r>
        <w:rPr>
          <w:spacing w:val="-3"/>
        </w:rPr>
        <w:t> </w:t>
      </w:r>
      <w:r>
        <w:rPr/>
        <w:t>lobster,</w:t>
      </w:r>
      <w:r>
        <w:rPr>
          <w:spacing w:val="-3"/>
        </w:rPr>
        <w:t> </w:t>
      </w:r>
      <w:r>
        <w:rPr/>
        <w:t>he</w:t>
      </w:r>
      <w:r>
        <w:rPr>
          <w:spacing w:val="-3"/>
        </w:rPr>
        <w:t> </w:t>
      </w:r>
      <w:r>
        <w:rPr/>
        <w:t>hastily</w:t>
      </w:r>
      <w:r>
        <w:rPr>
          <w:spacing w:val="-4"/>
        </w:rPr>
        <w:t> </w:t>
      </w:r>
      <w:r>
        <w:rPr/>
        <w:t>pulls</w:t>
      </w:r>
      <w:r>
        <w:rPr>
          <w:spacing w:val="-3"/>
        </w:rPr>
        <w:t> </w:t>
      </w:r>
      <w:r>
        <w:rPr/>
        <w:t>the</w:t>
      </w:r>
      <w:r>
        <w:rPr>
          <w:spacing w:val="-3"/>
        </w:rPr>
        <w:t> </w:t>
      </w:r>
      <w:r>
        <w:rPr/>
        <w:t>trigger</w:t>
      </w:r>
      <w:r>
        <w:rPr>
          <w:spacing w:val="-3"/>
        </w:rPr>
        <w:t> </w:t>
      </w:r>
      <w:r>
        <w:rPr/>
        <w:t>at</w:t>
      </w:r>
      <w:r>
        <w:rPr>
          <w:spacing w:val="-3"/>
        </w:rPr>
        <w:t> </w:t>
      </w:r>
      <w:r>
        <w:rPr/>
        <w:t>the</w:t>
      </w:r>
      <w:r>
        <w:rPr>
          <w:spacing w:val="-3"/>
        </w:rPr>
        <w:t> </w:t>
      </w:r>
      <w:r>
        <w:rPr/>
        <w:t>most</w:t>
      </w:r>
      <w:r>
        <w:rPr>
          <w:spacing w:val="-4"/>
        </w:rPr>
        <w:t> </w:t>
      </w:r>
      <w:r>
        <w:rPr/>
        <w:t>inopportune</w:t>
      </w:r>
      <w:r>
        <w:rPr>
          <w:spacing w:val="-3"/>
        </w:rPr>
        <w:t> </w:t>
      </w:r>
      <w:r>
        <w:rPr/>
        <w:t>times, buying when the market is overvalued, and selling when the market is undervalued. Essentially, his trading behaviors would translate into his buying lobster at $15.99 per pound, which he would never do. The concept</w:t>
      </w:r>
      <w:r>
        <w:rPr>
          <w:spacing w:val="80"/>
        </w:rPr>
        <w:t> </w:t>
      </w:r>
      <w:r>
        <w:rPr/>
        <w:t>of</w:t>
      </w:r>
      <w:r>
        <w:rPr>
          <w:spacing w:val="40"/>
        </w:rPr>
        <w:t> </w:t>
      </w:r>
      <w:r>
        <w:rPr/>
        <w:t>value</w:t>
      </w:r>
      <w:r>
        <w:rPr>
          <w:spacing w:val="40"/>
        </w:rPr>
        <w:t> </w:t>
      </w:r>
      <w:r>
        <w:rPr/>
        <w:t>is</w:t>
      </w:r>
      <w:r>
        <w:rPr>
          <w:spacing w:val="40"/>
        </w:rPr>
        <w:t> </w:t>
      </w:r>
      <w:r>
        <w:rPr/>
        <w:t>easily</w:t>
      </w:r>
      <w:r>
        <w:rPr>
          <w:spacing w:val="40"/>
        </w:rPr>
        <w:t> </w:t>
      </w:r>
      <w:r>
        <w:rPr/>
        <w:t>understood,</w:t>
      </w:r>
      <w:r>
        <w:rPr>
          <w:spacing w:val="40"/>
        </w:rPr>
        <w:t> </w:t>
      </w:r>
      <w:r>
        <w:rPr/>
        <w:t>but</w:t>
      </w:r>
      <w:r>
        <w:rPr>
          <w:spacing w:val="40"/>
        </w:rPr>
        <w:t> </w:t>
      </w:r>
      <w:r>
        <w:rPr/>
        <w:t>consistently</w:t>
      </w:r>
      <w:r>
        <w:rPr>
          <w:spacing w:val="40"/>
        </w:rPr>
        <w:t> </w:t>
      </w:r>
      <w:r>
        <w:rPr/>
        <w:t>applying</w:t>
      </w:r>
      <w:r>
        <w:rPr>
          <w:spacing w:val="40"/>
        </w:rPr>
        <w:t> </w:t>
      </w:r>
      <w:r>
        <w:rPr/>
        <w:t>it</w:t>
      </w:r>
      <w:r>
        <w:rPr>
          <w:spacing w:val="40"/>
        </w:rPr>
        <w:t> </w:t>
      </w:r>
      <w:r>
        <w:rPr/>
        <w:t>to</w:t>
      </w:r>
      <w:r>
        <w:rPr>
          <w:spacing w:val="40"/>
        </w:rPr>
        <w:t> </w:t>
      </w:r>
      <w:r>
        <w:rPr/>
        <w:t>the</w:t>
      </w:r>
      <w:r>
        <w:rPr>
          <w:spacing w:val="40"/>
        </w:rPr>
        <w:t> </w:t>
      </w:r>
      <w:r>
        <w:rPr/>
        <w:t>market</w:t>
      </w:r>
    </w:p>
    <w:p>
      <w:pPr>
        <w:spacing w:after="0"/>
        <w:jc w:val="both"/>
        <w:sectPr>
          <w:footerReference w:type="default" r:id="rId14"/>
          <w:footerReference w:type="even" r:id="rId15"/>
          <w:pgSz w:w="8640" w:h="12960"/>
          <w:pgMar w:footer="1060" w:header="536" w:top="720" w:bottom="1260" w:left="580" w:right="580"/>
          <w:pgNumType w:start="15"/>
        </w:sectPr>
      </w:pPr>
    </w:p>
    <w:p>
      <w:pPr>
        <w:pStyle w:val="BodyText"/>
        <w:spacing w:before="5"/>
        <w:rPr>
          <w:sz w:val="18"/>
        </w:rPr>
      </w:pPr>
    </w:p>
    <w:p>
      <w:pPr>
        <w:pStyle w:val="BodyText"/>
        <w:spacing w:before="64"/>
        <w:ind w:left="140" w:right="496"/>
        <w:jc w:val="both"/>
      </w:pPr>
      <w:r>
        <w:rPr/>
        <w:t>occurs with experience, which can only be obtained through vigorous study and practice.</w:t>
      </w:r>
    </w:p>
    <w:p>
      <w:pPr>
        <w:pStyle w:val="BodyText"/>
        <w:spacing w:before="1"/>
        <w:ind w:left="140" w:right="495" w:firstLine="432"/>
        <w:jc w:val="both"/>
      </w:pPr>
      <w:r>
        <w:rPr/>
        <w:t>Sometimes, price needs to probe higher in order to find a compromise between buyers and sellers, while other times price needs to probe lower before finding an agreeable price. Imagine a local cake baker that has just opened her bakery and is currently in the price discovery phase. Jennifer, owner of Just Baked Cakes, is unsure of the market value of her cakes and initially</w:t>
      </w:r>
      <w:r>
        <w:rPr>
          <w:spacing w:val="-4"/>
        </w:rPr>
        <w:t> </w:t>
      </w:r>
      <w:r>
        <w:rPr/>
        <w:t>lists</w:t>
      </w:r>
      <w:r>
        <w:rPr>
          <w:spacing w:val="-3"/>
        </w:rPr>
        <w:t> </w:t>
      </w:r>
      <w:r>
        <w:rPr/>
        <w:t>her</w:t>
      </w:r>
      <w:r>
        <w:rPr>
          <w:spacing w:val="-3"/>
        </w:rPr>
        <w:t> </w:t>
      </w:r>
      <w:r>
        <w:rPr/>
        <w:t>cakes</w:t>
      </w:r>
      <w:r>
        <w:rPr>
          <w:spacing w:val="-3"/>
        </w:rPr>
        <w:t> </w:t>
      </w:r>
      <w:r>
        <w:rPr/>
        <w:t>to</w:t>
      </w:r>
      <w:r>
        <w:rPr>
          <w:spacing w:val="-3"/>
        </w:rPr>
        <w:t> </w:t>
      </w:r>
      <w:r>
        <w:rPr/>
        <w:t>sell</w:t>
      </w:r>
      <w:r>
        <w:rPr>
          <w:spacing w:val="-3"/>
        </w:rPr>
        <w:t> </w:t>
      </w:r>
      <w:r>
        <w:rPr/>
        <w:t>at</w:t>
      </w:r>
      <w:r>
        <w:rPr>
          <w:spacing w:val="-3"/>
        </w:rPr>
        <w:t> </w:t>
      </w:r>
      <w:r>
        <w:rPr/>
        <w:t>$20</w:t>
      </w:r>
      <w:r>
        <w:rPr>
          <w:spacing w:val="-3"/>
        </w:rPr>
        <w:t> </w:t>
      </w:r>
      <w:r>
        <w:rPr/>
        <w:t>apiece.</w:t>
      </w:r>
      <w:r>
        <w:rPr>
          <w:spacing w:val="-3"/>
        </w:rPr>
        <w:t> </w:t>
      </w:r>
      <w:r>
        <w:rPr/>
        <w:t>The</w:t>
      </w:r>
      <w:r>
        <w:rPr>
          <w:spacing w:val="-2"/>
        </w:rPr>
        <w:t> </w:t>
      </w:r>
      <w:r>
        <w:rPr/>
        <w:t>market</w:t>
      </w:r>
      <w:r>
        <w:rPr>
          <w:spacing w:val="-3"/>
        </w:rPr>
        <w:t> </w:t>
      </w:r>
      <w:r>
        <w:rPr/>
        <w:t>clearly</w:t>
      </w:r>
      <w:r>
        <w:rPr>
          <w:spacing w:val="-3"/>
        </w:rPr>
        <w:t> </w:t>
      </w:r>
      <w:r>
        <w:rPr/>
        <w:t>sees</w:t>
      </w:r>
      <w:r>
        <w:rPr>
          <w:spacing w:val="-3"/>
        </w:rPr>
        <w:t> </w:t>
      </w:r>
      <w:r>
        <w:rPr/>
        <w:t>this</w:t>
      </w:r>
      <w:r>
        <w:rPr>
          <w:spacing w:val="-3"/>
        </w:rPr>
        <w:t> </w:t>
      </w:r>
      <w:r>
        <w:rPr/>
        <w:t>price as below value, as evidenced by the boom of orders she receives. She sold 100</w:t>
      </w:r>
      <w:r>
        <w:rPr>
          <w:spacing w:val="-2"/>
        </w:rPr>
        <w:t> </w:t>
      </w:r>
      <w:r>
        <w:rPr/>
        <w:t>cakes</w:t>
      </w:r>
      <w:r>
        <w:rPr>
          <w:spacing w:val="-2"/>
        </w:rPr>
        <w:t> </w:t>
      </w:r>
      <w:r>
        <w:rPr/>
        <w:t>in</w:t>
      </w:r>
      <w:r>
        <w:rPr>
          <w:spacing w:val="-3"/>
        </w:rPr>
        <w:t> </w:t>
      </w:r>
      <w:r>
        <w:rPr/>
        <w:t>her</w:t>
      </w:r>
      <w:r>
        <w:rPr>
          <w:spacing w:val="-2"/>
        </w:rPr>
        <w:t> </w:t>
      </w:r>
      <w:r>
        <w:rPr/>
        <w:t>first</w:t>
      </w:r>
      <w:r>
        <w:rPr>
          <w:spacing w:val="-2"/>
        </w:rPr>
        <w:t> </w:t>
      </w:r>
      <w:r>
        <w:rPr/>
        <w:t>week</w:t>
      </w:r>
      <w:r>
        <w:rPr>
          <w:spacing w:val="-1"/>
        </w:rPr>
        <w:t> </w:t>
      </w:r>
      <w:r>
        <w:rPr/>
        <w:t>and</w:t>
      </w:r>
      <w:r>
        <w:rPr>
          <w:spacing w:val="-2"/>
        </w:rPr>
        <w:t> </w:t>
      </w:r>
      <w:r>
        <w:rPr/>
        <w:t>is</w:t>
      </w:r>
      <w:r>
        <w:rPr>
          <w:spacing w:val="-2"/>
        </w:rPr>
        <w:t> </w:t>
      </w:r>
      <w:r>
        <w:rPr/>
        <w:t>extremely</w:t>
      </w:r>
      <w:r>
        <w:rPr>
          <w:spacing w:val="-2"/>
        </w:rPr>
        <w:t> </w:t>
      </w:r>
      <w:r>
        <w:rPr/>
        <w:t>excited.</w:t>
      </w:r>
      <w:r>
        <w:rPr>
          <w:spacing w:val="-2"/>
        </w:rPr>
        <w:t> </w:t>
      </w:r>
      <w:r>
        <w:rPr/>
        <w:t>However,</w:t>
      </w:r>
      <w:r>
        <w:rPr>
          <w:spacing w:val="-2"/>
        </w:rPr>
        <w:t> </w:t>
      </w:r>
      <w:r>
        <w:rPr/>
        <w:t>she</w:t>
      </w:r>
      <w:r>
        <w:rPr>
          <w:spacing w:val="-2"/>
        </w:rPr>
        <w:t> </w:t>
      </w:r>
      <w:r>
        <w:rPr/>
        <w:t>decides</w:t>
      </w:r>
      <w:r>
        <w:rPr>
          <w:spacing w:val="-2"/>
        </w:rPr>
        <w:t> </w:t>
      </w:r>
      <w:r>
        <w:rPr/>
        <w:t>to raise the price to $30 to see how the market will respond. She is delighted to see that her orders remained constant at 100 cakes per week, meaning that buyers still feel that her cakes are a value at the current price. She feels the need to probe even higher in order to maximize her profit potential,</w:t>
      </w:r>
      <w:r>
        <w:rPr>
          <w:spacing w:val="80"/>
        </w:rPr>
        <w:t> </w:t>
      </w:r>
      <w:r>
        <w:rPr/>
        <w:t>therefore, she raises the price of her cakes to $35 apiece. This time, however, the market responded with fewer orders to buy, as she only received 75 orders. She quickly reinstates the $30 price tag and feels confident that she has reached a fair facilitation of trade between buyer and seller.</w:t>
      </w:r>
    </w:p>
    <w:p>
      <w:pPr>
        <w:pStyle w:val="BodyText"/>
        <w:ind w:left="140" w:right="498" w:firstLine="432"/>
        <w:jc w:val="both"/>
      </w:pPr>
      <w:r>
        <w:rPr/>
        <w:t>This example paints a vivid picture of why you will see price rally through resistance only to sell off sharply, or drop through support only to rally with conviction. Sometimes the market must break to rally, and break out to sell off. The market is constantly searching for the best area for trade facilitation, and usually needs confirmation at an extreme before it can proceed on its merry way. To understand the auction process further, let’s understand its participants: buyers and sellers.</w:t>
      </w:r>
    </w:p>
    <w:p>
      <w:pPr>
        <w:pStyle w:val="BodyText"/>
        <w:spacing w:before="9"/>
        <w:rPr>
          <w:sz w:val="21"/>
        </w:rPr>
      </w:pPr>
    </w:p>
    <w:p>
      <w:pPr>
        <w:pStyle w:val="Heading3"/>
        <w:spacing w:before="1"/>
        <w:jc w:val="both"/>
      </w:pPr>
      <w:r>
        <w:rPr/>
        <w:pict>
          <v:shape style="position:absolute;margin-left:36.779999pt;margin-top:18.340321pt;width:341pt;height:.1pt;mso-position-horizontal-relative:page;mso-position-vertical-relative:paragraph;z-index:-15726592;mso-wrap-distance-left:0;mso-wrap-distance-right:0" id="docshape16" coordorigin="736,367" coordsize="6820,0" path="m736,367l7555,367e" filled="false" stroked="true" strokeweight=".75pt" strokecolor="#000000">
            <v:path arrowok="t"/>
            <v:stroke dashstyle="solid"/>
            <w10:wrap type="topAndBottom"/>
          </v:shape>
        </w:pict>
      </w:r>
      <w:bookmarkStart w:name="_TOC_250086" w:id="5"/>
      <w:r>
        <w:rPr>
          <w:smallCaps/>
        </w:rPr>
        <w:t>The</w:t>
      </w:r>
      <w:r>
        <w:rPr>
          <w:smallCaps/>
          <w:spacing w:val="-11"/>
        </w:rPr>
        <w:t> </w:t>
      </w:r>
      <w:r>
        <w:rPr>
          <w:smallCaps/>
        </w:rPr>
        <w:t>Types</w:t>
      </w:r>
      <w:r>
        <w:rPr>
          <w:smallCaps/>
          <w:spacing w:val="-6"/>
        </w:rPr>
        <w:t> </w:t>
      </w:r>
      <w:r>
        <w:rPr>
          <w:smallCaps/>
        </w:rPr>
        <w:t>of</w:t>
      </w:r>
      <w:r>
        <w:rPr>
          <w:smallCaps/>
          <w:spacing w:val="-7"/>
        </w:rPr>
        <w:t> </w:t>
      </w:r>
      <w:r>
        <w:rPr>
          <w:smallCaps/>
        </w:rPr>
        <w:t>Buyers</w:t>
      </w:r>
      <w:r>
        <w:rPr>
          <w:smallCaps/>
          <w:spacing w:val="-14"/>
        </w:rPr>
        <w:t> </w:t>
      </w:r>
      <w:r>
        <w:rPr>
          <w:smallCaps/>
        </w:rPr>
        <w:t>and</w:t>
      </w:r>
      <w:r>
        <w:rPr>
          <w:smallCaps/>
          <w:spacing w:val="-7"/>
        </w:rPr>
        <w:t> </w:t>
      </w:r>
      <w:bookmarkEnd w:id="5"/>
      <w:r>
        <w:rPr>
          <w:smallCaps/>
          <w:spacing w:val="-2"/>
        </w:rPr>
        <w:t>Sellers</w:t>
      </w:r>
    </w:p>
    <w:p>
      <w:pPr>
        <w:pStyle w:val="BodyText"/>
        <w:spacing w:before="202"/>
        <w:ind w:left="140" w:right="495" w:firstLine="432"/>
        <w:jc w:val="both"/>
      </w:pPr>
      <w:r>
        <w:rPr/>
        <w:t>The role of the marketplace is to facilitate trade between buyers and sellers. However, every buyer is not the same, nor is every seller. There are two types of buyers and two types of sellers. The ability to distinguish between these categories will allow you to anticipate upcoming price movement and behavior. That is, understanding whether price is moving due to a responsive reaction on the part of a buyer or seller, versus price movement caused by initiative participation, goes a long way toward understanding how price will react.</w:t>
      </w:r>
    </w:p>
    <w:p>
      <w:pPr>
        <w:pStyle w:val="BodyText"/>
        <w:spacing w:before="2"/>
      </w:pPr>
    </w:p>
    <w:p>
      <w:pPr>
        <w:spacing w:before="0"/>
        <w:ind w:left="425" w:right="519" w:hanging="101"/>
        <w:jc w:val="left"/>
        <w:rPr>
          <w:i/>
          <w:sz w:val="22"/>
        </w:rPr>
      </w:pPr>
      <w:r>
        <w:rPr>
          <w:i/>
          <w:sz w:val="22"/>
        </w:rPr>
        <w:t>Your</w:t>
      </w:r>
      <w:r>
        <w:rPr>
          <w:i/>
          <w:spacing w:val="-4"/>
          <w:sz w:val="22"/>
        </w:rPr>
        <w:t> </w:t>
      </w:r>
      <w:r>
        <w:rPr>
          <w:i/>
          <w:sz w:val="22"/>
        </w:rPr>
        <w:t>ability</w:t>
      </w:r>
      <w:r>
        <w:rPr>
          <w:i/>
          <w:spacing w:val="-4"/>
          <w:sz w:val="22"/>
        </w:rPr>
        <w:t> </w:t>
      </w:r>
      <w:r>
        <w:rPr>
          <w:i/>
          <w:sz w:val="22"/>
        </w:rPr>
        <w:t>to</w:t>
      </w:r>
      <w:r>
        <w:rPr>
          <w:i/>
          <w:spacing w:val="-4"/>
          <w:sz w:val="22"/>
        </w:rPr>
        <w:t> </w:t>
      </w:r>
      <w:r>
        <w:rPr>
          <w:i/>
          <w:sz w:val="22"/>
        </w:rPr>
        <w:t>determine</w:t>
      </w:r>
      <w:r>
        <w:rPr>
          <w:i/>
          <w:spacing w:val="-4"/>
          <w:sz w:val="22"/>
        </w:rPr>
        <w:t> </w:t>
      </w:r>
      <w:r>
        <w:rPr>
          <w:i/>
          <w:sz w:val="22"/>
        </w:rPr>
        <w:t>which</w:t>
      </w:r>
      <w:r>
        <w:rPr>
          <w:i/>
          <w:spacing w:val="-4"/>
          <w:sz w:val="22"/>
        </w:rPr>
        <w:t> </w:t>
      </w:r>
      <w:r>
        <w:rPr>
          <w:i/>
          <w:sz w:val="22"/>
        </w:rPr>
        <w:t>market</w:t>
      </w:r>
      <w:r>
        <w:rPr>
          <w:i/>
          <w:spacing w:val="-3"/>
          <w:sz w:val="22"/>
        </w:rPr>
        <w:t> </w:t>
      </w:r>
      <w:r>
        <w:rPr>
          <w:i/>
          <w:sz w:val="22"/>
        </w:rPr>
        <w:t>participants</w:t>
      </w:r>
      <w:r>
        <w:rPr>
          <w:i/>
          <w:spacing w:val="-6"/>
          <w:sz w:val="22"/>
        </w:rPr>
        <w:t> </w:t>
      </w:r>
      <w:r>
        <w:rPr>
          <w:i/>
          <w:sz w:val="22"/>
        </w:rPr>
        <w:t>are</w:t>
      </w:r>
      <w:r>
        <w:rPr>
          <w:i/>
          <w:spacing w:val="-4"/>
          <w:sz w:val="22"/>
        </w:rPr>
        <w:t> </w:t>
      </w:r>
      <w:r>
        <w:rPr>
          <w:i/>
          <w:sz w:val="22"/>
        </w:rPr>
        <w:t>influencing</w:t>
      </w:r>
      <w:r>
        <w:rPr>
          <w:i/>
          <w:spacing w:val="-4"/>
          <w:sz w:val="22"/>
        </w:rPr>
        <w:t> </w:t>
      </w:r>
      <w:r>
        <w:rPr>
          <w:i/>
          <w:sz w:val="22"/>
        </w:rPr>
        <w:t>price</w:t>
      </w:r>
      <w:r>
        <w:rPr>
          <w:i/>
          <w:sz w:val="22"/>
        </w:rPr>
        <w:t> will allow you to judge the conviction and behavior of price movement.</w:t>
      </w:r>
    </w:p>
    <w:p>
      <w:pPr>
        <w:spacing w:after="0"/>
        <w:jc w:val="left"/>
        <w:rPr>
          <w:sz w:val="22"/>
        </w:rPr>
        <w:sectPr>
          <w:pgSz w:w="8640" w:h="12960"/>
          <w:pgMar w:header="579" w:footer="1060" w:top="760" w:bottom="1260" w:left="580" w:right="580"/>
        </w:sectPr>
      </w:pPr>
    </w:p>
    <w:p>
      <w:pPr>
        <w:pStyle w:val="BodyText"/>
        <w:spacing w:before="3"/>
        <w:rPr>
          <w:i/>
        </w:rPr>
      </w:pPr>
    </w:p>
    <w:p>
      <w:pPr>
        <w:pStyle w:val="BodyText"/>
        <w:spacing w:before="64"/>
        <w:ind w:left="500" w:right="135" w:firstLine="432"/>
        <w:jc w:val="both"/>
      </w:pPr>
      <w:r>
        <w:rPr/>
        <w:t>A</w:t>
      </w:r>
      <w:r>
        <w:rPr>
          <w:spacing w:val="-1"/>
        </w:rPr>
        <w:t> </w:t>
      </w:r>
      <w:r>
        <w:rPr/>
        <w:t>buyer</w:t>
      </w:r>
      <w:r>
        <w:rPr>
          <w:spacing w:val="-1"/>
        </w:rPr>
        <w:t> </w:t>
      </w:r>
      <w:r>
        <w:rPr/>
        <w:t>that</w:t>
      </w:r>
      <w:r>
        <w:rPr>
          <w:spacing w:val="-2"/>
        </w:rPr>
        <w:t> </w:t>
      </w:r>
      <w:r>
        <w:rPr/>
        <w:t>enters</w:t>
      </w:r>
      <w:r>
        <w:rPr>
          <w:spacing w:val="-1"/>
        </w:rPr>
        <w:t> </w:t>
      </w:r>
      <w:r>
        <w:rPr/>
        <w:t>the market</w:t>
      </w:r>
      <w:r>
        <w:rPr>
          <w:spacing w:val="-1"/>
        </w:rPr>
        <w:t> </w:t>
      </w:r>
      <w:r>
        <w:rPr/>
        <w:t>when</w:t>
      </w:r>
      <w:r>
        <w:rPr>
          <w:spacing w:val="-1"/>
        </w:rPr>
        <w:t> </w:t>
      </w:r>
      <w:r>
        <w:rPr/>
        <w:t>price</w:t>
      </w:r>
      <w:r>
        <w:rPr>
          <w:spacing w:val="-1"/>
        </w:rPr>
        <w:t> </w:t>
      </w:r>
      <w:r>
        <w:rPr/>
        <w:t>is </w:t>
      </w:r>
      <w:r>
        <w:rPr>
          <w:i/>
        </w:rPr>
        <w:t>below value</w:t>
      </w:r>
      <w:r>
        <w:rPr>
          <w:i/>
          <w:spacing w:val="-1"/>
        </w:rPr>
        <w:t> </w:t>
      </w:r>
      <w:r>
        <w:rPr/>
        <w:t>is</w:t>
      </w:r>
      <w:r>
        <w:rPr>
          <w:spacing w:val="-1"/>
        </w:rPr>
        <w:t> </w:t>
      </w:r>
      <w:r>
        <w:rPr/>
        <w:t>considered</w:t>
      </w:r>
      <w:r>
        <w:rPr>
          <w:spacing w:val="-1"/>
        </w:rPr>
        <w:t> </w:t>
      </w:r>
      <w:r>
        <w:rPr/>
        <w:t>a </w:t>
      </w:r>
      <w:r>
        <w:rPr>
          <w:i/>
        </w:rPr>
        <w:t>responsive buyer</w:t>
      </w:r>
      <w:r>
        <w:rPr/>
        <w:t>. In essence, Novice Joe was a responsive buyer when he waited until the price of lobster dropped to $6.99 per pound before entering the market. Likewise, a </w:t>
      </w:r>
      <w:r>
        <w:rPr>
          <w:i/>
        </w:rPr>
        <w:t>responsive seller </w:t>
      </w:r>
      <w:r>
        <w:rPr/>
        <w:t>waits until price is </w:t>
      </w:r>
      <w:r>
        <w:rPr>
          <w:i/>
        </w:rPr>
        <w:t>above value</w:t>
      </w:r>
      <w:r>
        <w:rPr>
          <w:i/>
        </w:rPr>
        <w:t> </w:t>
      </w:r>
      <w:r>
        <w:rPr/>
        <w:t>before entering the market with sell orders. Responsive buying and selling will typically</w:t>
      </w:r>
      <w:r>
        <w:rPr>
          <w:spacing w:val="-1"/>
        </w:rPr>
        <w:t> </w:t>
      </w:r>
      <w:r>
        <w:rPr/>
        <w:t>drive price back toward the mean, sending price toward an area that is considered fair value by the market.</w:t>
      </w:r>
      <w:r>
        <w:rPr/>
        <w:t> Therefore, price movement is short-term oriented and lacks true conviction.</w:t>
      </w:r>
    </w:p>
    <w:p>
      <w:pPr>
        <w:pStyle w:val="BodyText"/>
        <w:spacing w:before="1"/>
        <w:ind w:left="500" w:right="134" w:firstLine="432"/>
        <w:jc w:val="both"/>
      </w:pPr>
      <w:r>
        <w:rPr/>
        <w:t>An </w:t>
      </w:r>
      <w:r>
        <w:rPr>
          <w:i/>
        </w:rPr>
        <w:t>initiative buyer </w:t>
      </w:r>
      <w:r>
        <w:rPr/>
        <w:t>enters the market when price is </w:t>
      </w:r>
      <w:r>
        <w:rPr>
          <w:i/>
        </w:rPr>
        <w:t>at or above value</w:t>
      </w:r>
      <w:r>
        <w:rPr/>
        <w:t>. This type of buyer is taking the initiative to push price to a higher area of value. If there was a shortage of lobster in Novice Joe’s area and additional lobster would not enter the market for another year, you may see Joe become an initiative buyer. In this case, Joe would aggressively look to buy all the lobster he could find, which would push price to a higher level of value. This type of buying would cause other buyers to enter the market en masse, causing price to explode to new heights. Along the same lines, an </w:t>
      </w:r>
      <w:r>
        <w:rPr>
          <w:i/>
        </w:rPr>
        <w:t>initiative</w:t>
      </w:r>
      <w:r>
        <w:rPr>
          <w:i/>
        </w:rPr>
        <w:t> seller </w:t>
      </w:r>
      <w:r>
        <w:rPr/>
        <w:t>is enters the market when price is </w:t>
      </w:r>
      <w:r>
        <w:rPr>
          <w:i/>
        </w:rPr>
        <w:t>at or below value</w:t>
      </w:r>
      <w:r>
        <w:rPr/>
        <w:t>. This seller is taking the initiative to push price to a lower area of value. Initiative participants have greater conviction behind their behaviors, which has a greater influence on price. These types of moves indicate a more confident buyer or seller, which is then reflected in aggressive price movement.</w:t>
      </w:r>
    </w:p>
    <w:p>
      <w:pPr>
        <w:pStyle w:val="BodyText"/>
        <w:ind w:left="500" w:right="137" w:firstLine="432"/>
        <w:jc w:val="both"/>
      </w:pPr>
      <w:r>
        <w:rPr/>
        <w:t>As you learn the concepts behind the book, begin to associate certain price behaviors or setups to initiative or responsive participation. This will allow you to continue to evolve in your understanding of the market and its </w:t>
      </w:r>
      <w:r>
        <w:rPr>
          <w:spacing w:val="-2"/>
        </w:rPr>
        <w:t>tendencies.</w:t>
      </w:r>
    </w:p>
    <w:p>
      <w:pPr>
        <w:pStyle w:val="BodyText"/>
        <w:spacing w:before="9"/>
        <w:rPr>
          <w:sz w:val="21"/>
        </w:rPr>
      </w:pPr>
    </w:p>
    <w:p>
      <w:pPr>
        <w:pStyle w:val="Heading3"/>
        <w:ind w:left="500"/>
      </w:pPr>
      <w:r>
        <w:rPr/>
        <w:pict>
          <v:shape style="position:absolute;margin-left:54.779999pt;margin-top:18.290319pt;width:341pt;height:.1pt;mso-position-horizontal-relative:page;mso-position-vertical-relative:paragraph;z-index:-15726080;mso-wrap-distance-left:0;mso-wrap-distance-right:0" id="docshape17" coordorigin="1096,366" coordsize="6820,0" path="m1096,366l7915,366e" filled="false" stroked="true" strokeweight=".75pt" strokecolor="#000000">
            <v:path arrowok="t"/>
            <v:stroke dashstyle="solid"/>
            <w10:wrap type="topAndBottom"/>
          </v:shape>
        </w:pict>
      </w:r>
      <w:bookmarkStart w:name="_TOC_250085" w:id="6"/>
      <w:r>
        <w:rPr>
          <w:smallCaps/>
          <w:spacing w:val="-2"/>
        </w:rPr>
        <w:t>Recycling</w:t>
      </w:r>
      <w:r>
        <w:rPr>
          <w:smallCaps/>
          <w:spacing w:val="2"/>
        </w:rPr>
        <w:t> </w:t>
      </w:r>
      <w:r>
        <w:rPr>
          <w:smallCaps/>
          <w:spacing w:val="-2"/>
        </w:rPr>
        <w:t>Market</w:t>
      </w:r>
      <w:r>
        <w:rPr>
          <w:smallCaps/>
        </w:rPr>
        <w:t> </w:t>
      </w:r>
      <w:bookmarkEnd w:id="6"/>
      <w:r>
        <w:rPr>
          <w:smallCaps/>
          <w:spacing w:val="-4"/>
        </w:rPr>
        <w:t>Days</w:t>
      </w:r>
    </w:p>
    <w:p>
      <w:pPr>
        <w:pStyle w:val="BodyText"/>
        <w:spacing w:before="202"/>
        <w:ind w:left="499" w:right="135" w:firstLine="432"/>
        <w:jc w:val="both"/>
      </w:pPr>
      <w:r>
        <w:rPr/>
        <w:t>I was teaching a trader boot camp recently when a trader asked how I would</w:t>
      </w:r>
      <w:r>
        <w:rPr>
          <w:spacing w:val="-3"/>
        </w:rPr>
        <w:t> </w:t>
      </w:r>
      <w:r>
        <w:rPr/>
        <w:t>have</w:t>
      </w:r>
      <w:r>
        <w:rPr>
          <w:spacing w:val="-2"/>
        </w:rPr>
        <w:t> </w:t>
      </w:r>
      <w:r>
        <w:rPr/>
        <w:t>traded</w:t>
      </w:r>
      <w:r>
        <w:rPr>
          <w:spacing w:val="-2"/>
        </w:rPr>
        <w:t> </w:t>
      </w:r>
      <w:r>
        <w:rPr/>
        <w:t>the</w:t>
      </w:r>
      <w:r>
        <w:rPr>
          <w:spacing w:val="-2"/>
        </w:rPr>
        <w:t> </w:t>
      </w:r>
      <w:r>
        <w:rPr/>
        <w:t>prior</w:t>
      </w:r>
      <w:r>
        <w:rPr>
          <w:spacing w:val="-4"/>
        </w:rPr>
        <w:t> </w:t>
      </w:r>
      <w:r>
        <w:rPr/>
        <w:t>day.</w:t>
      </w:r>
      <w:r>
        <w:rPr>
          <w:spacing w:val="-2"/>
        </w:rPr>
        <w:t> </w:t>
      </w:r>
      <w:r>
        <w:rPr/>
        <w:t>I</w:t>
      </w:r>
      <w:r>
        <w:rPr>
          <w:spacing w:val="-3"/>
        </w:rPr>
        <w:t> </w:t>
      </w:r>
      <w:r>
        <w:rPr/>
        <w:t>responded</w:t>
      </w:r>
      <w:r>
        <w:rPr>
          <w:spacing w:val="-2"/>
        </w:rPr>
        <w:t> </w:t>
      </w:r>
      <w:r>
        <w:rPr/>
        <w:t>that</w:t>
      </w:r>
      <w:r>
        <w:rPr>
          <w:spacing w:val="-2"/>
        </w:rPr>
        <w:t> </w:t>
      </w:r>
      <w:r>
        <w:rPr/>
        <w:t>the</w:t>
      </w:r>
      <w:r>
        <w:rPr>
          <w:spacing w:val="-2"/>
        </w:rPr>
        <w:t> </w:t>
      </w:r>
      <w:r>
        <w:rPr/>
        <w:t>prior</w:t>
      </w:r>
      <w:r>
        <w:rPr>
          <w:spacing w:val="-2"/>
        </w:rPr>
        <w:t> </w:t>
      </w:r>
      <w:r>
        <w:rPr/>
        <w:t>session</w:t>
      </w:r>
      <w:r>
        <w:rPr>
          <w:spacing w:val="-3"/>
        </w:rPr>
        <w:t> </w:t>
      </w:r>
      <w:r>
        <w:rPr/>
        <w:t>was</w:t>
      </w:r>
      <w:r>
        <w:rPr>
          <w:spacing w:val="-2"/>
        </w:rPr>
        <w:t> </w:t>
      </w:r>
      <w:r>
        <w:rPr/>
        <w:t>one</w:t>
      </w:r>
      <w:r>
        <w:rPr>
          <w:spacing w:val="-2"/>
        </w:rPr>
        <w:t> </w:t>
      </w:r>
      <w:r>
        <w:rPr/>
        <w:t>of the easiest days to trade. The market gapped up at the open and trended higher throughout the session, making it easy to buy and hold throughout the day, or buy the pull-backs along the way. He wasn’t so impressed with my </w:t>
      </w:r>
      <w:r>
        <w:rPr>
          <w:spacing w:val="-2"/>
        </w:rPr>
        <w:t>answer.</w:t>
      </w:r>
    </w:p>
    <w:p>
      <w:pPr>
        <w:pStyle w:val="BodyText"/>
      </w:pPr>
    </w:p>
    <w:p>
      <w:pPr>
        <w:spacing w:before="0"/>
        <w:ind w:left="1275" w:right="0" w:firstLine="0"/>
        <w:jc w:val="left"/>
        <w:rPr>
          <w:sz w:val="22"/>
        </w:rPr>
      </w:pPr>
      <w:r>
        <w:rPr>
          <w:sz w:val="22"/>
        </w:rPr>
        <w:t>“</w:t>
      </w:r>
      <w:r>
        <w:rPr>
          <w:i/>
          <w:sz w:val="22"/>
        </w:rPr>
        <w:t>That’s</w:t>
      </w:r>
      <w:r>
        <w:rPr>
          <w:i/>
          <w:spacing w:val="-4"/>
          <w:sz w:val="22"/>
        </w:rPr>
        <w:t> </w:t>
      </w:r>
      <w:r>
        <w:rPr>
          <w:i/>
          <w:sz w:val="22"/>
        </w:rPr>
        <w:t>easy</w:t>
      </w:r>
      <w:r>
        <w:rPr>
          <w:i/>
          <w:spacing w:val="-4"/>
          <w:sz w:val="22"/>
        </w:rPr>
        <w:t> </w:t>
      </w:r>
      <w:r>
        <w:rPr>
          <w:i/>
          <w:sz w:val="22"/>
        </w:rPr>
        <w:t>to</w:t>
      </w:r>
      <w:r>
        <w:rPr>
          <w:i/>
          <w:spacing w:val="-4"/>
          <w:sz w:val="22"/>
        </w:rPr>
        <w:t> </w:t>
      </w:r>
      <w:r>
        <w:rPr>
          <w:i/>
          <w:sz w:val="22"/>
        </w:rPr>
        <w:t>say</w:t>
      </w:r>
      <w:r>
        <w:rPr>
          <w:i/>
          <w:spacing w:val="-5"/>
          <w:sz w:val="22"/>
        </w:rPr>
        <w:t> </w:t>
      </w:r>
      <w:r>
        <w:rPr>
          <w:i/>
          <w:sz w:val="22"/>
        </w:rPr>
        <w:t>now,</w:t>
      </w:r>
      <w:r>
        <w:rPr>
          <w:i/>
          <w:spacing w:val="-3"/>
          <w:sz w:val="22"/>
        </w:rPr>
        <w:t> </w:t>
      </w:r>
      <w:r>
        <w:rPr>
          <w:i/>
          <w:sz w:val="22"/>
        </w:rPr>
        <w:t>since</w:t>
      </w:r>
      <w:r>
        <w:rPr>
          <w:i/>
          <w:spacing w:val="-4"/>
          <w:sz w:val="22"/>
        </w:rPr>
        <w:t> </w:t>
      </w:r>
      <w:r>
        <w:rPr>
          <w:i/>
          <w:sz w:val="22"/>
        </w:rPr>
        <w:t>you</w:t>
      </w:r>
      <w:r>
        <w:rPr>
          <w:i/>
          <w:spacing w:val="-4"/>
          <w:sz w:val="22"/>
        </w:rPr>
        <w:t> </w:t>
      </w:r>
      <w:r>
        <w:rPr>
          <w:i/>
          <w:sz w:val="22"/>
        </w:rPr>
        <w:t>have</w:t>
      </w:r>
      <w:r>
        <w:rPr>
          <w:i/>
          <w:spacing w:val="-4"/>
          <w:sz w:val="22"/>
        </w:rPr>
        <w:t> </w:t>
      </w:r>
      <w:r>
        <w:rPr>
          <w:i/>
          <w:sz w:val="22"/>
        </w:rPr>
        <w:t>hindsight,”</w:t>
      </w:r>
      <w:r>
        <w:rPr>
          <w:i/>
          <w:spacing w:val="-4"/>
          <w:sz w:val="22"/>
        </w:rPr>
        <w:t> </w:t>
      </w:r>
      <w:r>
        <w:rPr>
          <w:sz w:val="22"/>
        </w:rPr>
        <w:t>he</w:t>
      </w:r>
      <w:r>
        <w:rPr>
          <w:spacing w:val="-4"/>
          <w:sz w:val="22"/>
        </w:rPr>
        <w:t> </w:t>
      </w:r>
      <w:r>
        <w:rPr>
          <w:sz w:val="22"/>
        </w:rPr>
        <w:t>fired</w:t>
      </w:r>
      <w:r>
        <w:rPr>
          <w:spacing w:val="-5"/>
          <w:sz w:val="22"/>
        </w:rPr>
        <w:t> </w:t>
      </w:r>
      <w:r>
        <w:rPr>
          <w:spacing w:val="-2"/>
          <w:sz w:val="22"/>
        </w:rPr>
        <w:t>back.</w:t>
      </w:r>
    </w:p>
    <w:p>
      <w:pPr>
        <w:pStyle w:val="BodyText"/>
        <w:spacing w:before="1"/>
      </w:pPr>
    </w:p>
    <w:p>
      <w:pPr>
        <w:pStyle w:val="BodyText"/>
        <w:ind w:left="499" w:right="135" w:firstLine="432"/>
        <w:jc w:val="both"/>
      </w:pPr>
      <w:r>
        <w:rPr/>
        <w:t>The response I gave him is the same that I will share with you right</w:t>
      </w:r>
      <w:r>
        <w:rPr>
          <w:spacing w:val="40"/>
        </w:rPr>
        <w:t> </w:t>
      </w:r>
      <w:r>
        <w:rPr/>
        <w:t>now. Every market day is unique, but it is a clone of a prior day in history. Technical analysis works because trader psychology, and human psychology for that matter, never changes. It has been the same since the first exchange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5"/>
        <w:jc w:val="both"/>
      </w:pPr>
      <w:r>
        <w:rPr/>
        <w:t>opened its doors. However, most novice traders, and even experienced traders, do not make the correlation that every market day is a version of one that occurred in the past. As a matter of fact, many traders do not make this discovery for quite some time into their trading careers. But once they do, they begin to understand the market on an entirely different level, which allows them to anticipate market movement.</w:t>
      </w:r>
    </w:p>
    <w:p>
      <w:pPr>
        <w:pStyle w:val="BodyText"/>
        <w:ind w:left="140" w:right="497" w:firstLine="432"/>
        <w:jc w:val="both"/>
      </w:pPr>
      <w:r>
        <w:rPr/>
        <w:t>Think about the first time you heard a new song. You like the beat and you relate to the lyrics, but they are completely new to you. However, once you’ve heard this song five or six times, or even one hundred times, every lyric, beat, and drum solo has become engrained in your brain. You can anticipate the chorus and the upcoming instrumental solo. You can even identify the song by hearing a two-second snippet. Trading is no different. Once you’ve mastered the types of trading days that occur in the market, you will be able to anticipate reversals, breakouts, and even stalled markets with</w:t>
      </w:r>
      <w:r>
        <w:rPr>
          <w:spacing w:val="80"/>
        </w:rPr>
        <w:t> </w:t>
      </w:r>
      <w:r>
        <w:rPr/>
        <w:t>a high level of accuracy and authority.</w:t>
      </w:r>
    </w:p>
    <w:p>
      <w:pPr>
        <w:pStyle w:val="BodyText"/>
        <w:spacing w:before="1"/>
      </w:pPr>
    </w:p>
    <w:p>
      <w:pPr>
        <w:spacing w:before="0"/>
        <w:ind w:left="1226" w:right="0" w:hanging="1042"/>
        <w:jc w:val="left"/>
        <w:rPr>
          <w:i/>
          <w:sz w:val="22"/>
        </w:rPr>
      </w:pPr>
      <w:r>
        <w:rPr>
          <w:i/>
          <w:sz w:val="22"/>
        </w:rPr>
        <w:t>Trading</w:t>
      </w:r>
      <w:r>
        <w:rPr>
          <w:i/>
          <w:spacing w:val="-3"/>
          <w:sz w:val="22"/>
        </w:rPr>
        <w:t> </w:t>
      </w:r>
      <w:r>
        <w:rPr>
          <w:i/>
          <w:sz w:val="22"/>
        </w:rPr>
        <w:t>is</w:t>
      </w:r>
      <w:r>
        <w:rPr>
          <w:i/>
          <w:spacing w:val="-5"/>
          <w:sz w:val="22"/>
        </w:rPr>
        <w:t> </w:t>
      </w:r>
      <w:r>
        <w:rPr>
          <w:i/>
          <w:sz w:val="22"/>
        </w:rPr>
        <w:t>a</w:t>
      </w:r>
      <w:r>
        <w:rPr>
          <w:i/>
          <w:spacing w:val="-5"/>
          <w:sz w:val="22"/>
        </w:rPr>
        <w:t> </w:t>
      </w:r>
      <w:r>
        <w:rPr>
          <w:i/>
          <w:sz w:val="22"/>
        </w:rPr>
        <w:t>game</w:t>
      </w:r>
      <w:r>
        <w:rPr>
          <w:i/>
          <w:spacing w:val="-3"/>
          <w:sz w:val="22"/>
        </w:rPr>
        <w:t> </w:t>
      </w:r>
      <w:r>
        <w:rPr>
          <w:i/>
          <w:sz w:val="22"/>
        </w:rPr>
        <w:t>of</w:t>
      </w:r>
      <w:r>
        <w:rPr>
          <w:i/>
          <w:spacing w:val="-3"/>
          <w:sz w:val="22"/>
        </w:rPr>
        <w:t> </w:t>
      </w:r>
      <w:r>
        <w:rPr>
          <w:i/>
          <w:sz w:val="22"/>
        </w:rPr>
        <w:t>repetitions.</w:t>
      </w:r>
      <w:r>
        <w:rPr>
          <w:i/>
          <w:spacing w:val="-4"/>
          <w:sz w:val="22"/>
        </w:rPr>
        <w:t> </w:t>
      </w:r>
      <w:r>
        <w:rPr>
          <w:i/>
          <w:sz w:val="22"/>
        </w:rPr>
        <w:t>Traders</w:t>
      </w:r>
      <w:r>
        <w:rPr>
          <w:i/>
          <w:spacing w:val="-4"/>
          <w:sz w:val="22"/>
        </w:rPr>
        <w:t> </w:t>
      </w:r>
      <w:r>
        <w:rPr>
          <w:i/>
          <w:sz w:val="22"/>
        </w:rPr>
        <w:t>that</w:t>
      </w:r>
      <w:r>
        <w:rPr>
          <w:i/>
          <w:spacing w:val="-3"/>
          <w:sz w:val="22"/>
        </w:rPr>
        <w:t> </w:t>
      </w:r>
      <w:r>
        <w:rPr>
          <w:i/>
          <w:sz w:val="22"/>
        </w:rPr>
        <w:t>can</w:t>
      </w:r>
      <w:r>
        <w:rPr>
          <w:i/>
          <w:spacing w:val="-3"/>
          <w:sz w:val="22"/>
        </w:rPr>
        <w:t> </w:t>
      </w:r>
      <w:r>
        <w:rPr>
          <w:i/>
          <w:sz w:val="22"/>
        </w:rPr>
        <w:t>consistently</w:t>
      </w:r>
      <w:r>
        <w:rPr>
          <w:i/>
          <w:spacing w:val="-3"/>
          <w:sz w:val="22"/>
        </w:rPr>
        <w:t> </w:t>
      </w:r>
      <w:r>
        <w:rPr>
          <w:i/>
          <w:sz w:val="22"/>
        </w:rPr>
        <w:t>trade</w:t>
      </w:r>
      <w:r>
        <w:rPr>
          <w:i/>
          <w:spacing w:val="-3"/>
          <w:sz w:val="22"/>
        </w:rPr>
        <w:t> </w:t>
      </w:r>
      <w:r>
        <w:rPr>
          <w:i/>
          <w:sz w:val="22"/>
        </w:rPr>
        <w:t>the</w:t>
      </w:r>
      <w:r>
        <w:rPr>
          <w:i/>
          <w:spacing w:val="-3"/>
          <w:sz w:val="22"/>
        </w:rPr>
        <w:t> </w:t>
      </w:r>
      <w:r>
        <w:rPr>
          <w:i/>
          <w:sz w:val="22"/>
        </w:rPr>
        <w:t>best</w:t>
      </w:r>
      <w:r>
        <w:rPr>
          <w:i/>
          <w:sz w:val="22"/>
        </w:rPr>
        <w:t> repetitions are those that have mastered the markets.</w:t>
      </w:r>
    </w:p>
    <w:p>
      <w:pPr>
        <w:pStyle w:val="BodyText"/>
        <w:spacing w:before="11"/>
        <w:rPr>
          <w:i/>
          <w:sz w:val="21"/>
        </w:rPr>
      </w:pPr>
    </w:p>
    <w:p>
      <w:pPr>
        <w:pStyle w:val="BodyText"/>
        <w:ind w:left="139" w:right="495" w:firstLine="432"/>
        <w:jc w:val="both"/>
      </w:pPr>
      <w:r>
        <w:rPr/>
        <w:t>Some highly successful traders will exclusively trade one or two setups, but they will continuously pound these setups with big volume and make a killing</w:t>
      </w:r>
      <w:r>
        <w:rPr>
          <w:spacing w:val="-3"/>
        </w:rPr>
        <w:t> </w:t>
      </w:r>
      <w:r>
        <w:rPr/>
        <w:t>in</w:t>
      </w:r>
      <w:r>
        <w:rPr>
          <w:spacing w:val="-3"/>
        </w:rPr>
        <w:t> </w:t>
      </w:r>
      <w:r>
        <w:rPr/>
        <w:t>the</w:t>
      </w:r>
      <w:r>
        <w:rPr>
          <w:spacing w:val="-5"/>
        </w:rPr>
        <w:t> </w:t>
      </w:r>
      <w:r>
        <w:rPr/>
        <w:t>market.</w:t>
      </w:r>
      <w:r>
        <w:rPr>
          <w:spacing w:val="-3"/>
        </w:rPr>
        <w:t> </w:t>
      </w:r>
      <w:r>
        <w:rPr/>
        <w:t>Trading</w:t>
      </w:r>
      <w:r>
        <w:rPr>
          <w:spacing w:val="-3"/>
        </w:rPr>
        <w:t> </w:t>
      </w:r>
      <w:r>
        <w:rPr/>
        <w:t>doesn’t</w:t>
      </w:r>
      <w:r>
        <w:rPr>
          <w:spacing w:val="-3"/>
        </w:rPr>
        <w:t> </w:t>
      </w:r>
      <w:r>
        <w:rPr/>
        <w:t>have</w:t>
      </w:r>
      <w:r>
        <w:rPr>
          <w:spacing w:val="-3"/>
        </w:rPr>
        <w:t> </w:t>
      </w:r>
      <w:r>
        <w:rPr/>
        <w:t>to</w:t>
      </w:r>
      <w:r>
        <w:rPr>
          <w:spacing w:val="-3"/>
        </w:rPr>
        <w:t> </w:t>
      </w:r>
      <w:r>
        <w:rPr/>
        <w:t>be</w:t>
      </w:r>
      <w:r>
        <w:rPr>
          <w:spacing w:val="-3"/>
        </w:rPr>
        <w:t> </w:t>
      </w:r>
      <w:r>
        <w:rPr/>
        <w:t>difficult.</w:t>
      </w:r>
      <w:r>
        <w:rPr>
          <w:spacing w:val="-3"/>
        </w:rPr>
        <w:t> </w:t>
      </w:r>
      <w:r>
        <w:rPr/>
        <w:t>Like</w:t>
      </w:r>
      <w:r>
        <w:rPr>
          <w:spacing w:val="-3"/>
        </w:rPr>
        <w:t> </w:t>
      </w:r>
      <w:r>
        <w:rPr/>
        <w:t>most</w:t>
      </w:r>
      <w:r>
        <w:rPr>
          <w:spacing w:val="-4"/>
        </w:rPr>
        <w:t> </w:t>
      </w:r>
      <w:r>
        <w:rPr/>
        <w:t>things</w:t>
      </w:r>
      <w:r>
        <w:rPr>
          <w:spacing w:val="-3"/>
        </w:rPr>
        <w:t> </w:t>
      </w:r>
      <w:r>
        <w:rPr/>
        <w:t>in life, trading can be as easy or as difficult as you make it. It can be as stressful or stress free as you make it. I know I just dropped a bombshell on you, but think about it for a moment. All trading requires is a focused trader who is disciplined and knows his/her bread and butter setups. If you are disciplined enough to adhere to a proper trade management approach, and play only the best</w:t>
      </w:r>
      <w:r>
        <w:rPr>
          <w:spacing w:val="-2"/>
        </w:rPr>
        <w:t> </w:t>
      </w:r>
      <w:r>
        <w:rPr/>
        <w:t>setups</w:t>
      </w:r>
      <w:r>
        <w:rPr>
          <w:spacing w:val="-2"/>
        </w:rPr>
        <w:t> </w:t>
      </w:r>
      <w:r>
        <w:rPr/>
        <w:t>time</w:t>
      </w:r>
      <w:r>
        <w:rPr>
          <w:spacing w:val="-2"/>
        </w:rPr>
        <w:t> </w:t>
      </w:r>
      <w:r>
        <w:rPr/>
        <w:t>and</w:t>
      </w:r>
      <w:r>
        <w:rPr>
          <w:spacing w:val="-2"/>
        </w:rPr>
        <w:t> </w:t>
      </w:r>
      <w:r>
        <w:rPr/>
        <w:t>again,</w:t>
      </w:r>
      <w:r>
        <w:rPr>
          <w:spacing w:val="-3"/>
        </w:rPr>
        <w:t> </w:t>
      </w:r>
      <w:r>
        <w:rPr/>
        <w:t>you</w:t>
      </w:r>
      <w:r>
        <w:rPr>
          <w:spacing w:val="-2"/>
        </w:rPr>
        <w:t> </w:t>
      </w:r>
      <w:r>
        <w:rPr/>
        <w:t>will</w:t>
      </w:r>
      <w:r>
        <w:rPr>
          <w:spacing w:val="-4"/>
        </w:rPr>
        <w:t> </w:t>
      </w:r>
      <w:r>
        <w:rPr/>
        <w:t>become</w:t>
      </w:r>
      <w:r>
        <w:rPr>
          <w:spacing w:val="-2"/>
        </w:rPr>
        <w:t> </w:t>
      </w:r>
      <w:r>
        <w:rPr/>
        <w:t>a</w:t>
      </w:r>
      <w:r>
        <w:rPr>
          <w:spacing w:val="-2"/>
        </w:rPr>
        <w:t> </w:t>
      </w:r>
      <w:r>
        <w:rPr/>
        <w:t>successful</w:t>
      </w:r>
      <w:r>
        <w:rPr>
          <w:spacing w:val="-2"/>
        </w:rPr>
        <w:t> </w:t>
      </w:r>
      <w:r>
        <w:rPr/>
        <w:t>trader.</w:t>
      </w:r>
      <w:r>
        <w:rPr>
          <w:spacing w:val="-2"/>
        </w:rPr>
        <w:t> </w:t>
      </w:r>
      <w:r>
        <w:rPr/>
        <w:t>Many</w:t>
      </w:r>
      <w:r>
        <w:rPr>
          <w:spacing w:val="-3"/>
        </w:rPr>
        <w:t> </w:t>
      </w:r>
      <w:r>
        <w:rPr/>
        <w:t>novice traders focus on the money too early in their trading career, which is a mistake. Focus on playing the best setups at the right times while using prudent money management techniques and the money will come. As you will come to see, proper preparation also plays a major role in successful </w:t>
      </w:r>
      <w:r>
        <w:rPr>
          <w:spacing w:val="-2"/>
        </w:rPr>
        <w:t>trading.</w:t>
      </w:r>
    </w:p>
    <w:p>
      <w:pPr>
        <w:pStyle w:val="BodyText"/>
        <w:spacing w:before="1"/>
      </w:pPr>
    </w:p>
    <w:p>
      <w:pPr>
        <w:spacing w:before="0"/>
        <w:ind w:left="1192" w:right="519" w:hanging="979"/>
        <w:jc w:val="left"/>
        <w:rPr>
          <w:i/>
          <w:sz w:val="22"/>
        </w:rPr>
      </w:pPr>
      <w:r>
        <w:rPr>
          <w:i/>
          <w:sz w:val="22"/>
        </w:rPr>
        <w:t>The</w:t>
      </w:r>
      <w:r>
        <w:rPr>
          <w:i/>
          <w:spacing w:val="-3"/>
          <w:sz w:val="22"/>
        </w:rPr>
        <w:t> </w:t>
      </w:r>
      <w:r>
        <w:rPr>
          <w:i/>
          <w:sz w:val="22"/>
        </w:rPr>
        <w:t>best</w:t>
      </w:r>
      <w:r>
        <w:rPr>
          <w:i/>
          <w:spacing w:val="-3"/>
          <w:sz w:val="22"/>
        </w:rPr>
        <w:t> </w:t>
      </w:r>
      <w:r>
        <w:rPr>
          <w:i/>
          <w:sz w:val="22"/>
        </w:rPr>
        <w:t>traders</w:t>
      </w:r>
      <w:r>
        <w:rPr>
          <w:i/>
          <w:spacing w:val="-3"/>
          <w:sz w:val="22"/>
        </w:rPr>
        <w:t> </w:t>
      </w:r>
      <w:r>
        <w:rPr>
          <w:i/>
          <w:sz w:val="22"/>
        </w:rPr>
        <w:t>are</w:t>
      </w:r>
      <w:r>
        <w:rPr>
          <w:i/>
          <w:spacing w:val="-3"/>
          <w:sz w:val="22"/>
        </w:rPr>
        <w:t> </w:t>
      </w:r>
      <w:r>
        <w:rPr>
          <w:i/>
          <w:sz w:val="22"/>
        </w:rPr>
        <w:t>those</w:t>
      </w:r>
      <w:r>
        <w:rPr>
          <w:i/>
          <w:spacing w:val="-2"/>
          <w:sz w:val="22"/>
        </w:rPr>
        <w:t> </w:t>
      </w:r>
      <w:r>
        <w:rPr>
          <w:i/>
          <w:sz w:val="22"/>
        </w:rPr>
        <w:t>that</w:t>
      </w:r>
      <w:r>
        <w:rPr>
          <w:i/>
          <w:spacing w:val="-3"/>
          <w:sz w:val="22"/>
        </w:rPr>
        <w:t> </w:t>
      </w:r>
      <w:r>
        <w:rPr>
          <w:i/>
          <w:sz w:val="22"/>
        </w:rPr>
        <w:t>can</w:t>
      </w:r>
      <w:r>
        <w:rPr>
          <w:i/>
          <w:spacing w:val="-5"/>
          <w:sz w:val="22"/>
        </w:rPr>
        <w:t> </w:t>
      </w:r>
      <w:r>
        <w:rPr>
          <w:i/>
          <w:sz w:val="22"/>
        </w:rPr>
        <w:t>quickly</w:t>
      </w:r>
      <w:r>
        <w:rPr>
          <w:i/>
          <w:spacing w:val="-3"/>
          <w:sz w:val="22"/>
        </w:rPr>
        <w:t> </w:t>
      </w:r>
      <w:r>
        <w:rPr>
          <w:i/>
          <w:sz w:val="22"/>
        </w:rPr>
        <w:t>discern</w:t>
      </w:r>
      <w:r>
        <w:rPr>
          <w:i/>
          <w:spacing w:val="-4"/>
          <w:sz w:val="22"/>
        </w:rPr>
        <w:t> </w:t>
      </w:r>
      <w:r>
        <w:rPr>
          <w:i/>
          <w:sz w:val="22"/>
        </w:rPr>
        <w:t>the</w:t>
      </w:r>
      <w:r>
        <w:rPr>
          <w:i/>
          <w:spacing w:val="-3"/>
          <w:sz w:val="22"/>
        </w:rPr>
        <w:t> </w:t>
      </w:r>
      <w:r>
        <w:rPr>
          <w:i/>
          <w:sz w:val="22"/>
        </w:rPr>
        <w:t>pattern</w:t>
      </w:r>
      <w:r>
        <w:rPr>
          <w:i/>
          <w:spacing w:val="-3"/>
          <w:sz w:val="22"/>
        </w:rPr>
        <w:t> </w:t>
      </w:r>
      <w:r>
        <w:rPr>
          <w:i/>
          <w:sz w:val="22"/>
        </w:rPr>
        <w:t>of</w:t>
      </w:r>
      <w:r>
        <w:rPr>
          <w:i/>
          <w:spacing w:val="-3"/>
          <w:sz w:val="22"/>
        </w:rPr>
        <w:t> </w:t>
      </w:r>
      <w:r>
        <w:rPr>
          <w:i/>
          <w:sz w:val="22"/>
        </w:rPr>
        <w:t>the</w:t>
      </w:r>
      <w:r>
        <w:rPr>
          <w:i/>
          <w:spacing w:val="-3"/>
          <w:sz w:val="22"/>
        </w:rPr>
        <w:t> </w:t>
      </w:r>
      <w:r>
        <w:rPr>
          <w:i/>
          <w:sz w:val="22"/>
        </w:rPr>
        <w:t>market</w:t>
      </w:r>
      <w:r>
        <w:rPr>
          <w:i/>
          <w:sz w:val="22"/>
        </w:rPr>
        <w:t> and successfully deploy their capital at the best price.</w:t>
      </w:r>
    </w:p>
    <w:p>
      <w:pPr>
        <w:pStyle w:val="BodyText"/>
        <w:spacing w:before="10"/>
        <w:rPr>
          <w:i/>
          <w:sz w:val="21"/>
        </w:rPr>
      </w:pPr>
    </w:p>
    <w:p>
      <w:pPr>
        <w:pStyle w:val="BodyText"/>
        <w:ind w:left="139" w:right="496" w:firstLine="432"/>
        <w:jc w:val="both"/>
      </w:pPr>
      <w:r>
        <w:rPr/>
        <w:t>The first step in identifying your bread and butter setups is identifying the types of market days that you will see time and again. Once you quickly and</w:t>
      </w:r>
      <w:r>
        <w:rPr>
          <w:spacing w:val="-2"/>
        </w:rPr>
        <w:t> </w:t>
      </w:r>
      <w:r>
        <w:rPr/>
        <w:t>accurately</w:t>
      </w:r>
      <w:r>
        <w:rPr>
          <w:spacing w:val="-3"/>
        </w:rPr>
        <w:t> </w:t>
      </w:r>
      <w:r>
        <w:rPr/>
        <w:t>can</w:t>
      </w:r>
      <w:r>
        <w:rPr>
          <w:spacing w:val="-2"/>
        </w:rPr>
        <w:t> </w:t>
      </w:r>
      <w:r>
        <w:rPr/>
        <w:t>identify</w:t>
      </w:r>
      <w:r>
        <w:rPr>
          <w:spacing w:val="-4"/>
        </w:rPr>
        <w:t> </w:t>
      </w:r>
      <w:r>
        <w:rPr/>
        <w:t>the</w:t>
      </w:r>
      <w:r>
        <w:rPr>
          <w:spacing w:val="-2"/>
        </w:rPr>
        <w:t> </w:t>
      </w:r>
      <w:r>
        <w:rPr/>
        <w:t>type</w:t>
      </w:r>
      <w:r>
        <w:rPr>
          <w:spacing w:val="-2"/>
        </w:rPr>
        <w:t> </w:t>
      </w:r>
      <w:r>
        <w:rPr/>
        <w:t>of</w:t>
      </w:r>
      <w:r>
        <w:rPr>
          <w:spacing w:val="-1"/>
        </w:rPr>
        <w:t> </w:t>
      </w:r>
      <w:r>
        <w:rPr/>
        <w:t>market</w:t>
      </w:r>
      <w:r>
        <w:rPr>
          <w:spacing w:val="-2"/>
        </w:rPr>
        <w:t> </w:t>
      </w:r>
      <w:r>
        <w:rPr/>
        <w:t>day</w:t>
      </w:r>
      <w:r>
        <w:rPr>
          <w:spacing w:val="-2"/>
        </w:rPr>
        <w:t> </w:t>
      </w:r>
      <w:r>
        <w:rPr/>
        <w:t>that</w:t>
      </w:r>
      <w:r>
        <w:rPr>
          <w:spacing w:val="-2"/>
        </w:rPr>
        <w:t> </w:t>
      </w:r>
      <w:r>
        <w:rPr/>
        <w:t>is</w:t>
      </w:r>
      <w:r>
        <w:rPr>
          <w:spacing w:val="-2"/>
        </w:rPr>
        <w:t> </w:t>
      </w:r>
      <w:r>
        <w:rPr/>
        <w:t>developing,</w:t>
      </w:r>
      <w:r>
        <w:rPr>
          <w:spacing w:val="-2"/>
        </w:rPr>
        <w:t> </w:t>
      </w:r>
      <w:r>
        <w:rPr/>
        <w:t>you</w:t>
      </w:r>
      <w:r>
        <w:rPr>
          <w:spacing w:val="-2"/>
        </w:rPr>
        <w:t> </w:t>
      </w:r>
      <w:r>
        <w:rPr/>
        <w:t>can then identify which of your setups to deploy. Trading has always been about pattern</w:t>
      </w:r>
      <w:r>
        <w:rPr>
          <w:spacing w:val="28"/>
        </w:rPr>
        <w:t> </w:t>
      </w:r>
      <w:r>
        <w:rPr/>
        <w:t>recognition.</w:t>
      </w:r>
      <w:r>
        <w:rPr>
          <w:spacing w:val="26"/>
        </w:rPr>
        <w:t> </w:t>
      </w:r>
      <w:r>
        <w:rPr/>
        <w:t>The</w:t>
      </w:r>
      <w:r>
        <w:rPr>
          <w:spacing w:val="28"/>
        </w:rPr>
        <w:t> </w:t>
      </w:r>
      <w:r>
        <w:rPr/>
        <w:t>best</w:t>
      </w:r>
      <w:r>
        <w:rPr>
          <w:spacing w:val="28"/>
        </w:rPr>
        <w:t> </w:t>
      </w:r>
      <w:r>
        <w:rPr/>
        <w:t>traders</w:t>
      </w:r>
      <w:r>
        <w:rPr>
          <w:spacing w:val="28"/>
        </w:rPr>
        <w:t> </w:t>
      </w:r>
      <w:r>
        <w:rPr/>
        <w:t>can</w:t>
      </w:r>
      <w:r>
        <w:rPr>
          <w:spacing w:val="28"/>
        </w:rPr>
        <w:t> </w:t>
      </w:r>
      <w:r>
        <w:rPr/>
        <w:t>quickly</w:t>
      </w:r>
      <w:r>
        <w:rPr>
          <w:spacing w:val="25"/>
        </w:rPr>
        <w:t> </w:t>
      </w:r>
      <w:r>
        <w:rPr/>
        <w:t>diagnose</w:t>
      </w:r>
      <w:r>
        <w:rPr>
          <w:spacing w:val="28"/>
        </w:rPr>
        <w:t> </w:t>
      </w:r>
      <w:r>
        <w:rPr/>
        <w:t>and</w:t>
      </w:r>
      <w:r>
        <w:rPr>
          <w:spacing w:val="28"/>
        </w:rPr>
        <w:t> </w:t>
      </w:r>
      <w:r>
        <w:rPr/>
        <w:t>identify</w:t>
      </w:r>
      <w:r>
        <w:rPr>
          <w:spacing w:val="27"/>
        </w:rPr>
        <w:t> </w:t>
      </w:r>
      <w:r>
        <w:rPr/>
        <w:t>the</w:t>
      </w:r>
    </w:p>
    <w:p>
      <w:pPr>
        <w:spacing w:after="0"/>
        <w:jc w:val="both"/>
        <w:sectPr>
          <w:pgSz w:w="8640" w:h="12960"/>
          <w:pgMar w:header="579" w:footer="1060" w:top="760" w:bottom="1180" w:left="580" w:right="580"/>
        </w:sectPr>
      </w:pPr>
    </w:p>
    <w:p>
      <w:pPr>
        <w:pStyle w:val="BodyText"/>
        <w:spacing w:before="3"/>
      </w:pPr>
    </w:p>
    <w:p>
      <w:pPr>
        <w:pStyle w:val="BodyText"/>
        <w:spacing w:before="64"/>
        <w:ind w:left="500" w:right="135"/>
        <w:jc w:val="both"/>
      </w:pPr>
      <w:r>
        <w:rPr/>
        <w:t>pattern of the market, which allows them to visualize where price is headed and the level of conviction behind the move. This upcoming section may be one of the most important facets of this book, as learning and understanding the material will be paramount to building the foundation to the rest of the </w:t>
      </w:r>
      <w:r>
        <w:rPr>
          <w:spacing w:val="-2"/>
        </w:rPr>
        <w:t>book.</w:t>
      </w:r>
    </w:p>
    <w:p>
      <w:pPr>
        <w:pStyle w:val="BodyText"/>
        <w:spacing w:before="11"/>
        <w:rPr>
          <w:sz w:val="21"/>
        </w:rPr>
      </w:pPr>
    </w:p>
    <w:p>
      <w:pPr>
        <w:pStyle w:val="Heading3"/>
        <w:ind w:left="500"/>
        <w:jc w:val="both"/>
      </w:pPr>
      <w:r>
        <w:rPr/>
        <w:pict>
          <v:shape style="position:absolute;margin-left:54.779999pt;margin-top:18.23031pt;width:341pt;height:.1pt;mso-position-horizontal-relative:page;mso-position-vertical-relative:paragraph;z-index:-15725568;mso-wrap-distance-left:0;mso-wrap-distance-right:0" id="docshape18" coordorigin="1096,365" coordsize="6820,0" path="m1096,365l7915,365e" filled="false" stroked="true" strokeweight=".75pt" strokecolor="#000000">
            <v:path arrowok="t"/>
            <v:stroke dashstyle="solid"/>
            <w10:wrap type="topAndBottom"/>
          </v:shape>
        </w:pict>
      </w:r>
      <w:bookmarkStart w:name="_TOC_250084" w:id="7"/>
      <w:r>
        <w:rPr>
          <w:smallCaps/>
        </w:rPr>
        <w:t>The</w:t>
      </w:r>
      <w:r>
        <w:rPr>
          <w:smallCaps/>
          <w:spacing w:val="-7"/>
        </w:rPr>
        <w:t> </w:t>
      </w:r>
      <w:r>
        <w:rPr>
          <w:smallCaps/>
        </w:rPr>
        <w:t>Types</w:t>
      </w:r>
      <w:r>
        <w:rPr>
          <w:smallCaps/>
          <w:spacing w:val="-6"/>
        </w:rPr>
        <w:t> </w:t>
      </w:r>
      <w:r>
        <w:rPr>
          <w:smallCaps/>
        </w:rPr>
        <w:t>of</w:t>
      </w:r>
      <w:r>
        <w:rPr>
          <w:smallCaps/>
          <w:spacing w:val="-6"/>
        </w:rPr>
        <w:t> </w:t>
      </w:r>
      <w:r>
        <w:rPr>
          <w:smallCaps/>
        </w:rPr>
        <w:t>Market</w:t>
      </w:r>
      <w:r>
        <w:rPr>
          <w:smallCaps/>
          <w:spacing w:val="-10"/>
        </w:rPr>
        <w:t> </w:t>
      </w:r>
      <w:bookmarkEnd w:id="7"/>
      <w:r>
        <w:rPr>
          <w:smallCaps/>
          <w:spacing w:val="-4"/>
        </w:rPr>
        <w:t>Days</w:t>
      </w:r>
    </w:p>
    <w:p>
      <w:pPr>
        <w:pStyle w:val="BodyText"/>
        <w:spacing w:before="203"/>
        <w:ind w:left="500" w:right="138" w:firstLine="432"/>
        <w:jc w:val="both"/>
      </w:pPr>
      <w:r>
        <w:rPr/>
        <w:t>There are six types of market days that we will cover. These types of days are repeatedly seen in</w:t>
      </w:r>
      <w:r>
        <w:rPr>
          <w:spacing w:val="-1"/>
        </w:rPr>
        <w:t> </w:t>
      </w:r>
      <w:r>
        <w:rPr/>
        <w:t>the market, but no</w:t>
      </w:r>
      <w:r>
        <w:rPr>
          <w:spacing w:val="-1"/>
        </w:rPr>
        <w:t> </w:t>
      </w:r>
      <w:r>
        <w:rPr/>
        <w:t>two</w:t>
      </w:r>
      <w:r>
        <w:rPr>
          <w:spacing w:val="-1"/>
        </w:rPr>
        <w:t> </w:t>
      </w:r>
      <w:r>
        <w:rPr/>
        <w:t>days are ever identical. As such, these categories should be used more as guidelines, rather than seeing them as etched in stone. Again, your ability to recognize the pattern of the day accurately will be a huge step toward successfully engaging the market.</w:t>
      </w:r>
    </w:p>
    <w:p>
      <w:pPr>
        <w:pStyle w:val="BodyText"/>
        <w:ind w:left="500" w:right="137" w:firstLine="432"/>
        <w:jc w:val="both"/>
      </w:pPr>
      <w:r>
        <w:rPr/>
        <w:t>The first type of market day that we will cover is called the </w:t>
      </w:r>
      <w:r>
        <w:rPr>
          <w:i/>
        </w:rPr>
        <w:t>Trend Day</w:t>
      </w:r>
      <w:r>
        <w:rPr/>
        <w:t>. The</w:t>
      </w:r>
      <w:r>
        <w:rPr>
          <w:spacing w:val="-1"/>
        </w:rPr>
        <w:t> </w:t>
      </w:r>
      <w:r>
        <w:rPr/>
        <w:t>Trend</w:t>
      </w:r>
      <w:r>
        <w:rPr>
          <w:spacing w:val="-2"/>
        </w:rPr>
        <w:t> </w:t>
      </w:r>
      <w:r>
        <w:rPr/>
        <w:t>Day</w:t>
      </w:r>
      <w:r>
        <w:rPr>
          <w:spacing w:val="-1"/>
        </w:rPr>
        <w:t> </w:t>
      </w:r>
      <w:r>
        <w:rPr/>
        <w:t>is</w:t>
      </w:r>
      <w:r>
        <w:rPr>
          <w:spacing w:val="-2"/>
        </w:rPr>
        <w:t> </w:t>
      </w:r>
      <w:r>
        <w:rPr/>
        <w:t>the</w:t>
      </w:r>
      <w:r>
        <w:rPr>
          <w:spacing w:val="-1"/>
        </w:rPr>
        <w:t> </w:t>
      </w:r>
      <w:r>
        <w:rPr/>
        <w:t>most</w:t>
      </w:r>
      <w:r>
        <w:rPr>
          <w:spacing w:val="-1"/>
        </w:rPr>
        <w:t> </w:t>
      </w:r>
      <w:r>
        <w:rPr/>
        <w:t>aggressive</w:t>
      </w:r>
      <w:r>
        <w:rPr>
          <w:spacing w:val="-1"/>
        </w:rPr>
        <w:t> </w:t>
      </w:r>
      <w:r>
        <w:rPr/>
        <w:t>type</w:t>
      </w:r>
      <w:r>
        <w:rPr>
          <w:spacing w:val="-1"/>
        </w:rPr>
        <w:t> </w:t>
      </w:r>
      <w:r>
        <w:rPr/>
        <w:t>of</w:t>
      </w:r>
      <w:r>
        <w:rPr>
          <w:spacing w:val="-1"/>
        </w:rPr>
        <w:t> </w:t>
      </w:r>
      <w:r>
        <w:rPr/>
        <w:t>market</w:t>
      </w:r>
      <w:r>
        <w:rPr>
          <w:spacing w:val="-1"/>
        </w:rPr>
        <w:t> </w:t>
      </w:r>
      <w:r>
        <w:rPr/>
        <w:t>day.</w:t>
      </w:r>
      <w:r>
        <w:rPr>
          <w:spacing w:val="-1"/>
        </w:rPr>
        <w:t> </w:t>
      </w:r>
      <w:r>
        <w:rPr/>
        <w:t>On</w:t>
      </w:r>
      <w:r>
        <w:rPr>
          <w:spacing w:val="-2"/>
        </w:rPr>
        <w:t> </w:t>
      </w:r>
      <w:r>
        <w:rPr/>
        <w:t>a</w:t>
      </w:r>
      <w:r>
        <w:rPr>
          <w:spacing w:val="-1"/>
        </w:rPr>
        <w:t> </w:t>
      </w:r>
      <w:r>
        <w:rPr/>
        <w:t>bullish</w:t>
      </w:r>
      <w:r>
        <w:rPr>
          <w:spacing w:val="-2"/>
        </w:rPr>
        <w:t> </w:t>
      </w:r>
      <w:r>
        <w:rPr/>
        <w:t>Trend Day, the open usually marks the day’s low, while the close usually marks the day’s high, with a few ticks of tolerance in either direction. On a bearish Trend Day, the open will usually mark the day’s high, while the market will usually close near the session’s low. The market will typically start fast on this type of day and the farther price moves away from value, the more participants will enter the market, creating sustained price movement on increased volume. Initiative buying or selling is the culprit on this type of market day, as these participants are confident they can move price to a new area of established value. Price conviction is strongest during a Trend Day.</w:t>
      </w:r>
    </w:p>
    <w:p>
      <w:pPr>
        <w:pStyle w:val="BodyText"/>
        <w:ind w:left="500" w:right="133" w:firstLine="432"/>
        <w:jc w:val="both"/>
      </w:pPr>
      <w:r>
        <w:rPr/>
        <w:t>Imagine a sprinter lined up at the starting blocks of a one hundred-meter dash.</w:t>
      </w:r>
      <w:r>
        <w:rPr>
          <w:spacing w:val="-2"/>
        </w:rPr>
        <w:t> </w:t>
      </w:r>
      <w:r>
        <w:rPr/>
        <w:t>As</w:t>
      </w:r>
      <w:r>
        <w:rPr>
          <w:spacing w:val="-2"/>
        </w:rPr>
        <w:t> </w:t>
      </w:r>
      <w:r>
        <w:rPr/>
        <w:t>soon</w:t>
      </w:r>
      <w:r>
        <w:rPr>
          <w:spacing w:val="-2"/>
        </w:rPr>
        <w:t> </w:t>
      </w:r>
      <w:r>
        <w:rPr/>
        <w:t>as</w:t>
      </w:r>
      <w:r>
        <w:rPr>
          <w:spacing w:val="-2"/>
        </w:rPr>
        <w:t> </w:t>
      </w:r>
      <w:r>
        <w:rPr/>
        <w:t>the</w:t>
      </w:r>
      <w:r>
        <w:rPr>
          <w:spacing w:val="-2"/>
        </w:rPr>
        <w:t> </w:t>
      </w:r>
      <w:r>
        <w:rPr/>
        <w:t>gun</w:t>
      </w:r>
      <w:r>
        <w:rPr>
          <w:spacing w:val="-3"/>
        </w:rPr>
        <w:t> </w:t>
      </w:r>
      <w:r>
        <w:rPr/>
        <w:t>is</w:t>
      </w:r>
      <w:r>
        <w:rPr>
          <w:spacing w:val="-2"/>
        </w:rPr>
        <w:t> </w:t>
      </w:r>
      <w:r>
        <w:rPr/>
        <w:t>fired</w:t>
      </w:r>
      <w:r>
        <w:rPr>
          <w:spacing w:val="-2"/>
        </w:rPr>
        <w:t> </w:t>
      </w:r>
      <w:r>
        <w:rPr/>
        <w:t>to</w:t>
      </w:r>
      <w:r>
        <w:rPr>
          <w:spacing w:val="-2"/>
        </w:rPr>
        <w:t> </w:t>
      </w:r>
      <w:r>
        <w:rPr/>
        <w:t>begin</w:t>
      </w:r>
      <w:r>
        <w:rPr>
          <w:spacing w:val="-2"/>
        </w:rPr>
        <w:t> </w:t>
      </w:r>
      <w:r>
        <w:rPr/>
        <w:t>the</w:t>
      </w:r>
      <w:r>
        <w:rPr>
          <w:spacing w:val="-2"/>
        </w:rPr>
        <w:t> </w:t>
      </w:r>
      <w:r>
        <w:rPr/>
        <w:t>race,</w:t>
      </w:r>
      <w:r>
        <w:rPr>
          <w:spacing w:val="-2"/>
        </w:rPr>
        <w:t> </w:t>
      </w:r>
      <w:r>
        <w:rPr/>
        <w:t>the</w:t>
      </w:r>
      <w:r>
        <w:rPr>
          <w:spacing w:val="-2"/>
        </w:rPr>
        <w:t> </w:t>
      </w:r>
      <w:r>
        <w:rPr/>
        <w:t>sprinter</w:t>
      </w:r>
      <w:r>
        <w:rPr>
          <w:spacing w:val="-2"/>
        </w:rPr>
        <w:t> </w:t>
      </w:r>
      <w:r>
        <w:rPr/>
        <w:t>accelerates</w:t>
      </w:r>
      <w:r>
        <w:rPr>
          <w:spacing w:val="-2"/>
        </w:rPr>
        <w:t> </w:t>
      </w:r>
      <w:r>
        <w:rPr/>
        <w:t>out of the blocks and eventually hits his full stride. The sprinter will maintain a high level of speed throughout the race until he ultimately reaches the finish line. Likewise, the market will start strong right out of the gate and will usually maintain a unidirectional</w:t>
      </w:r>
      <w:r>
        <w:rPr/>
        <w:t> stance throughout the day, never calling</w:t>
      </w:r>
      <w:r>
        <w:rPr>
          <w:spacing w:val="40"/>
        </w:rPr>
        <w:t> </w:t>
      </w:r>
      <w:r>
        <w:rPr/>
        <w:t>into question the day’s direction or conviction. This type of day has the highest price range (high price minus low price), meaning it can be quite costly if you are positioned against the market or if you fail to recognize the pattern early enough to enter alongside the market. These types of days only occur</w:t>
      </w:r>
      <w:r>
        <w:rPr>
          <w:spacing w:val="-3"/>
        </w:rPr>
        <w:t> </w:t>
      </w:r>
      <w:r>
        <w:rPr/>
        <w:t>a</w:t>
      </w:r>
      <w:r>
        <w:rPr>
          <w:spacing w:val="-2"/>
        </w:rPr>
        <w:t> </w:t>
      </w:r>
      <w:r>
        <w:rPr/>
        <w:t>few</w:t>
      </w:r>
      <w:r>
        <w:rPr>
          <w:spacing w:val="-2"/>
        </w:rPr>
        <w:t> </w:t>
      </w:r>
      <w:r>
        <w:rPr/>
        <w:t>times</w:t>
      </w:r>
      <w:r>
        <w:rPr>
          <w:spacing w:val="-2"/>
        </w:rPr>
        <w:t> </w:t>
      </w:r>
      <w:r>
        <w:rPr/>
        <w:t>a</w:t>
      </w:r>
      <w:r>
        <w:rPr>
          <w:spacing w:val="-1"/>
        </w:rPr>
        <w:t> </w:t>
      </w:r>
      <w:r>
        <w:rPr/>
        <w:t>month,</w:t>
      </w:r>
      <w:r>
        <w:rPr>
          <w:spacing w:val="-3"/>
        </w:rPr>
        <w:t> </w:t>
      </w:r>
      <w:r>
        <w:rPr/>
        <w:t>but</w:t>
      </w:r>
      <w:r>
        <w:rPr>
          <w:spacing w:val="-3"/>
        </w:rPr>
        <w:t> </w:t>
      </w:r>
      <w:r>
        <w:rPr/>
        <w:t>catching</w:t>
      </w:r>
      <w:r>
        <w:rPr>
          <w:spacing w:val="-2"/>
        </w:rPr>
        <w:t> </w:t>
      </w:r>
      <w:r>
        <w:rPr/>
        <w:t>these</w:t>
      </w:r>
      <w:r>
        <w:rPr>
          <w:spacing w:val="-2"/>
        </w:rPr>
        <w:t> </w:t>
      </w:r>
      <w:r>
        <w:rPr/>
        <w:t>moves</w:t>
      </w:r>
      <w:r>
        <w:rPr>
          <w:spacing w:val="-2"/>
        </w:rPr>
        <w:t> </w:t>
      </w:r>
      <w:r>
        <w:rPr/>
        <w:t>can</w:t>
      </w:r>
      <w:r>
        <w:rPr>
          <w:spacing w:val="-3"/>
        </w:rPr>
        <w:t> </w:t>
      </w:r>
      <w:r>
        <w:rPr/>
        <w:t>certainly</w:t>
      </w:r>
      <w:r>
        <w:rPr>
          <w:spacing w:val="-3"/>
        </w:rPr>
        <w:t> </w:t>
      </w:r>
      <w:r>
        <w:rPr/>
        <w:t>make</w:t>
      </w:r>
      <w:r>
        <w:rPr>
          <w:spacing w:val="-3"/>
        </w:rPr>
        <w:t> </w:t>
      </w:r>
      <w:r>
        <w:rPr/>
        <w:t>your month, in terms of profits. The Trend Day is usually preceded by a quiet day of market activity, which is usually a day with a small range of movement. Coincidentally, this type of market behavior will usually follow a Trend Day as well.</w:t>
      </w:r>
    </w:p>
    <w:p>
      <w:pPr>
        <w:pStyle w:val="BodyText"/>
        <w:ind w:left="500" w:right="135" w:firstLine="432"/>
        <w:jc w:val="both"/>
      </w:pPr>
      <w:r>
        <w:rPr/>
        <w:t>Take a look at Figure 1.2, which is a fifteen-minute chart of the Mini- Sized</w:t>
      </w:r>
      <w:r>
        <w:rPr>
          <w:spacing w:val="39"/>
        </w:rPr>
        <w:t> </w:t>
      </w:r>
      <w:r>
        <w:rPr/>
        <w:t>Dow</w:t>
      </w:r>
      <w:r>
        <w:rPr>
          <w:spacing w:val="39"/>
        </w:rPr>
        <w:t> </w:t>
      </w:r>
      <w:r>
        <w:rPr/>
        <w:t>Jones</w:t>
      </w:r>
      <w:r>
        <w:rPr>
          <w:spacing w:val="39"/>
        </w:rPr>
        <w:t> </w:t>
      </w:r>
      <w:r>
        <w:rPr/>
        <w:t>futures</w:t>
      </w:r>
      <w:r>
        <w:rPr>
          <w:spacing w:val="40"/>
        </w:rPr>
        <w:t> </w:t>
      </w:r>
      <w:r>
        <w:rPr/>
        <w:t>contract,</w:t>
      </w:r>
      <w:r>
        <w:rPr>
          <w:spacing w:val="39"/>
        </w:rPr>
        <w:t> </w:t>
      </w:r>
      <w:r>
        <w:rPr/>
        <w:t>also</w:t>
      </w:r>
      <w:r>
        <w:rPr>
          <w:spacing w:val="40"/>
        </w:rPr>
        <w:t> </w:t>
      </w:r>
      <w:r>
        <w:rPr/>
        <w:t>called</w:t>
      </w:r>
      <w:r>
        <w:rPr>
          <w:spacing w:val="39"/>
        </w:rPr>
        <w:t> </w:t>
      </w:r>
      <w:r>
        <w:rPr/>
        <w:t>the</w:t>
      </w:r>
      <w:r>
        <w:rPr>
          <w:spacing w:val="40"/>
        </w:rPr>
        <w:t> </w:t>
      </w:r>
      <w:r>
        <w:rPr/>
        <w:t>YM.</w:t>
      </w:r>
      <w:r>
        <w:rPr>
          <w:spacing w:val="39"/>
        </w:rPr>
        <w:t> </w:t>
      </w:r>
      <w:r>
        <w:rPr/>
        <w:t>This</w:t>
      </w:r>
      <w:r>
        <w:rPr>
          <w:spacing w:val="39"/>
        </w:rPr>
        <w:t> </w:t>
      </w:r>
      <w:r>
        <w:rPr/>
        <w:t>chart</w:t>
      </w:r>
      <w:r>
        <w:rPr>
          <w:spacing w:val="39"/>
        </w:rPr>
        <w:t> </w:t>
      </w:r>
      <w:r>
        <w:rPr>
          <w:spacing w:val="-2"/>
        </w:rPr>
        <w:t>clearly</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jc w:val="both"/>
      </w:pPr>
      <w:r>
        <w:rPr/>
        <w:t>illustrates the Trend Day and its basic characteristics. Notice the YM opened the day with a gap to the upside, which is a common trait of a bullish Trend Day. The low of the day was established within mere ticks of the opening print, and the session’s close price fell within two ticks of the high. Clearly, the day’s direction was never called into question, as initiative buying pressure sparked steady strength throughout the session. This initiative buying pressure led to the recruitment of additional market participants, which boosted price even higher. Lastly, the prior day’s range was relatively smaller than usual, especially in the latter half of the day where the YM basically traded in a 49-tick range in the last five hours of the session. This type of quiet trading behavior can usually tip you off to a potential Trend</w:t>
      </w:r>
      <w:r>
        <w:rPr>
          <w:spacing w:val="40"/>
        </w:rPr>
        <w:t> </w:t>
      </w:r>
      <w:r>
        <w:rPr/>
        <w:t>Day in the upcoming session. Remember, keeping your ear to the ground would have easily allowed you to sense that a big day could be had in the following session. Trading is about reading the cues the market constantly feeds you.</w:t>
      </w:r>
    </w:p>
    <w:p>
      <w:pPr>
        <w:pStyle w:val="BodyText"/>
        <w:spacing w:before="1"/>
      </w:pPr>
    </w:p>
    <w:p>
      <w:pPr>
        <w:spacing w:before="0"/>
        <w:ind w:left="2783" w:right="519" w:hanging="2396"/>
        <w:jc w:val="left"/>
        <w:rPr>
          <w:i/>
          <w:sz w:val="22"/>
        </w:rPr>
      </w:pPr>
      <w:r>
        <w:rPr>
          <w:i/>
          <w:sz w:val="22"/>
        </w:rPr>
        <w:t>The</w:t>
      </w:r>
      <w:r>
        <w:rPr>
          <w:i/>
          <w:spacing w:val="-3"/>
          <w:sz w:val="22"/>
        </w:rPr>
        <w:t> </w:t>
      </w:r>
      <w:r>
        <w:rPr>
          <w:i/>
          <w:sz w:val="22"/>
        </w:rPr>
        <w:t>ability</w:t>
      </w:r>
      <w:r>
        <w:rPr>
          <w:i/>
          <w:spacing w:val="-3"/>
          <w:sz w:val="22"/>
        </w:rPr>
        <w:t> </w:t>
      </w:r>
      <w:r>
        <w:rPr>
          <w:i/>
          <w:sz w:val="22"/>
        </w:rPr>
        <w:t>to</w:t>
      </w:r>
      <w:r>
        <w:rPr>
          <w:i/>
          <w:spacing w:val="-5"/>
          <w:sz w:val="22"/>
        </w:rPr>
        <w:t> </w:t>
      </w:r>
      <w:r>
        <w:rPr>
          <w:i/>
          <w:sz w:val="22"/>
        </w:rPr>
        <w:t>read</w:t>
      </w:r>
      <w:r>
        <w:rPr>
          <w:i/>
          <w:spacing w:val="-4"/>
          <w:sz w:val="22"/>
        </w:rPr>
        <w:t> </w:t>
      </w:r>
      <w:r>
        <w:rPr>
          <w:i/>
          <w:sz w:val="22"/>
        </w:rPr>
        <w:t>the</w:t>
      </w:r>
      <w:r>
        <w:rPr>
          <w:i/>
          <w:spacing w:val="-3"/>
          <w:sz w:val="22"/>
        </w:rPr>
        <w:t> </w:t>
      </w:r>
      <w:r>
        <w:rPr>
          <w:i/>
          <w:sz w:val="22"/>
        </w:rPr>
        <w:t>market’s</w:t>
      </w:r>
      <w:r>
        <w:rPr>
          <w:i/>
          <w:spacing w:val="-4"/>
          <w:sz w:val="22"/>
        </w:rPr>
        <w:t> </w:t>
      </w:r>
      <w:r>
        <w:rPr>
          <w:i/>
          <w:sz w:val="22"/>
        </w:rPr>
        <w:t>cues</w:t>
      </w:r>
      <w:r>
        <w:rPr>
          <w:i/>
          <w:spacing w:val="-4"/>
          <w:sz w:val="22"/>
        </w:rPr>
        <w:t> </w:t>
      </w:r>
      <w:r>
        <w:rPr>
          <w:i/>
          <w:sz w:val="22"/>
        </w:rPr>
        <w:t>quickly</w:t>
      </w:r>
      <w:r>
        <w:rPr>
          <w:i/>
          <w:spacing w:val="-3"/>
          <w:sz w:val="22"/>
        </w:rPr>
        <w:t> </w:t>
      </w:r>
      <w:r>
        <w:rPr>
          <w:i/>
          <w:sz w:val="22"/>
        </w:rPr>
        <w:t>and</w:t>
      </w:r>
      <w:r>
        <w:rPr>
          <w:i/>
          <w:spacing w:val="-3"/>
          <w:sz w:val="22"/>
        </w:rPr>
        <w:t> </w:t>
      </w:r>
      <w:r>
        <w:rPr>
          <w:i/>
          <w:sz w:val="22"/>
        </w:rPr>
        <w:t>accurately</w:t>
      </w:r>
      <w:r>
        <w:rPr>
          <w:i/>
          <w:spacing w:val="-3"/>
          <w:sz w:val="22"/>
        </w:rPr>
        <w:t> </w:t>
      </w:r>
      <w:r>
        <w:rPr>
          <w:i/>
          <w:sz w:val="22"/>
        </w:rPr>
        <w:t>will</w:t>
      </w:r>
      <w:r>
        <w:rPr>
          <w:i/>
          <w:spacing w:val="-3"/>
          <w:sz w:val="22"/>
        </w:rPr>
        <w:t> </w:t>
      </w:r>
      <w:r>
        <w:rPr>
          <w:i/>
          <w:sz w:val="22"/>
        </w:rPr>
        <w:t>set</w:t>
      </w:r>
      <w:r>
        <w:rPr>
          <w:i/>
          <w:spacing w:val="-2"/>
          <w:sz w:val="22"/>
        </w:rPr>
        <w:t> </w:t>
      </w:r>
      <w:r>
        <w:rPr>
          <w:i/>
          <w:sz w:val="22"/>
        </w:rPr>
        <w:t>you</w:t>
      </w:r>
      <w:r>
        <w:rPr>
          <w:i/>
          <w:sz w:val="22"/>
        </w:rPr>
        <w:t> apart as a trader.</w:t>
      </w:r>
    </w:p>
    <w:p>
      <w:pPr>
        <w:pStyle w:val="BodyText"/>
        <w:rPr>
          <w:i/>
          <w:sz w:val="20"/>
        </w:rPr>
      </w:pPr>
      <w:r>
        <w:rPr/>
        <w:drawing>
          <wp:anchor distT="0" distB="0" distL="0" distR="0" allowOverlap="1" layoutInCell="1" locked="0" behindDoc="0" simplePos="0" relativeHeight="7">
            <wp:simplePos x="0" y="0"/>
            <wp:positionH relativeFrom="page">
              <wp:posOffset>457200</wp:posOffset>
            </wp:positionH>
            <wp:positionV relativeFrom="paragraph">
              <wp:posOffset>161526</wp:posOffset>
            </wp:positionV>
            <wp:extent cx="4342239" cy="3111722"/>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6"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w:t>
      </w:r>
      <w:r>
        <w:rPr>
          <w:spacing w:val="9"/>
          <w:sz w:val="16"/>
        </w:rPr>
        <w:t> </w:t>
      </w:r>
      <w:r>
        <w:rPr>
          <w:sz w:val="16"/>
        </w:rPr>
        <w:t>1.2:</w:t>
      </w:r>
      <w:r>
        <w:rPr>
          <w:spacing w:val="10"/>
          <w:sz w:val="16"/>
        </w:rPr>
        <w:t> </w:t>
      </w:r>
      <w:r>
        <w:rPr>
          <w:sz w:val="16"/>
        </w:rPr>
        <w:t>The</w:t>
      </w:r>
      <w:r>
        <w:rPr>
          <w:spacing w:val="10"/>
          <w:sz w:val="16"/>
        </w:rPr>
        <w:t> </w:t>
      </w:r>
      <w:r>
        <w:rPr>
          <w:sz w:val="16"/>
        </w:rPr>
        <w:t>Trend</w:t>
      </w:r>
      <w:r>
        <w:rPr>
          <w:spacing w:val="9"/>
          <w:sz w:val="16"/>
        </w:rPr>
        <w:t> </w:t>
      </w:r>
      <w:r>
        <w:rPr>
          <w:spacing w:val="-5"/>
          <w:sz w:val="16"/>
        </w:rPr>
        <w:t>Day</w:t>
      </w:r>
    </w:p>
    <w:p>
      <w:pPr>
        <w:spacing w:after="0"/>
        <w:jc w:val="both"/>
        <w:rPr>
          <w:sz w:val="16"/>
        </w:rPr>
        <w:sectPr>
          <w:pgSz w:w="8640" w:h="12960"/>
          <w:pgMar w:header="579" w:footer="1060" w:top="760" w:bottom="1260" w:left="580" w:right="580"/>
        </w:sectPr>
      </w:pPr>
    </w:p>
    <w:p>
      <w:pPr>
        <w:pStyle w:val="BodyText"/>
        <w:spacing w:before="3"/>
      </w:pPr>
    </w:p>
    <w:p>
      <w:pPr>
        <w:pStyle w:val="BodyText"/>
        <w:spacing w:before="64"/>
        <w:ind w:left="500" w:right="135" w:firstLine="432"/>
        <w:jc w:val="both"/>
      </w:pPr>
      <w:r>
        <w:rPr/>
        <w:t>The second type of market day is called the </w:t>
      </w:r>
      <w:r>
        <w:rPr>
          <w:i/>
        </w:rPr>
        <w:t>Double-Distribution Trend</w:t>
      </w:r>
      <w:r>
        <w:rPr>
          <w:i/>
        </w:rPr>
        <w:t> Day</w:t>
      </w:r>
      <w:r>
        <w:rPr/>
        <w:t>. While this day is a trending day, it in no way has the confidence or conviction of a Trend Day. Instead, this type of day is characterized by its indecisive nature at the outset of the session. During this type of day, the market</w:t>
      </w:r>
      <w:r>
        <w:rPr>
          <w:spacing w:val="-1"/>
        </w:rPr>
        <w:t> </w:t>
      </w:r>
      <w:r>
        <w:rPr/>
        <w:t>will</w:t>
      </w:r>
      <w:r>
        <w:rPr>
          <w:spacing w:val="-2"/>
        </w:rPr>
        <w:t> </w:t>
      </w:r>
      <w:r>
        <w:rPr/>
        <w:t>usually</w:t>
      </w:r>
      <w:r>
        <w:rPr>
          <w:spacing w:val="-2"/>
        </w:rPr>
        <w:t> </w:t>
      </w:r>
      <w:r>
        <w:rPr/>
        <w:t>open</w:t>
      </w:r>
      <w:r>
        <w:rPr>
          <w:spacing w:val="-2"/>
        </w:rPr>
        <w:t> </w:t>
      </w:r>
      <w:r>
        <w:rPr/>
        <w:t>the</w:t>
      </w:r>
      <w:r>
        <w:rPr>
          <w:spacing w:val="-2"/>
        </w:rPr>
        <w:t> </w:t>
      </w:r>
      <w:r>
        <w:rPr/>
        <w:t>session</w:t>
      </w:r>
      <w:r>
        <w:rPr>
          <w:spacing w:val="-2"/>
        </w:rPr>
        <w:t> </w:t>
      </w:r>
      <w:r>
        <w:rPr/>
        <w:t>in</w:t>
      </w:r>
      <w:r>
        <w:rPr>
          <w:spacing w:val="-2"/>
        </w:rPr>
        <w:t> </w:t>
      </w:r>
      <w:r>
        <w:rPr/>
        <w:t>a</w:t>
      </w:r>
      <w:r>
        <w:rPr>
          <w:spacing w:val="-2"/>
        </w:rPr>
        <w:t> </w:t>
      </w:r>
      <w:r>
        <w:rPr/>
        <w:t>quiet</w:t>
      </w:r>
      <w:r>
        <w:rPr>
          <w:spacing w:val="-1"/>
        </w:rPr>
        <w:t> </w:t>
      </w:r>
      <w:r>
        <w:rPr/>
        <w:t>manner,</w:t>
      </w:r>
      <w:r>
        <w:rPr>
          <w:spacing w:val="-2"/>
        </w:rPr>
        <w:t> </w:t>
      </w:r>
      <w:r>
        <w:rPr/>
        <w:t>trading</w:t>
      </w:r>
      <w:r>
        <w:rPr>
          <w:spacing w:val="-2"/>
        </w:rPr>
        <w:t> </w:t>
      </w:r>
      <w:r>
        <w:rPr/>
        <w:t>within</w:t>
      </w:r>
      <w:r>
        <w:rPr>
          <w:spacing w:val="-2"/>
        </w:rPr>
        <w:t> </w:t>
      </w:r>
      <w:r>
        <w:rPr/>
        <w:t>a</w:t>
      </w:r>
      <w:r>
        <w:rPr>
          <w:spacing w:val="-2"/>
        </w:rPr>
        <w:t> </w:t>
      </w:r>
      <w:r>
        <w:rPr/>
        <w:t>fairly tight range for the first hour or two of the session, thereby creating an initial balance</w:t>
      </w:r>
      <w:r>
        <w:rPr>
          <w:spacing w:val="-2"/>
        </w:rPr>
        <w:t> </w:t>
      </w:r>
      <w:r>
        <w:rPr/>
        <w:t>that</w:t>
      </w:r>
      <w:r>
        <w:rPr>
          <w:spacing w:val="-2"/>
        </w:rPr>
        <w:t> </w:t>
      </w:r>
      <w:r>
        <w:rPr/>
        <w:t>is</w:t>
      </w:r>
      <w:r>
        <w:rPr>
          <w:spacing w:val="-2"/>
        </w:rPr>
        <w:t> </w:t>
      </w:r>
      <w:r>
        <w:rPr/>
        <w:t>narrow.</w:t>
      </w:r>
      <w:r>
        <w:rPr>
          <w:spacing w:val="-2"/>
        </w:rPr>
        <w:t> </w:t>
      </w:r>
      <w:r>
        <w:rPr/>
        <w:t>The</w:t>
      </w:r>
      <w:r>
        <w:rPr>
          <w:spacing w:val="-3"/>
        </w:rPr>
        <w:t> </w:t>
      </w:r>
      <w:r>
        <w:rPr>
          <w:i/>
        </w:rPr>
        <w:t>initial</w:t>
      </w:r>
      <w:r>
        <w:rPr>
          <w:i/>
          <w:spacing w:val="-2"/>
        </w:rPr>
        <w:t> </w:t>
      </w:r>
      <w:r>
        <w:rPr>
          <w:i/>
        </w:rPr>
        <w:t>balance</w:t>
      </w:r>
      <w:r>
        <w:rPr>
          <w:i/>
          <w:spacing w:val="-3"/>
        </w:rPr>
        <w:t> </w:t>
      </w:r>
      <w:r>
        <w:rPr/>
        <w:t>is</w:t>
      </w:r>
      <w:r>
        <w:rPr>
          <w:spacing w:val="-2"/>
        </w:rPr>
        <w:t> </w:t>
      </w:r>
      <w:r>
        <w:rPr/>
        <w:t>traditionally</w:t>
      </w:r>
      <w:r>
        <w:rPr>
          <w:spacing w:val="-2"/>
        </w:rPr>
        <w:t> </w:t>
      </w:r>
      <w:r>
        <w:rPr/>
        <w:t>defined</w:t>
      </w:r>
      <w:r>
        <w:rPr>
          <w:spacing w:val="-2"/>
        </w:rPr>
        <w:t> </w:t>
      </w:r>
      <w:r>
        <w:rPr/>
        <w:t>as</w:t>
      </w:r>
      <w:r>
        <w:rPr>
          <w:spacing w:val="-2"/>
        </w:rPr>
        <w:t> </w:t>
      </w:r>
      <w:r>
        <w:rPr/>
        <w:t>the</w:t>
      </w:r>
      <w:r>
        <w:rPr>
          <w:spacing w:val="-2"/>
        </w:rPr>
        <w:t> </w:t>
      </w:r>
      <w:r>
        <w:rPr/>
        <w:t>price range of the first hour of the day, which is extremely important to professionals on the floors of the exchanges. They use the </w:t>
      </w:r>
      <w:r>
        <w:rPr>
          <w:i/>
        </w:rPr>
        <w:t>initial balance</w:t>
      </w:r>
      <w:r>
        <w:rPr>
          <w:i/>
          <w:spacing w:val="40"/>
        </w:rPr>
        <w:t> </w:t>
      </w:r>
      <w:r>
        <w:rPr>
          <w:i/>
        </w:rPr>
        <w:t>high (IBH) </w:t>
      </w:r>
      <w:r>
        <w:rPr/>
        <w:t>and the </w:t>
      </w:r>
      <w:r>
        <w:rPr>
          <w:i/>
        </w:rPr>
        <w:t>initial balance low (IBL) </w:t>
      </w:r>
      <w:r>
        <w:rPr/>
        <w:t>as important points of reference in order to facilitate trade between buyers and sellers. If the initial balance is too narrow, price will break free from the range and auction toward new value, creating </w:t>
      </w:r>
      <w:r>
        <w:rPr>
          <w:i/>
        </w:rPr>
        <w:t>range extension</w:t>
      </w:r>
      <w:r>
        <w:rPr/>
        <w:t>, which is any movement outside the initial balance. After the initial balance of the Double-Distribution Trend Day has been defined, price will break out from the range and auction toward new value, where it will form a second distribution of price. This is the market’s attempt at confirming whether new value has indeed been established.</w:t>
      </w:r>
    </w:p>
    <w:p>
      <w:pPr>
        <w:pStyle w:val="BodyText"/>
        <w:ind w:left="500" w:right="135" w:firstLine="719"/>
        <w:jc w:val="both"/>
      </w:pPr>
      <w:r>
        <w:rPr/>
        <w:t>If the Trend Day is akin to a sprinter, then the Double-Distribution Trend Day is more like a jogger. The jogger will take his time to properly stretch and warm up before actually beginning his run. Once the “warm up” phase is complete, the jogger runs at a moderate pace toward his destination. Once he has finished his run, he will begin the “cooling down” phase of his exercise. Along the same lines, the Double-Distribution Trend Day opens the session quietly, trading within a tight range that can be viewed as the day’s “warm up” period. Eventually, price breaks free of the range and begins trending toward new value, igniting initiative buying or selling. Once the market finds new value, it then builds out another range before ending the day.</w:t>
      </w:r>
      <w:r>
        <w:rPr>
          <w:spacing w:val="-1"/>
        </w:rPr>
        <w:t> </w:t>
      </w:r>
      <w:r>
        <w:rPr/>
        <w:t>The ranges formed at both the beginning</w:t>
      </w:r>
      <w:r>
        <w:rPr>
          <w:spacing w:val="-1"/>
        </w:rPr>
        <w:t> </w:t>
      </w:r>
      <w:r>
        <w:rPr/>
        <w:t>and end of the day is where the term “double-distribution” comes from, as the bulk of the day’s volume resides at one of these extremes, essentially forming a double distribution of trading activity.</w:t>
      </w:r>
    </w:p>
    <w:p>
      <w:pPr>
        <w:pStyle w:val="BodyText"/>
        <w:ind w:left="500" w:right="135" w:firstLine="432"/>
        <w:jc w:val="both"/>
      </w:pPr>
      <w:r>
        <w:rPr/>
        <w:t>Take a look at Figure 1.3, which is a five-minute chart of the E-Mini NASDAQ 100 futures contract, also called the NQ. This chart shows a</w:t>
      </w:r>
      <w:r>
        <w:rPr>
          <w:spacing w:val="40"/>
        </w:rPr>
        <w:t> </w:t>
      </w:r>
      <w:r>
        <w:rPr/>
        <w:t>classic Double-Distribution Trend Day, as price basically traded within a fairly narrow range during the first two hours of the day. Since the initial balance was narrow, it became evident that either buyers or sellers would eventually overwhelm the range and push price toward a new area of value. In this case, initiative selling pressure extended the day’s range to the downside and pushed price to lower value, where it eventually ended the day within the boundaries of a second range, thereby forming a second distribution of the day’s trading activity.</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7"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7"/>
          <w:sz w:val="16"/>
        </w:rPr>
        <w:t> </w:t>
      </w:r>
      <w:r>
        <w:rPr>
          <w:sz w:val="16"/>
        </w:rPr>
        <w:t>1.3:</w:t>
      </w:r>
      <w:r>
        <w:rPr>
          <w:spacing w:val="8"/>
          <w:sz w:val="16"/>
        </w:rPr>
        <w:t> </w:t>
      </w:r>
      <w:r>
        <w:rPr>
          <w:sz w:val="16"/>
        </w:rPr>
        <w:t>The</w:t>
      </w:r>
      <w:r>
        <w:rPr>
          <w:spacing w:val="8"/>
          <w:sz w:val="16"/>
        </w:rPr>
        <w:t> </w:t>
      </w:r>
      <w:r>
        <w:rPr>
          <w:sz w:val="16"/>
        </w:rPr>
        <w:t>Double-Distribution</w:t>
      </w:r>
      <w:r>
        <w:rPr>
          <w:spacing w:val="7"/>
          <w:sz w:val="16"/>
        </w:rPr>
        <w:t> </w:t>
      </w:r>
      <w:r>
        <w:rPr>
          <w:sz w:val="16"/>
        </w:rPr>
        <w:t>Trend</w:t>
      </w:r>
      <w:r>
        <w:rPr>
          <w:spacing w:val="7"/>
          <w:sz w:val="16"/>
        </w:rPr>
        <w:t> </w:t>
      </w:r>
      <w:r>
        <w:rPr>
          <w:spacing w:val="-5"/>
          <w:sz w:val="16"/>
        </w:rPr>
        <w:t>Day</w:t>
      </w:r>
    </w:p>
    <w:p>
      <w:pPr>
        <w:pStyle w:val="BodyText"/>
        <w:spacing w:before="2"/>
      </w:pPr>
    </w:p>
    <w:p>
      <w:pPr>
        <w:pStyle w:val="BodyText"/>
        <w:ind w:left="139" w:right="495" w:firstLine="719"/>
        <w:jc w:val="both"/>
      </w:pPr>
      <w:r>
        <w:rPr/>
        <w:t>The initial balance is the base for any day’s trading and is extremely important to the Double-Distribution Trend Day. A narrow initial balance is easily broken, while a wide initial balance is harder to break. The fact that</w:t>
      </w:r>
      <w:r>
        <w:rPr>
          <w:spacing w:val="80"/>
        </w:rPr>
        <w:t> </w:t>
      </w:r>
      <w:r>
        <w:rPr/>
        <w:t>the initial balance is narrow on this type of day indicates that there is a good possibility of a breakout from the initial range, indicating that you will likely see a move toward new value. Think about it like this, if you were designing</w:t>
      </w:r>
      <w:r>
        <w:rPr>
          <w:spacing w:val="40"/>
        </w:rPr>
        <w:t> </w:t>
      </w:r>
      <w:r>
        <w:rPr/>
        <w:t>a coffee table, one of the biggest areas of focus would be the base of the</w:t>
      </w:r>
      <w:r>
        <w:rPr>
          <w:spacing w:val="40"/>
        </w:rPr>
        <w:t> </w:t>
      </w:r>
      <w:r>
        <w:rPr/>
        <w:t>table. If the base is wide, you will be confident that the table will remain upright, regardless of any pressure or weight added to the table. However, if the base of the coffee table were made too narrow, it is only a matter of time before the table topples over or crumbles beneath its weight. Similarly, the narrow initial balance at the beginning of the Double-Distribution Trend Day indicates that either buyers or sellers will eventually overwhelm one side or the other. Once direction is decided, price will freely move toward a new</w:t>
      </w:r>
      <w:r>
        <w:rPr>
          <w:spacing w:val="40"/>
        </w:rPr>
        <w:t> </w:t>
      </w:r>
      <w:r>
        <w:rPr/>
        <w:t>area of value since it is being driven by initiative market participants.</w:t>
      </w:r>
    </w:p>
    <w:p>
      <w:pPr>
        <w:pStyle w:val="BodyText"/>
        <w:ind w:left="139" w:right="499" w:firstLine="432"/>
        <w:jc w:val="both"/>
      </w:pPr>
      <w:r>
        <w:rPr/>
        <w:t>The third</w:t>
      </w:r>
      <w:r>
        <w:rPr>
          <w:spacing w:val="-1"/>
        </w:rPr>
        <w:t> </w:t>
      </w:r>
      <w:r>
        <w:rPr/>
        <w:t>type of market day is</w:t>
      </w:r>
      <w:r>
        <w:rPr>
          <w:spacing w:val="-1"/>
        </w:rPr>
        <w:t> </w:t>
      </w:r>
      <w:r>
        <w:rPr/>
        <w:t>called the</w:t>
      </w:r>
      <w:r>
        <w:rPr>
          <w:spacing w:val="-1"/>
        </w:rPr>
        <w:t> </w:t>
      </w:r>
      <w:r>
        <w:rPr>
          <w:i/>
        </w:rPr>
        <w:t>Typical Day</w:t>
      </w:r>
      <w:r>
        <w:rPr/>
        <w:t>. The Typical Day is characterized by a wide initial balance that is established at the outset of</w:t>
      </w:r>
      <w:r>
        <w:rPr>
          <w:spacing w:val="40"/>
        </w:rPr>
        <w:t> </w:t>
      </w:r>
      <w:r>
        <w:rPr/>
        <w:t>the day. On this type of day, price rallies or drops sharply to begin the</w:t>
      </w:r>
      <w:r>
        <w:rPr>
          <w:spacing w:val="40"/>
        </w:rPr>
        <w:t> </w:t>
      </w:r>
      <w:r>
        <w:rPr/>
        <w:t>session and moves far enough away from value to entice responsive participants</w:t>
      </w:r>
      <w:r>
        <w:rPr>
          <w:spacing w:val="22"/>
        </w:rPr>
        <w:t> </w:t>
      </w:r>
      <w:r>
        <w:rPr/>
        <w:t>to</w:t>
      </w:r>
      <w:r>
        <w:rPr>
          <w:spacing w:val="23"/>
        </w:rPr>
        <w:t> </w:t>
      </w:r>
      <w:r>
        <w:rPr/>
        <w:t>enter</w:t>
      </w:r>
      <w:r>
        <w:rPr>
          <w:spacing w:val="23"/>
        </w:rPr>
        <w:t> </w:t>
      </w:r>
      <w:r>
        <w:rPr/>
        <w:t>the</w:t>
      </w:r>
      <w:r>
        <w:rPr>
          <w:spacing w:val="22"/>
        </w:rPr>
        <w:t> </w:t>
      </w:r>
      <w:r>
        <w:rPr/>
        <w:t>market.</w:t>
      </w:r>
      <w:r>
        <w:rPr>
          <w:spacing w:val="21"/>
        </w:rPr>
        <w:t> </w:t>
      </w:r>
      <w:r>
        <w:rPr/>
        <w:t>The</w:t>
      </w:r>
      <w:r>
        <w:rPr>
          <w:spacing w:val="23"/>
        </w:rPr>
        <w:t> </w:t>
      </w:r>
      <w:r>
        <w:rPr/>
        <w:t>responsive</w:t>
      </w:r>
      <w:r>
        <w:rPr>
          <w:spacing w:val="22"/>
        </w:rPr>
        <w:t> </w:t>
      </w:r>
      <w:r>
        <w:rPr/>
        <w:t>players</w:t>
      </w:r>
      <w:r>
        <w:rPr>
          <w:spacing w:val="23"/>
        </w:rPr>
        <w:t> </w:t>
      </w:r>
      <w:r>
        <w:rPr/>
        <w:t>push</w:t>
      </w:r>
      <w:r>
        <w:rPr>
          <w:spacing w:val="22"/>
        </w:rPr>
        <w:t> </w:t>
      </w:r>
      <w:r>
        <w:rPr/>
        <w:t>price</w:t>
      </w:r>
      <w:r>
        <w:rPr>
          <w:spacing w:val="23"/>
        </w:rPr>
        <w:t> </w:t>
      </w:r>
      <w:r>
        <w:rPr/>
        <w:t>back</w:t>
      </w:r>
      <w:r>
        <w:rPr>
          <w:spacing w:val="23"/>
        </w:rPr>
        <w:t> </w:t>
      </w:r>
      <w:r>
        <w:rPr>
          <w:spacing w:val="-5"/>
        </w:rPr>
        <w:t>in</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5"/>
        <w:jc w:val="both"/>
      </w:pPr>
      <w:r>
        <w:rPr/>
        <w:t>the opposite direction, essentially establishing the day’s trading extremes. The market then trades quietly within the day’s extremes the remainder of</w:t>
      </w:r>
      <w:r>
        <w:rPr>
          <w:spacing w:val="80"/>
        </w:rPr>
        <w:t> </w:t>
      </w:r>
      <w:r>
        <w:rPr/>
        <w:t>the session.</w:t>
      </w:r>
    </w:p>
    <w:p>
      <w:pPr>
        <w:pStyle w:val="BodyText"/>
        <w:spacing w:before="1"/>
        <w:ind w:left="500" w:right="136" w:firstLine="719"/>
        <w:jc w:val="both"/>
      </w:pPr>
      <w:r>
        <w:rPr/>
        <w:t>The opening rally or sell-off is usually sparked by reactions to economic news that hits the market early in the day. This opening push creates a wide initial balance, which means the day’s “base” is wide and will likely go unbroken. Remember, if the base of the coffee table is wide, it will likely remain upright regardless of any added pressure or weight. Likewise, a wide base during the first hour of the market will likely mean that the day’s extremes will also remain intact, or unbroken.</w:t>
      </w:r>
    </w:p>
    <w:p>
      <w:pPr>
        <w:pStyle w:val="BodyText"/>
        <w:ind w:left="500" w:right="134" w:firstLine="719"/>
        <w:jc w:val="both"/>
      </w:pPr>
      <w:r>
        <w:rPr/>
        <w:t>Figure 1.4 is a five-minute chart of the Dow futures contract, which clearly</w:t>
      </w:r>
      <w:r>
        <w:rPr>
          <w:spacing w:val="-1"/>
        </w:rPr>
        <w:t> </w:t>
      </w:r>
      <w:r>
        <w:rPr/>
        <w:t>illustrates</w:t>
      </w:r>
      <w:r>
        <w:rPr>
          <w:spacing w:val="-1"/>
        </w:rPr>
        <w:t> </w:t>
      </w:r>
      <w:r>
        <w:rPr/>
        <w:t>the</w:t>
      </w:r>
      <w:r>
        <w:rPr>
          <w:spacing w:val="-1"/>
        </w:rPr>
        <w:t> </w:t>
      </w:r>
      <w:r>
        <w:rPr/>
        <w:t>classic</w:t>
      </w:r>
      <w:r>
        <w:rPr>
          <w:spacing w:val="-1"/>
        </w:rPr>
        <w:t> </w:t>
      </w:r>
      <w:r>
        <w:rPr/>
        <w:t>Typical</w:t>
      </w:r>
      <w:r>
        <w:rPr>
          <w:spacing w:val="-1"/>
        </w:rPr>
        <w:t> </w:t>
      </w:r>
      <w:r>
        <w:rPr/>
        <w:t>Day.</w:t>
      </w:r>
      <w:r>
        <w:rPr>
          <w:spacing w:val="-1"/>
        </w:rPr>
        <w:t> </w:t>
      </w:r>
      <w:r>
        <w:rPr/>
        <w:t>The</w:t>
      </w:r>
      <w:r>
        <w:rPr>
          <w:spacing w:val="-1"/>
        </w:rPr>
        <w:t> </w:t>
      </w:r>
      <w:r>
        <w:rPr/>
        <w:t>YM</w:t>
      </w:r>
      <w:r>
        <w:rPr>
          <w:spacing w:val="-1"/>
        </w:rPr>
        <w:t> </w:t>
      </w:r>
      <w:r>
        <w:rPr/>
        <w:t>opened</w:t>
      </w:r>
      <w:r>
        <w:rPr>
          <w:spacing w:val="-1"/>
        </w:rPr>
        <w:t> </w:t>
      </w:r>
      <w:r>
        <w:rPr/>
        <w:t>the</w:t>
      </w:r>
      <w:r>
        <w:rPr>
          <w:spacing w:val="-1"/>
        </w:rPr>
        <w:t> </w:t>
      </w:r>
      <w:r>
        <w:rPr/>
        <w:t>day</w:t>
      </w:r>
      <w:r>
        <w:rPr>
          <w:spacing w:val="-2"/>
        </w:rPr>
        <w:t> </w:t>
      </w:r>
      <w:r>
        <w:rPr/>
        <w:t>with</w:t>
      </w:r>
      <w:r>
        <w:rPr>
          <w:spacing w:val="-1"/>
        </w:rPr>
        <w:t> </w:t>
      </w:r>
      <w:r>
        <w:rPr/>
        <w:t>early strength in the first hour of the session, establishing a 117-point range, or initial balance. After the wide initial balance was established, the battle lines had clearly been drawn between buyers and sellers. During this type of day, you will usually see price trade back and forth within the boundaries of the opening range, as fair trade is easily being facilitated.</w:t>
      </w:r>
    </w:p>
    <w:p>
      <w:pPr>
        <w:pStyle w:val="BodyText"/>
        <w:rPr>
          <w:sz w:val="20"/>
        </w:rPr>
      </w:pPr>
      <w:r>
        <w:rPr/>
        <w:drawing>
          <wp:anchor distT="0" distB="0" distL="0" distR="0" allowOverlap="1" layoutInCell="1" locked="0" behindDoc="0" simplePos="0" relativeHeight="8">
            <wp:simplePos x="0" y="0"/>
            <wp:positionH relativeFrom="page">
              <wp:posOffset>685800</wp:posOffset>
            </wp:positionH>
            <wp:positionV relativeFrom="paragraph">
              <wp:posOffset>161336</wp:posOffset>
            </wp:positionV>
            <wp:extent cx="4342239" cy="3111722"/>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8" cstate="print"/>
                    <a:stretch>
                      <a:fillRect/>
                    </a:stretch>
                  </pic:blipFill>
                  <pic:spPr>
                    <a:xfrm>
                      <a:off x="0" y="0"/>
                      <a:ext cx="4342239" cy="3111722"/>
                    </a:xfrm>
                    <a:prstGeom prst="rect">
                      <a:avLst/>
                    </a:prstGeom>
                  </pic:spPr>
                </pic:pic>
              </a:graphicData>
            </a:graphic>
          </wp:anchor>
        </w:drawing>
      </w:r>
    </w:p>
    <w:p>
      <w:pPr>
        <w:spacing w:before="0"/>
        <w:ind w:left="500" w:right="0" w:firstLine="0"/>
        <w:jc w:val="both"/>
        <w:rPr>
          <w:sz w:val="16"/>
        </w:rPr>
      </w:pPr>
      <w:r>
        <w:rPr>
          <w:sz w:val="16"/>
        </w:rPr>
        <w:t>FIGURE</w:t>
      </w:r>
      <w:r>
        <w:rPr>
          <w:spacing w:val="9"/>
          <w:sz w:val="16"/>
        </w:rPr>
        <w:t> </w:t>
      </w:r>
      <w:r>
        <w:rPr>
          <w:sz w:val="16"/>
        </w:rPr>
        <w:t>1.4:</w:t>
      </w:r>
      <w:r>
        <w:rPr>
          <w:spacing w:val="10"/>
          <w:sz w:val="16"/>
        </w:rPr>
        <w:t> </w:t>
      </w:r>
      <w:r>
        <w:rPr>
          <w:sz w:val="16"/>
        </w:rPr>
        <w:t>The</w:t>
      </w:r>
      <w:r>
        <w:rPr>
          <w:spacing w:val="10"/>
          <w:sz w:val="16"/>
        </w:rPr>
        <w:t> </w:t>
      </w:r>
      <w:r>
        <w:rPr>
          <w:sz w:val="16"/>
        </w:rPr>
        <w:t>Typical</w:t>
      </w:r>
      <w:r>
        <w:rPr>
          <w:spacing w:val="9"/>
          <w:sz w:val="16"/>
        </w:rPr>
        <w:t> </w:t>
      </w:r>
      <w:r>
        <w:rPr>
          <w:spacing w:val="-5"/>
          <w:sz w:val="16"/>
        </w:rPr>
        <w:t>Day</w:t>
      </w:r>
    </w:p>
    <w:p>
      <w:pPr>
        <w:pStyle w:val="BodyText"/>
        <w:spacing w:before="10"/>
        <w:rPr>
          <w:sz w:val="21"/>
        </w:rPr>
      </w:pPr>
    </w:p>
    <w:p>
      <w:pPr>
        <w:pStyle w:val="BodyText"/>
        <w:ind w:left="499" w:right="169" w:firstLine="432"/>
      </w:pPr>
      <w:r>
        <w:rPr/>
        <w:t>The fourth type of market day is the </w:t>
      </w:r>
      <w:r>
        <w:rPr>
          <w:i/>
        </w:rPr>
        <w:t>Expanded Typical Day</w:t>
      </w:r>
      <w:r>
        <w:rPr/>
        <w:t>. This type</w:t>
      </w:r>
      <w:r>
        <w:rPr>
          <w:spacing w:val="40"/>
        </w:rPr>
        <w:t> </w:t>
      </w:r>
      <w:r>
        <w:rPr/>
        <w:t>of</w:t>
      </w:r>
      <w:r>
        <w:rPr>
          <w:spacing w:val="7"/>
        </w:rPr>
        <w:t> </w:t>
      </w:r>
      <w:r>
        <w:rPr/>
        <w:t>day</w:t>
      </w:r>
      <w:r>
        <w:rPr>
          <w:spacing w:val="8"/>
        </w:rPr>
        <w:t> </w:t>
      </w:r>
      <w:r>
        <w:rPr/>
        <w:t>is</w:t>
      </w:r>
      <w:r>
        <w:rPr>
          <w:spacing w:val="7"/>
        </w:rPr>
        <w:t> </w:t>
      </w:r>
      <w:r>
        <w:rPr/>
        <w:t>similar</w:t>
      </w:r>
      <w:r>
        <w:rPr>
          <w:spacing w:val="8"/>
        </w:rPr>
        <w:t> </w:t>
      </w:r>
      <w:r>
        <w:rPr/>
        <w:t>to</w:t>
      </w:r>
      <w:r>
        <w:rPr>
          <w:spacing w:val="7"/>
        </w:rPr>
        <w:t> </w:t>
      </w:r>
      <w:r>
        <w:rPr/>
        <w:t>the</w:t>
      </w:r>
      <w:r>
        <w:rPr>
          <w:spacing w:val="8"/>
        </w:rPr>
        <w:t> </w:t>
      </w:r>
      <w:r>
        <w:rPr/>
        <w:t>Typical</w:t>
      </w:r>
      <w:r>
        <w:rPr>
          <w:spacing w:val="7"/>
        </w:rPr>
        <w:t> </w:t>
      </w:r>
      <w:r>
        <w:rPr/>
        <w:t>Day</w:t>
      </w:r>
      <w:r>
        <w:rPr>
          <w:spacing w:val="8"/>
        </w:rPr>
        <w:t> </w:t>
      </w:r>
      <w:r>
        <w:rPr/>
        <w:t>in</w:t>
      </w:r>
      <w:r>
        <w:rPr>
          <w:spacing w:val="7"/>
        </w:rPr>
        <w:t> </w:t>
      </w:r>
      <w:r>
        <w:rPr/>
        <w:t>that</w:t>
      </w:r>
      <w:r>
        <w:rPr>
          <w:spacing w:val="8"/>
        </w:rPr>
        <w:t> </w:t>
      </w:r>
      <w:r>
        <w:rPr/>
        <w:t>it</w:t>
      </w:r>
      <w:r>
        <w:rPr>
          <w:spacing w:val="8"/>
        </w:rPr>
        <w:t> </w:t>
      </w:r>
      <w:r>
        <w:rPr/>
        <w:t>usually</w:t>
      </w:r>
      <w:r>
        <w:rPr>
          <w:spacing w:val="7"/>
        </w:rPr>
        <w:t> </w:t>
      </w:r>
      <w:r>
        <w:rPr/>
        <w:t>begins</w:t>
      </w:r>
      <w:r>
        <w:rPr>
          <w:spacing w:val="8"/>
        </w:rPr>
        <w:t> </w:t>
      </w:r>
      <w:r>
        <w:rPr/>
        <w:t>the</w:t>
      </w:r>
      <w:r>
        <w:rPr>
          <w:spacing w:val="7"/>
        </w:rPr>
        <w:t> </w:t>
      </w:r>
      <w:r>
        <w:rPr/>
        <w:t>session</w:t>
      </w:r>
      <w:r>
        <w:rPr>
          <w:spacing w:val="8"/>
        </w:rPr>
        <w:t> </w:t>
      </w:r>
      <w:r>
        <w:rPr>
          <w:spacing w:val="-4"/>
        </w:rPr>
        <w:t>with</w:t>
      </w:r>
    </w:p>
    <w:p>
      <w:pPr>
        <w:spacing w:after="0"/>
        <w:sectPr>
          <w:pgSz w:w="8640" w:h="12960"/>
          <w:pgMar w:header="536" w:footer="1060" w:top="720" w:bottom="1260" w:left="580" w:right="580"/>
        </w:sectPr>
      </w:pPr>
    </w:p>
    <w:p>
      <w:pPr>
        <w:pStyle w:val="BodyText"/>
        <w:spacing w:before="5"/>
        <w:rPr>
          <w:sz w:val="18"/>
        </w:rPr>
      </w:pPr>
    </w:p>
    <w:p>
      <w:pPr>
        <w:pStyle w:val="BodyText"/>
        <w:spacing w:before="64"/>
        <w:ind w:left="140" w:right="495"/>
        <w:jc w:val="both"/>
      </w:pPr>
      <w:r>
        <w:rPr/>
        <w:t>early directional conviction. However, price movement at the open is not as strong as that</w:t>
      </w:r>
      <w:r>
        <w:rPr>
          <w:spacing w:val="-1"/>
        </w:rPr>
        <w:t> </w:t>
      </w:r>
      <w:r>
        <w:rPr/>
        <w:t>seen during</w:t>
      </w:r>
      <w:r>
        <w:rPr>
          <w:spacing w:val="-2"/>
        </w:rPr>
        <w:t> </w:t>
      </w:r>
      <w:r>
        <w:rPr/>
        <w:t>a Typical Day. Therefore,</w:t>
      </w:r>
      <w:r>
        <w:rPr>
          <w:spacing w:val="-1"/>
        </w:rPr>
        <w:t> </w:t>
      </w:r>
      <w:r>
        <w:rPr/>
        <w:t>the initial balance, while wider than that of a Double-Distribution Trend Day, is not as wide as that of the</w:t>
      </w:r>
      <w:r>
        <w:rPr>
          <w:spacing w:val="-3"/>
        </w:rPr>
        <w:t> </w:t>
      </w:r>
      <w:r>
        <w:rPr/>
        <w:t>Typical</w:t>
      </w:r>
      <w:r>
        <w:rPr>
          <w:spacing w:val="-3"/>
        </w:rPr>
        <w:t> </w:t>
      </w:r>
      <w:r>
        <w:rPr/>
        <w:t>Day,</w:t>
      </w:r>
      <w:r>
        <w:rPr>
          <w:spacing w:val="-3"/>
        </w:rPr>
        <w:t> </w:t>
      </w:r>
      <w:r>
        <w:rPr/>
        <w:t>which</w:t>
      </w:r>
      <w:r>
        <w:rPr>
          <w:spacing w:val="-3"/>
        </w:rPr>
        <w:t> </w:t>
      </w:r>
      <w:r>
        <w:rPr/>
        <w:t>leaves</w:t>
      </w:r>
      <w:r>
        <w:rPr>
          <w:spacing w:val="-3"/>
        </w:rPr>
        <w:t> </w:t>
      </w:r>
      <w:r>
        <w:rPr/>
        <w:t>it</w:t>
      </w:r>
      <w:r>
        <w:rPr>
          <w:spacing w:val="-3"/>
        </w:rPr>
        <w:t> </w:t>
      </w:r>
      <w:r>
        <w:rPr/>
        <w:t>susceptible</w:t>
      </w:r>
      <w:r>
        <w:rPr>
          <w:spacing w:val="-3"/>
        </w:rPr>
        <w:t> </w:t>
      </w:r>
      <w:r>
        <w:rPr/>
        <w:t>to</w:t>
      </w:r>
      <w:r>
        <w:rPr>
          <w:spacing w:val="-3"/>
        </w:rPr>
        <w:t> </w:t>
      </w:r>
      <w:r>
        <w:rPr/>
        <w:t>a</w:t>
      </w:r>
      <w:r>
        <w:rPr>
          <w:spacing w:val="-3"/>
        </w:rPr>
        <w:t> </w:t>
      </w:r>
      <w:r>
        <w:rPr/>
        <w:t>violation</w:t>
      </w:r>
      <w:r>
        <w:rPr>
          <w:spacing w:val="-3"/>
        </w:rPr>
        <w:t> </w:t>
      </w:r>
      <w:r>
        <w:rPr/>
        <w:t>later</w:t>
      </w:r>
      <w:r>
        <w:rPr>
          <w:spacing w:val="-3"/>
        </w:rPr>
        <w:t> </w:t>
      </w:r>
      <w:r>
        <w:rPr/>
        <w:t>in</w:t>
      </w:r>
      <w:r>
        <w:rPr>
          <w:spacing w:val="-3"/>
        </w:rPr>
        <w:t> </w:t>
      </w:r>
      <w:r>
        <w:rPr/>
        <w:t>the</w:t>
      </w:r>
      <w:r>
        <w:rPr>
          <w:spacing w:val="-3"/>
        </w:rPr>
        <w:t> </w:t>
      </w:r>
      <w:r>
        <w:rPr/>
        <w:t>session. Eventually, one of the day’s extremes is violated and price movement is seen in the direction of the break, which is usually caused by initiative buying or selling behavior.</w:t>
      </w:r>
    </w:p>
    <w:p>
      <w:pPr>
        <w:pStyle w:val="BodyText"/>
        <w:ind w:left="140" w:right="496" w:firstLine="432"/>
        <w:jc w:val="both"/>
      </w:pPr>
      <w:r>
        <w:rPr/>
        <w:t>Take a look at Figure 1.5, which is a five-minute chart illustrating a common Expanded Typical Day in the YM. Notice the initial balance was wider than that of a Double-Distribution Trend Day, but not so wide as to challenge the width of the Typical Day. When the base of the day is neither wide nor narrow, it can be a coin flip whether a breakout will occur. The fact that the initial balance is not wide introduces the potential for failure at some point during the day at one of the extremes. In this particular case, initiative sellers overwhelmed the bottom of the day’s initial balance and extended price movement to the downside. Selling pressure essentially expanded the day’s range, thereby introducing the namesake for this type of day. The initiative selling pressure led to continued weakness the rest of the day, as price moved to establish lower value.</w:t>
      </w:r>
    </w:p>
    <w:p>
      <w:pPr>
        <w:pStyle w:val="BodyText"/>
        <w:spacing w:before="2"/>
        <w:rPr>
          <w:sz w:val="20"/>
        </w:rPr>
      </w:pPr>
      <w:r>
        <w:rPr/>
        <w:drawing>
          <wp:anchor distT="0" distB="0" distL="0" distR="0" allowOverlap="1" layoutInCell="1" locked="0" behindDoc="0" simplePos="0" relativeHeight="9">
            <wp:simplePos x="0" y="0"/>
            <wp:positionH relativeFrom="page">
              <wp:posOffset>457200</wp:posOffset>
            </wp:positionH>
            <wp:positionV relativeFrom="paragraph">
              <wp:posOffset>163063</wp:posOffset>
            </wp:positionV>
            <wp:extent cx="4343302" cy="3111722"/>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9" cstate="print"/>
                    <a:stretch>
                      <a:fillRect/>
                    </a:stretch>
                  </pic:blipFill>
                  <pic:spPr>
                    <a:xfrm>
                      <a:off x="0" y="0"/>
                      <a:ext cx="4343302" cy="3111722"/>
                    </a:xfrm>
                    <a:prstGeom prst="rect">
                      <a:avLst/>
                    </a:prstGeom>
                  </pic:spPr>
                </pic:pic>
              </a:graphicData>
            </a:graphic>
          </wp:anchor>
        </w:drawing>
      </w:r>
    </w:p>
    <w:p>
      <w:pPr>
        <w:spacing w:before="0"/>
        <w:ind w:left="140" w:right="0" w:firstLine="0"/>
        <w:jc w:val="both"/>
        <w:rPr>
          <w:sz w:val="16"/>
        </w:rPr>
      </w:pPr>
      <w:r>
        <w:rPr>
          <w:sz w:val="16"/>
        </w:rPr>
        <w:t>FIGURE</w:t>
      </w:r>
      <w:r>
        <w:rPr>
          <w:spacing w:val="6"/>
          <w:sz w:val="16"/>
        </w:rPr>
        <w:t> </w:t>
      </w:r>
      <w:r>
        <w:rPr>
          <w:sz w:val="16"/>
        </w:rPr>
        <w:t>1.5:</w:t>
      </w:r>
      <w:r>
        <w:rPr>
          <w:spacing w:val="8"/>
          <w:sz w:val="16"/>
        </w:rPr>
        <w:t> </w:t>
      </w:r>
      <w:r>
        <w:rPr>
          <w:sz w:val="16"/>
        </w:rPr>
        <w:t>The</w:t>
      </w:r>
      <w:r>
        <w:rPr>
          <w:spacing w:val="8"/>
          <w:sz w:val="16"/>
        </w:rPr>
        <w:t> </w:t>
      </w:r>
      <w:r>
        <w:rPr>
          <w:sz w:val="16"/>
        </w:rPr>
        <w:t>Expanded</w:t>
      </w:r>
      <w:r>
        <w:rPr>
          <w:spacing w:val="7"/>
          <w:sz w:val="16"/>
        </w:rPr>
        <w:t> </w:t>
      </w:r>
      <w:r>
        <w:rPr>
          <w:sz w:val="16"/>
        </w:rPr>
        <w:t>Typical</w:t>
      </w:r>
      <w:r>
        <w:rPr>
          <w:spacing w:val="8"/>
          <w:sz w:val="16"/>
        </w:rPr>
        <w:t> </w:t>
      </w:r>
      <w:r>
        <w:rPr>
          <w:spacing w:val="-5"/>
          <w:sz w:val="16"/>
        </w:rPr>
        <w:t>Day</w:t>
      </w:r>
    </w:p>
    <w:p>
      <w:pPr>
        <w:spacing w:after="0"/>
        <w:jc w:val="both"/>
        <w:rPr>
          <w:sz w:val="16"/>
        </w:rPr>
        <w:sectPr>
          <w:pgSz w:w="8640" w:h="12960"/>
          <w:pgMar w:header="579" w:footer="1060" w:top="760" w:bottom="1260" w:left="580" w:right="580"/>
        </w:sectPr>
      </w:pPr>
    </w:p>
    <w:p>
      <w:pPr>
        <w:pStyle w:val="BodyText"/>
        <w:spacing w:before="3"/>
      </w:pPr>
    </w:p>
    <w:p>
      <w:pPr>
        <w:pStyle w:val="BodyText"/>
        <w:spacing w:before="64"/>
        <w:ind w:left="500" w:right="136" w:firstLine="432"/>
        <w:jc w:val="both"/>
      </w:pPr>
      <w:r>
        <w:rPr/>
        <w:t>Keep in mind that during an Expanded Typical Day, both the upper and lower boundaries of the initial balance are susceptible to violations. On any given day, you will see one, or both, of the boundaries violated, as buyers</w:t>
      </w:r>
      <w:r>
        <w:rPr>
          <w:spacing w:val="40"/>
        </w:rPr>
        <w:t> </w:t>
      </w:r>
      <w:r>
        <w:rPr/>
        <w:t>and sellers attempt to push price toward their own perceived levels of value.</w:t>
      </w:r>
    </w:p>
    <w:p>
      <w:pPr>
        <w:pStyle w:val="BodyText"/>
        <w:ind w:left="500" w:right="137" w:firstLine="432"/>
        <w:jc w:val="both"/>
      </w:pPr>
      <w:r>
        <w:rPr/>
        <w:t>The last two types of days seem similar, but they have distinct differences that set them apart from each other. The Trading Range Day and the Sideways Day even sound similar, but the difference lies within the participation levels of both buyers and sellers. The </w:t>
      </w:r>
      <w:r>
        <w:rPr>
          <w:i/>
        </w:rPr>
        <w:t>Trading Range Day</w:t>
      </w:r>
      <w:r>
        <w:rPr>
          <w:i/>
          <w:spacing w:val="40"/>
        </w:rPr>
        <w:t> </w:t>
      </w:r>
      <w:r>
        <w:rPr/>
        <w:t>occurs when both buyers and sellers are actively auctioning price back and forth within the day’s range, which is usually established by the day’s initial balance. On this day, the initial balance is about as wide as that of a Typical Day, but instead of quietly trading within these two extremes throughout the day, buyers and sellers are actively pushing price back and forth.</w:t>
      </w:r>
    </w:p>
    <w:p>
      <w:pPr>
        <w:pStyle w:val="BodyText"/>
        <w:ind w:left="500" w:right="135" w:firstLine="432"/>
        <w:jc w:val="both"/>
      </w:pPr>
      <w:r>
        <w:rPr/>
        <w:t>This type of day is basically like a game of tennis. The players stand on opposite sides of the court and take turns volleying the ball to one another throughout the match. As the ball is in flight, a player will wait for the best opportunity</w:t>
      </w:r>
      <w:r>
        <w:rPr>
          <w:spacing w:val="-2"/>
        </w:rPr>
        <w:t> </w:t>
      </w:r>
      <w:r>
        <w:rPr/>
        <w:t>to</w:t>
      </w:r>
      <w:r>
        <w:rPr>
          <w:spacing w:val="-2"/>
        </w:rPr>
        <w:t> </w:t>
      </w:r>
      <w:r>
        <w:rPr/>
        <w:t>strike</w:t>
      </w:r>
      <w:r>
        <w:rPr>
          <w:spacing w:val="-2"/>
        </w:rPr>
        <w:t> </w:t>
      </w:r>
      <w:r>
        <w:rPr/>
        <w:t>the</w:t>
      </w:r>
      <w:r>
        <w:rPr>
          <w:spacing w:val="-2"/>
        </w:rPr>
        <w:t> </w:t>
      </w:r>
      <w:r>
        <w:rPr/>
        <w:t>ball,</w:t>
      </w:r>
      <w:r>
        <w:rPr>
          <w:spacing w:val="-2"/>
        </w:rPr>
        <w:t> </w:t>
      </w:r>
      <w:r>
        <w:rPr/>
        <w:t>essentially</w:t>
      </w:r>
      <w:r>
        <w:rPr>
          <w:spacing w:val="-2"/>
        </w:rPr>
        <w:t> </w:t>
      </w:r>
      <w:r>
        <w:rPr/>
        <w:t>returning</w:t>
      </w:r>
      <w:r>
        <w:rPr>
          <w:spacing w:val="-2"/>
        </w:rPr>
        <w:t> </w:t>
      </w:r>
      <w:r>
        <w:rPr/>
        <w:t>the</w:t>
      </w:r>
      <w:r>
        <w:rPr>
          <w:spacing w:val="-2"/>
        </w:rPr>
        <w:t> </w:t>
      </w:r>
      <w:r>
        <w:rPr/>
        <w:t>ball</w:t>
      </w:r>
      <w:r>
        <w:rPr>
          <w:spacing w:val="-2"/>
        </w:rPr>
        <w:t> </w:t>
      </w:r>
      <w:r>
        <w:rPr/>
        <w:t>to</w:t>
      </w:r>
      <w:r>
        <w:rPr>
          <w:spacing w:val="-2"/>
        </w:rPr>
        <w:t> </w:t>
      </w:r>
      <w:r>
        <w:rPr/>
        <w:t>the</w:t>
      </w:r>
      <w:r>
        <w:rPr>
          <w:spacing w:val="-2"/>
        </w:rPr>
        <w:t> </w:t>
      </w:r>
      <w:r>
        <w:rPr/>
        <w:t>other</w:t>
      </w:r>
      <w:r>
        <w:rPr>
          <w:spacing w:val="-2"/>
        </w:rPr>
        <w:t> </w:t>
      </w:r>
      <w:r>
        <w:rPr/>
        <w:t>side</w:t>
      </w:r>
      <w:r>
        <w:rPr>
          <w:spacing w:val="-2"/>
        </w:rPr>
        <w:t> </w:t>
      </w:r>
      <w:r>
        <w:rPr/>
        <w:t>of the court. Likewise, buyers and sellers will stand at the extremes of the day and will enter the market in a responsive manner when price reaches the</w:t>
      </w:r>
      <w:r>
        <w:rPr>
          <w:spacing w:val="40"/>
        </w:rPr>
        <w:t> </w:t>
      </w:r>
      <w:r>
        <w:rPr/>
        <w:t>outer limits of the day’s range. Responsive sellers will enter shorts at the top of the range, which essentially pushes price back toward the day’s lows, while responsive buyers will enter longs at the bottom of the range, which pushes price back toward the day’s highs. This pattern will continue until the closing bell sounds.</w:t>
      </w:r>
    </w:p>
    <w:p>
      <w:pPr>
        <w:pStyle w:val="BodyText"/>
        <w:ind w:left="500" w:right="136" w:firstLine="432"/>
        <w:jc w:val="both"/>
      </w:pPr>
      <w:r>
        <w:rPr/>
        <w:t>Figure</w:t>
      </w:r>
      <w:r>
        <w:rPr>
          <w:spacing w:val="-2"/>
        </w:rPr>
        <w:t> </w:t>
      </w:r>
      <w:r>
        <w:rPr/>
        <w:t>1.6</w:t>
      </w:r>
      <w:r>
        <w:rPr>
          <w:spacing w:val="-2"/>
        </w:rPr>
        <w:t> </w:t>
      </w:r>
      <w:r>
        <w:rPr/>
        <w:t>shows</w:t>
      </w:r>
      <w:r>
        <w:rPr>
          <w:spacing w:val="-2"/>
        </w:rPr>
        <w:t> </w:t>
      </w:r>
      <w:r>
        <w:rPr/>
        <w:t>a</w:t>
      </w:r>
      <w:r>
        <w:rPr>
          <w:spacing w:val="-1"/>
        </w:rPr>
        <w:t> </w:t>
      </w:r>
      <w:r>
        <w:rPr/>
        <w:t>five-minute</w:t>
      </w:r>
      <w:r>
        <w:rPr>
          <w:spacing w:val="-2"/>
        </w:rPr>
        <w:t> </w:t>
      </w:r>
      <w:r>
        <w:rPr/>
        <w:t>chart</w:t>
      </w:r>
      <w:r>
        <w:rPr>
          <w:spacing w:val="-2"/>
        </w:rPr>
        <w:t> </w:t>
      </w:r>
      <w:r>
        <w:rPr/>
        <w:t>of</w:t>
      </w:r>
      <w:r>
        <w:rPr>
          <w:spacing w:val="-1"/>
        </w:rPr>
        <w:t> </w:t>
      </w:r>
      <w:r>
        <w:rPr/>
        <w:t>the</w:t>
      </w:r>
      <w:r>
        <w:rPr>
          <w:spacing w:val="-2"/>
        </w:rPr>
        <w:t> </w:t>
      </w:r>
      <w:r>
        <w:rPr/>
        <w:t>YM</w:t>
      </w:r>
      <w:r>
        <w:rPr>
          <w:spacing w:val="-2"/>
        </w:rPr>
        <w:t> </w:t>
      </w:r>
      <w:r>
        <w:rPr/>
        <w:t>during</w:t>
      </w:r>
      <w:r>
        <w:rPr>
          <w:spacing w:val="-2"/>
        </w:rPr>
        <w:t> </w:t>
      </w:r>
      <w:r>
        <w:rPr/>
        <w:t>a</w:t>
      </w:r>
      <w:r>
        <w:rPr>
          <w:spacing w:val="-2"/>
        </w:rPr>
        <w:t> </w:t>
      </w:r>
      <w:r>
        <w:rPr/>
        <w:t>classic</w:t>
      </w:r>
      <w:r>
        <w:rPr>
          <w:spacing w:val="-2"/>
        </w:rPr>
        <w:t> </w:t>
      </w:r>
      <w:r>
        <w:rPr/>
        <w:t>Trading Range Day. Notice that the initial balance was fairly wide to begin the session, which meant that the base for the day would likely support the session’s trading activity. As price rose toward the top of the range at around 9,740,</w:t>
      </w:r>
      <w:r>
        <w:rPr>
          <w:spacing w:val="-3"/>
        </w:rPr>
        <w:t> </w:t>
      </w:r>
      <w:r>
        <w:rPr/>
        <w:t>responsive</w:t>
      </w:r>
      <w:r>
        <w:rPr>
          <w:spacing w:val="-4"/>
        </w:rPr>
        <w:t> </w:t>
      </w:r>
      <w:r>
        <w:rPr/>
        <w:t>sellers</w:t>
      </w:r>
      <w:r>
        <w:rPr>
          <w:spacing w:val="-3"/>
        </w:rPr>
        <w:t> </w:t>
      </w:r>
      <w:r>
        <w:rPr/>
        <w:t>saw</w:t>
      </w:r>
      <w:r>
        <w:rPr>
          <w:spacing w:val="-4"/>
        </w:rPr>
        <w:t> </w:t>
      </w:r>
      <w:r>
        <w:rPr/>
        <w:t>price</w:t>
      </w:r>
      <w:r>
        <w:rPr>
          <w:spacing w:val="-3"/>
        </w:rPr>
        <w:t> </w:t>
      </w:r>
      <w:r>
        <w:rPr/>
        <w:t>as</w:t>
      </w:r>
      <w:r>
        <w:rPr>
          <w:spacing w:val="-3"/>
        </w:rPr>
        <w:t> </w:t>
      </w:r>
      <w:r>
        <w:rPr/>
        <w:t>overvalued</w:t>
      </w:r>
      <w:r>
        <w:rPr>
          <w:spacing w:val="-3"/>
        </w:rPr>
        <w:t> </w:t>
      </w:r>
      <w:r>
        <w:rPr/>
        <w:t>and</w:t>
      </w:r>
      <w:r>
        <w:rPr>
          <w:spacing w:val="-3"/>
        </w:rPr>
        <w:t> </w:t>
      </w:r>
      <w:r>
        <w:rPr/>
        <w:t>entered</w:t>
      </w:r>
      <w:r>
        <w:rPr>
          <w:spacing w:val="-3"/>
        </w:rPr>
        <w:t> </w:t>
      </w:r>
      <w:r>
        <w:rPr/>
        <w:t>the</w:t>
      </w:r>
      <w:r>
        <w:rPr>
          <w:spacing w:val="-2"/>
        </w:rPr>
        <w:t> </w:t>
      </w:r>
      <w:r>
        <w:rPr/>
        <w:t>market</w:t>
      </w:r>
      <w:r>
        <w:rPr>
          <w:spacing w:val="-3"/>
        </w:rPr>
        <w:t> </w:t>
      </w:r>
      <w:r>
        <w:rPr/>
        <w:t>with sell orders, essentially pushing price back toward the day’s low. As price approached the bottom of the range at around 9,660, responsive buyers saw value and entered the market with buy</w:t>
      </w:r>
      <w:r>
        <w:rPr>
          <w:spacing w:val="-1"/>
        </w:rPr>
        <w:t> </w:t>
      </w:r>
      <w:r>
        <w:rPr/>
        <w:t>orders, which pushed price toward the opposite extreme. This type of market day offers easy facilitation of trade</w:t>
      </w:r>
      <w:r>
        <w:rPr>
          <w:spacing w:val="40"/>
        </w:rPr>
        <w:t> </w:t>
      </w:r>
      <w:r>
        <w:rPr/>
        <w:t>and gives traders amazing opportunities to time their entries.</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20"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7"/>
          <w:sz w:val="16"/>
        </w:rPr>
        <w:t> </w:t>
      </w:r>
      <w:r>
        <w:rPr>
          <w:sz w:val="16"/>
        </w:rPr>
        <w:t>1.6:</w:t>
      </w:r>
      <w:r>
        <w:rPr>
          <w:spacing w:val="9"/>
          <w:sz w:val="16"/>
        </w:rPr>
        <w:t> </w:t>
      </w:r>
      <w:r>
        <w:rPr>
          <w:sz w:val="16"/>
        </w:rPr>
        <w:t>The</w:t>
      </w:r>
      <w:r>
        <w:rPr>
          <w:spacing w:val="9"/>
          <w:sz w:val="16"/>
        </w:rPr>
        <w:t> </w:t>
      </w:r>
      <w:r>
        <w:rPr>
          <w:sz w:val="16"/>
        </w:rPr>
        <w:t>Trading</w:t>
      </w:r>
      <w:r>
        <w:rPr>
          <w:spacing w:val="8"/>
          <w:sz w:val="16"/>
        </w:rPr>
        <w:t> </w:t>
      </w:r>
      <w:r>
        <w:rPr>
          <w:sz w:val="16"/>
        </w:rPr>
        <w:t>Range</w:t>
      </w:r>
      <w:r>
        <w:rPr>
          <w:spacing w:val="8"/>
          <w:sz w:val="16"/>
        </w:rPr>
        <w:t> </w:t>
      </w:r>
      <w:r>
        <w:rPr>
          <w:spacing w:val="-5"/>
          <w:sz w:val="16"/>
        </w:rPr>
        <w:t>Day</w:t>
      </w:r>
    </w:p>
    <w:p>
      <w:pPr>
        <w:pStyle w:val="BodyText"/>
        <w:spacing w:before="2"/>
      </w:pPr>
    </w:p>
    <w:p>
      <w:pPr>
        <w:pStyle w:val="BodyText"/>
        <w:ind w:left="139" w:right="497" w:firstLine="432"/>
        <w:jc w:val="both"/>
      </w:pPr>
      <w:r>
        <w:rPr/>
        <w:t>During a </w:t>
      </w:r>
      <w:r>
        <w:rPr>
          <w:i/>
        </w:rPr>
        <w:t>Sideways Day</w:t>
      </w:r>
      <w:r>
        <w:rPr/>
        <w:t>, however, there is no</w:t>
      </w:r>
      <w:r>
        <w:rPr>
          <w:spacing w:val="-1"/>
        </w:rPr>
        <w:t> </w:t>
      </w:r>
      <w:r>
        <w:rPr/>
        <w:t>volleying of</w:t>
      </w:r>
      <w:r>
        <w:rPr>
          <w:spacing w:val="-1"/>
        </w:rPr>
        <w:t> </w:t>
      </w:r>
      <w:r>
        <w:rPr/>
        <w:t>the proverbial tennis ball between buyers and sellers. As a matter of fact, there isn’t even a game being played. On this type of day, price is stagnant, as both buyers and sellers refrain from trading. This type of session usually occurs ahead of the release of a major economic report or news event, or in advance of a trading holiday. There is no trade facilitation and no directional conviction. The initial balance is rather narrow, which at first indicates the potential for a Double-Distribution Trend Day. However, the initiative buying or selling required for a Double-Distribution Trend Day never enters the fray, which leaves the market terribly quiet the rest of the session.</w:t>
      </w:r>
    </w:p>
    <w:p>
      <w:pPr>
        <w:pStyle w:val="BodyText"/>
        <w:ind w:left="139" w:right="496" w:firstLine="432"/>
        <w:jc w:val="both"/>
      </w:pPr>
      <w:r>
        <w:rPr/>
        <w:t>Figure 1.7 shows a five-minute chart of a typical Sideways Day, which occurred the day before the Thanksgiving holiday. The YM opened the day with</w:t>
      </w:r>
      <w:r>
        <w:rPr>
          <w:spacing w:val="-2"/>
        </w:rPr>
        <w:t> </w:t>
      </w:r>
      <w:r>
        <w:rPr/>
        <w:t>a</w:t>
      </w:r>
      <w:r>
        <w:rPr>
          <w:spacing w:val="-2"/>
        </w:rPr>
        <w:t> </w:t>
      </w:r>
      <w:r>
        <w:rPr/>
        <w:t>narrow</w:t>
      </w:r>
      <w:r>
        <w:rPr>
          <w:spacing w:val="-1"/>
        </w:rPr>
        <w:t> </w:t>
      </w:r>
      <w:r>
        <w:rPr/>
        <w:t>initial</w:t>
      </w:r>
      <w:r>
        <w:rPr>
          <w:spacing w:val="-2"/>
        </w:rPr>
        <w:t> </w:t>
      </w:r>
      <w:r>
        <w:rPr/>
        <w:t>balance</w:t>
      </w:r>
      <w:r>
        <w:rPr>
          <w:spacing w:val="-2"/>
        </w:rPr>
        <w:t> </w:t>
      </w:r>
      <w:r>
        <w:rPr/>
        <w:t>and</w:t>
      </w:r>
      <w:r>
        <w:rPr>
          <w:spacing w:val="-2"/>
        </w:rPr>
        <w:t> </w:t>
      </w:r>
      <w:r>
        <w:rPr/>
        <w:t>range</w:t>
      </w:r>
      <w:r>
        <w:rPr>
          <w:spacing w:val="-2"/>
        </w:rPr>
        <w:t> </w:t>
      </w:r>
      <w:r>
        <w:rPr/>
        <w:t>extension</w:t>
      </w:r>
      <w:r>
        <w:rPr>
          <w:spacing w:val="-2"/>
        </w:rPr>
        <w:t> </w:t>
      </w:r>
      <w:r>
        <w:rPr/>
        <w:t>was</w:t>
      </w:r>
      <w:r>
        <w:rPr>
          <w:spacing w:val="-1"/>
        </w:rPr>
        <w:t> </w:t>
      </w:r>
      <w:r>
        <w:rPr/>
        <w:t>seen</w:t>
      </w:r>
      <w:r>
        <w:rPr>
          <w:spacing w:val="-2"/>
        </w:rPr>
        <w:t> </w:t>
      </w:r>
      <w:r>
        <w:rPr/>
        <w:t>to</w:t>
      </w:r>
      <w:r>
        <w:rPr>
          <w:spacing w:val="-2"/>
        </w:rPr>
        <w:t> </w:t>
      </w:r>
      <w:r>
        <w:rPr/>
        <w:t>the</w:t>
      </w:r>
      <w:r>
        <w:rPr>
          <w:spacing w:val="-2"/>
        </w:rPr>
        <w:t> </w:t>
      </w:r>
      <w:r>
        <w:rPr/>
        <w:t>upside</w:t>
      </w:r>
      <w:r>
        <w:rPr>
          <w:spacing w:val="-2"/>
        </w:rPr>
        <w:t> </w:t>
      </w:r>
      <w:r>
        <w:rPr/>
        <w:t>for</w:t>
      </w:r>
      <w:r>
        <w:rPr>
          <w:spacing w:val="-2"/>
        </w:rPr>
        <w:t> </w:t>
      </w:r>
      <w:r>
        <w:rPr/>
        <w:t>a brief period of time. However, initiative buyers did not enter the market en force, which essentially caused price to reverse from the session’s high to settle within an extremely tight range that spanned about 25 ticks over the final four hours. The range actually narrowed to a 14-tick spread in the final hour of the day, indicating that market participants had either fallen asleep or had hit the pub early.</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21"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8"/>
          <w:sz w:val="16"/>
        </w:rPr>
        <w:t> </w:t>
      </w:r>
      <w:r>
        <w:rPr>
          <w:sz w:val="16"/>
        </w:rPr>
        <w:t>1.7:</w:t>
      </w:r>
      <w:r>
        <w:rPr>
          <w:spacing w:val="10"/>
          <w:sz w:val="16"/>
        </w:rPr>
        <w:t> </w:t>
      </w:r>
      <w:r>
        <w:rPr>
          <w:sz w:val="16"/>
        </w:rPr>
        <w:t>The</w:t>
      </w:r>
      <w:r>
        <w:rPr>
          <w:spacing w:val="9"/>
          <w:sz w:val="16"/>
        </w:rPr>
        <w:t> </w:t>
      </w:r>
      <w:r>
        <w:rPr>
          <w:sz w:val="16"/>
        </w:rPr>
        <w:t>Sideways</w:t>
      </w:r>
      <w:r>
        <w:rPr>
          <w:spacing w:val="10"/>
          <w:sz w:val="16"/>
        </w:rPr>
        <w:t> </w:t>
      </w:r>
      <w:r>
        <w:rPr>
          <w:spacing w:val="-5"/>
          <w:sz w:val="16"/>
        </w:rPr>
        <w:t>Day</w:t>
      </w:r>
    </w:p>
    <w:p>
      <w:pPr>
        <w:pStyle w:val="BodyText"/>
        <w:spacing w:before="2"/>
      </w:pPr>
    </w:p>
    <w:p>
      <w:pPr>
        <w:pStyle w:val="BodyText"/>
        <w:ind w:left="499" w:right="135" w:firstLine="432"/>
        <w:jc w:val="both"/>
      </w:pPr>
      <w:r>
        <w:rPr/>
        <w:t>It is my firm belief that </w:t>
      </w:r>
      <w:r>
        <w:rPr>
          <w:i/>
        </w:rPr>
        <w:t>not </w:t>
      </w:r>
      <w:r>
        <w:rPr/>
        <w:t>every trading day should be a trading day. Many traders believe that since they are traders, they must be in a trade at all times. These traders feel like it’s a badge of honor to tell their trader buddies that they traded forty-two round trips today…</w:t>
      </w:r>
      <w:r>
        <w:rPr>
          <w:i/>
        </w:rPr>
        <w:t>before </w:t>
      </w:r>
      <w:r>
        <w:rPr/>
        <w:t>lunch. As such, they force</w:t>
      </w:r>
      <w:r>
        <w:rPr>
          <w:spacing w:val="-2"/>
        </w:rPr>
        <w:t> </w:t>
      </w:r>
      <w:r>
        <w:rPr/>
        <w:t>themselves</w:t>
      </w:r>
      <w:r>
        <w:rPr>
          <w:spacing w:val="-2"/>
        </w:rPr>
        <w:t> </w:t>
      </w:r>
      <w:r>
        <w:rPr/>
        <w:t>to</w:t>
      </w:r>
      <w:r>
        <w:rPr>
          <w:spacing w:val="-2"/>
        </w:rPr>
        <w:t> </w:t>
      </w:r>
      <w:r>
        <w:rPr/>
        <w:t>trade</w:t>
      </w:r>
      <w:r>
        <w:rPr>
          <w:spacing w:val="-2"/>
        </w:rPr>
        <w:t> </w:t>
      </w:r>
      <w:r>
        <w:rPr/>
        <w:t>in</w:t>
      </w:r>
      <w:r>
        <w:rPr>
          <w:spacing w:val="-2"/>
        </w:rPr>
        <w:t> </w:t>
      </w:r>
      <w:r>
        <w:rPr/>
        <w:t>the</w:t>
      </w:r>
      <w:r>
        <w:rPr>
          <w:spacing w:val="-2"/>
        </w:rPr>
        <w:t> </w:t>
      </w:r>
      <w:r>
        <w:rPr/>
        <w:t>most</w:t>
      </w:r>
      <w:r>
        <w:rPr>
          <w:spacing w:val="-2"/>
        </w:rPr>
        <w:t> </w:t>
      </w:r>
      <w:r>
        <w:rPr/>
        <w:t>unfriendly</w:t>
      </w:r>
      <w:r>
        <w:rPr>
          <w:spacing w:val="-2"/>
        </w:rPr>
        <w:t> </w:t>
      </w:r>
      <w:r>
        <w:rPr/>
        <w:t>markets,</w:t>
      </w:r>
      <w:r>
        <w:rPr>
          <w:spacing w:val="-2"/>
        </w:rPr>
        <w:t> </w:t>
      </w:r>
      <w:r>
        <w:rPr/>
        <w:t>usually</w:t>
      </w:r>
      <w:r>
        <w:rPr>
          <w:spacing w:val="-2"/>
        </w:rPr>
        <w:t> </w:t>
      </w:r>
      <w:r>
        <w:rPr/>
        <w:t>to</w:t>
      </w:r>
      <w:r>
        <w:rPr>
          <w:spacing w:val="-3"/>
        </w:rPr>
        <w:t> </w:t>
      </w:r>
      <w:r>
        <w:rPr/>
        <w:t>their</w:t>
      </w:r>
      <w:r>
        <w:rPr>
          <w:spacing w:val="-2"/>
        </w:rPr>
        <w:t> </w:t>
      </w:r>
      <w:r>
        <w:rPr/>
        <w:t>own detriment. I am on the opposite extreme.</w:t>
      </w:r>
    </w:p>
    <w:p>
      <w:pPr>
        <w:pStyle w:val="BodyText"/>
        <w:spacing w:before="1"/>
      </w:pPr>
    </w:p>
    <w:p>
      <w:pPr>
        <w:spacing w:before="0"/>
        <w:ind w:left="3058" w:right="0" w:hanging="2446"/>
        <w:jc w:val="left"/>
        <w:rPr>
          <w:i/>
          <w:sz w:val="22"/>
        </w:rPr>
      </w:pPr>
      <w:r>
        <w:rPr>
          <w:i/>
          <w:sz w:val="22"/>
        </w:rPr>
        <w:t>You</w:t>
      </w:r>
      <w:r>
        <w:rPr>
          <w:i/>
          <w:spacing w:val="-3"/>
          <w:sz w:val="22"/>
        </w:rPr>
        <w:t> </w:t>
      </w:r>
      <w:r>
        <w:rPr>
          <w:i/>
          <w:sz w:val="22"/>
        </w:rPr>
        <w:t>should</w:t>
      </w:r>
      <w:r>
        <w:rPr>
          <w:i/>
          <w:spacing w:val="-3"/>
          <w:sz w:val="22"/>
        </w:rPr>
        <w:t> </w:t>
      </w:r>
      <w:r>
        <w:rPr>
          <w:i/>
          <w:sz w:val="22"/>
        </w:rPr>
        <w:t>only</w:t>
      </w:r>
      <w:r>
        <w:rPr>
          <w:i/>
          <w:spacing w:val="-3"/>
          <w:sz w:val="22"/>
        </w:rPr>
        <w:t> </w:t>
      </w:r>
      <w:r>
        <w:rPr>
          <w:i/>
          <w:sz w:val="22"/>
        </w:rPr>
        <w:t>trade</w:t>
      </w:r>
      <w:r>
        <w:rPr>
          <w:i/>
          <w:spacing w:val="-3"/>
          <w:sz w:val="22"/>
        </w:rPr>
        <w:t> </w:t>
      </w:r>
      <w:r>
        <w:rPr>
          <w:i/>
          <w:sz w:val="22"/>
        </w:rPr>
        <w:t>when</w:t>
      </w:r>
      <w:r>
        <w:rPr>
          <w:i/>
          <w:spacing w:val="-3"/>
          <w:sz w:val="22"/>
        </w:rPr>
        <w:t> </w:t>
      </w:r>
      <w:r>
        <w:rPr>
          <w:i/>
          <w:sz w:val="22"/>
        </w:rPr>
        <w:t>the</w:t>
      </w:r>
      <w:r>
        <w:rPr>
          <w:i/>
          <w:spacing w:val="-3"/>
          <w:sz w:val="22"/>
        </w:rPr>
        <w:t> </w:t>
      </w:r>
      <w:r>
        <w:rPr>
          <w:i/>
          <w:sz w:val="22"/>
        </w:rPr>
        <w:t>circumstances</w:t>
      </w:r>
      <w:r>
        <w:rPr>
          <w:i/>
          <w:spacing w:val="-3"/>
          <w:sz w:val="22"/>
        </w:rPr>
        <w:t> </w:t>
      </w:r>
      <w:r>
        <w:rPr>
          <w:i/>
          <w:sz w:val="22"/>
        </w:rPr>
        <w:t>are</w:t>
      </w:r>
      <w:r>
        <w:rPr>
          <w:i/>
          <w:spacing w:val="-3"/>
          <w:sz w:val="22"/>
        </w:rPr>
        <w:t> </w:t>
      </w:r>
      <w:r>
        <w:rPr>
          <w:i/>
          <w:sz w:val="22"/>
        </w:rPr>
        <w:t>the</w:t>
      </w:r>
      <w:r>
        <w:rPr>
          <w:i/>
          <w:spacing w:val="-3"/>
          <w:sz w:val="22"/>
        </w:rPr>
        <w:t> </w:t>
      </w:r>
      <w:r>
        <w:rPr>
          <w:i/>
          <w:sz w:val="22"/>
        </w:rPr>
        <w:t>most</w:t>
      </w:r>
      <w:r>
        <w:rPr>
          <w:i/>
          <w:spacing w:val="-4"/>
          <w:sz w:val="22"/>
        </w:rPr>
        <w:t> </w:t>
      </w:r>
      <w:r>
        <w:rPr>
          <w:i/>
          <w:sz w:val="22"/>
        </w:rPr>
        <w:t>favorable</w:t>
      </w:r>
      <w:r>
        <w:rPr>
          <w:i/>
          <w:spacing w:val="-3"/>
          <w:sz w:val="22"/>
        </w:rPr>
        <w:t> </w:t>
      </w:r>
      <w:r>
        <w:rPr>
          <w:i/>
          <w:sz w:val="22"/>
        </w:rPr>
        <w:t>for</w:t>
      </w:r>
      <w:r>
        <w:rPr>
          <w:i/>
          <w:spacing w:val="-3"/>
          <w:sz w:val="22"/>
        </w:rPr>
        <w:t> </w:t>
      </w:r>
      <w:r>
        <w:rPr>
          <w:i/>
          <w:sz w:val="22"/>
        </w:rPr>
        <w:t>a</w:t>
      </w:r>
      <w:r>
        <w:rPr>
          <w:i/>
          <w:sz w:val="22"/>
        </w:rPr>
        <w:t> profitable outcome.</w:t>
      </w:r>
    </w:p>
    <w:p>
      <w:pPr>
        <w:pStyle w:val="BodyText"/>
        <w:spacing w:before="10"/>
        <w:rPr>
          <w:i/>
          <w:sz w:val="21"/>
        </w:rPr>
      </w:pPr>
    </w:p>
    <w:p>
      <w:pPr>
        <w:pStyle w:val="BodyText"/>
        <w:ind w:left="499" w:right="135" w:firstLine="432"/>
        <w:jc w:val="both"/>
      </w:pPr>
      <w:r>
        <w:rPr/>
        <w:t>Great quarterbacks always reserve the right to punt the football instead of forcing a turnover. Likewise, traders should always reserve the right to stand on the sidelines. Those traders that can learn to sit on their hands will profit by not losing. This is something that cannot be overstated. The difference between profitable traders and losing traders can usually be summed up by the number of unprofitable days and the severity of unprofitability on these days. Learn to eliminate those unprofitable days by only trading in the most favorable market conditions, and you will prosper in this game.</w:t>
      </w:r>
    </w:p>
    <w:p>
      <w:pPr>
        <w:spacing w:after="0"/>
        <w:jc w:val="both"/>
        <w:sectPr>
          <w:pgSz w:w="8640" w:h="12960"/>
          <w:pgMar w:header="536" w:footer="1060" w:top="720" w:bottom="1260" w:left="580" w:right="580"/>
        </w:sectPr>
      </w:pPr>
    </w:p>
    <w:p>
      <w:pPr>
        <w:pStyle w:val="BodyText"/>
        <w:spacing w:before="7"/>
        <w:rPr>
          <w:sz w:val="18"/>
        </w:rPr>
      </w:pPr>
    </w:p>
    <w:p>
      <w:pPr>
        <w:spacing w:line="276" w:lineRule="auto" w:before="63"/>
        <w:ind w:left="860" w:right="519" w:firstLine="0"/>
        <w:jc w:val="left"/>
        <w:rPr>
          <w:i/>
          <w:sz w:val="22"/>
        </w:rPr>
      </w:pPr>
      <w:r>
        <w:rPr>
          <w:i/>
          <w:sz w:val="22"/>
        </w:rPr>
        <w:t>“The only thing to do when a man is wrong is to be right by ceasing</w:t>
      </w:r>
      <w:r>
        <w:rPr>
          <w:i/>
          <w:sz w:val="22"/>
        </w:rPr>
        <w:t> to be wrong.”</w:t>
      </w:r>
    </w:p>
    <w:p>
      <w:pPr>
        <w:pStyle w:val="BodyText"/>
        <w:ind w:right="498"/>
        <w:jc w:val="right"/>
      </w:pPr>
      <w:r>
        <w:rPr>
          <w:w w:val="105"/>
        </w:rPr>
        <w:t>-</w:t>
      </w:r>
      <w:r>
        <w:rPr>
          <w:spacing w:val="-7"/>
          <w:w w:val="105"/>
        </w:rPr>
        <w:t> </w:t>
      </w:r>
      <w:r>
        <w:rPr>
          <w:w w:val="105"/>
        </w:rPr>
        <w:t>Jesse</w:t>
      </w:r>
      <w:r>
        <w:rPr>
          <w:spacing w:val="-7"/>
          <w:w w:val="105"/>
        </w:rPr>
        <w:t> </w:t>
      </w:r>
      <w:r>
        <w:rPr>
          <w:spacing w:val="-2"/>
          <w:w w:val="105"/>
        </w:rPr>
        <w:t>Livermore</w:t>
      </w:r>
    </w:p>
    <w:p>
      <w:pPr>
        <w:pStyle w:val="BodyText"/>
        <w:spacing w:before="2"/>
        <w:rPr>
          <w:sz w:val="25"/>
        </w:rPr>
      </w:pPr>
    </w:p>
    <w:p>
      <w:pPr>
        <w:pStyle w:val="BodyText"/>
        <w:ind w:left="139" w:right="497" w:firstLine="432"/>
        <w:jc w:val="both"/>
      </w:pPr>
      <w:r>
        <w:rPr/>
        <w:t>It is my hope that you will continue to study the six types of market</w:t>
      </w:r>
      <w:r>
        <w:rPr>
          <w:spacing w:val="80"/>
        </w:rPr>
        <w:t> </w:t>
      </w:r>
      <w:r>
        <w:rPr/>
        <w:t>days with each new session. The faster you can quickly and accurately recognize each market day, the faster you will be on your way to profitable trading. Remember, each of these types of days is not set in stone. While every market day is similar to a day from the past, similar does not mean “exactly.” You must be able to snuff out the subtleties of each new day as it relates to a day from the past. Steadfast practice creates valuable experience.</w:t>
      </w:r>
    </w:p>
    <w:p>
      <w:pPr>
        <w:pStyle w:val="BodyText"/>
      </w:pPr>
    </w:p>
    <w:p>
      <w:pPr>
        <w:pStyle w:val="Heading3"/>
      </w:pPr>
      <w:r>
        <w:rPr/>
        <w:pict>
          <v:shape style="position:absolute;margin-left:36.779999pt;margin-top:18.230305pt;width:341pt;height:.1pt;mso-position-horizontal-relative:page;mso-position-vertical-relative:paragraph;z-index:-15723520;mso-wrap-distance-left:0;mso-wrap-distance-right:0" id="docshape19" coordorigin="736,365" coordsize="6820,0" path="m736,365l7555,365e" filled="false" stroked="true" strokeweight=".75pt" strokecolor="#000000">
            <v:path arrowok="t"/>
            <v:stroke dashstyle="solid"/>
            <w10:wrap type="topAndBottom"/>
          </v:shape>
        </w:pict>
      </w:r>
      <w:bookmarkStart w:name="_TOC_250083" w:id="8"/>
      <w:r>
        <w:rPr>
          <w:smallCaps/>
          <w:spacing w:val="-2"/>
        </w:rPr>
        <w:t>Pursuing</w:t>
      </w:r>
      <w:r>
        <w:rPr>
          <w:smallCaps/>
          <w:spacing w:val="1"/>
        </w:rPr>
        <w:t> </w:t>
      </w:r>
      <w:bookmarkEnd w:id="8"/>
      <w:r>
        <w:rPr>
          <w:smallCaps/>
          <w:spacing w:val="-2"/>
        </w:rPr>
        <w:t>Understanding</w:t>
      </w:r>
    </w:p>
    <w:p>
      <w:pPr>
        <w:pStyle w:val="BodyText"/>
        <w:spacing w:before="203"/>
        <w:ind w:left="139" w:right="496" w:firstLine="432"/>
        <w:jc w:val="both"/>
      </w:pPr>
      <w:r>
        <w:rPr/>
        <w:t>Now that you have learned the basic framework of market dynamics, it is your job to transition from learning to understanding. Instead of simply learning a new concept or idea, make it a habit to understand why a concept or idea works the way it does. Why does a Trend Day behave the way it</w:t>
      </w:r>
      <w:r>
        <w:rPr>
          <w:spacing w:val="40"/>
        </w:rPr>
        <w:t> </w:t>
      </w:r>
      <w:r>
        <w:rPr/>
        <w:t>does? Why does the initial balance of a Typical Day hold throughout the session? Why do responsive buyers and sellers provide less punch than their initiative counterparts? Understanding the answers to these questions</w:t>
      </w:r>
      <w:r>
        <w:rPr/>
        <w:t> will allow you to progress as a trader.</w:t>
      </w:r>
    </w:p>
    <w:p>
      <w:pPr>
        <w:pStyle w:val="BodyText"/>
        <w:ind w:left="139" w:right="494" w:firstLine="432"/>
        <w:jc w:val="both"/>
      </w:pPr>
      <w:r>
        <w:rPr/>
        <w:t>As you progress through the text, you will encounter powerful material that</w:t>
      </w:r>
      <w:r>
        <w:rPr>
          <w:spacing w:val="-1"/>
        </w:rPr>
        <w:t> </w:t>
      </w:r>
      <w:r>
        <w:rPr/>
        <w:t>could</w:t>
      </w:r>
      <w:r>
        <w:rPr>
          <w:spacing w:val="-1"/>
        </w:rPr>
        <w:t> </w:t>
      </w:r>
      <w:r>
        <w:rPr/>
        <w:t>revolutionize</w:t>
      </w:r>
      <w:r>
        <w:rPr>
          <w:spacing w:val="-1"/>
        </w:rPr>
        <w:t> </w:t>
      </w:r>
      <w:r>
        <w:rPr/>
        <w:t>the way</w:t>
      </w:r>
      <w:r>
        <w:rPr>
          <w:spacing w:val="-1"/>
        </w:rPr>
        <w:t> </w:t>
      </w:r>
      <w:r>
        <w:rPr/>
        <w:t>you</w:t>
      </w:r>
      <w:r>
        <w:rPr>
          <w:spacing w:val="-1"/>
        </w:rPr>
        <w:t> </w:t>
      </w:r>
      <w:r>
        <w:rPr/>
        <w:t>trade.</w:t>
      </w:r>
      <w:r>
        <w:rPr>
          <w:spacing w:val="-1"/>
        </w:rPr>
        <w:t> </w:t>
      </w:r>
      <w:r>
        <w:rPr/>
        <w:t>The material</w:t>
      </w:r>
      <w:r>
        <w:rPr>
          <w:spacing w:val="-1"/>
        </w:rPr>
        <w:t> </w:t>
      </w:r>
      <w:r>
        <w:rPr/>
        <w:t>contained herein</w:t>
      </w:r>
      <w:r>
        <w:rPr>
          <w:spacing w:val="-1"/>
        </w:rPr>
        <w:t> </w:t>
      </w:r>
      <w:r>
        <w:rPr/>
        <w:t>has been paramount to my success as both a trader and market analyst. However, the degree to which this book can help you will be dependent upon your ability</w:t>
      </w:r>
      <w:r>
        <w:rPr>
          <w:spacing w:val="-1"/>
        </w:rPr>
        <w:t> </w:t>
      </w:r>
      <w:r>
        <w:rPr/>
        <w:t>to</w:t>
      </w:r>
      <w:r>
        <w:rPr>
          <w:spacing w:val="-1"/>
        </w:rPr>
        <w:t> </w:t>
      </w:r>
      <w:r>
        <w:rPr/>
        <w:t>learn,</w:t>
      </w:r>
      <w:r>
        <w:rPr>
          <w:spacing w:val="-1"/>
        </w:rPr>
        <w:t> </w:t>
      </w:r>
      <w:r>
        <w:rPr/>
        <w:t>understand,</w:t>
      </w:r>
      <w:r>
        <w:rPr>
          <w:spacing w:val="-1"/>
        </w:rPr>
        <w:t> </w:t>
      </w:r>
      <w:r>
        <w:rPr/>
        <w:t>and</w:t>
      </w:r>
      <w:r>
        <w:rPr>
          <w:spacing w:val="-1"/>
        </w:rPr>
        <w:t> </w:t>
      </w:r>
      <w:r>
        <w:rPr/>
        <w:t>apply</w:t>
      </w:r>
      <w:r>
        <w:rPr>
          <w:spacing w:val="-2"/>
        </w:rPr>
        <w:t> </w:t>
      </w:r>
      <w:r>
        <w:rPr/>
        <w:t>the</w:t>
      </w:r>
      <w:r>
        <w:rPr>
          <w:spacing w:val="-1"/>
        </w:rPr>
        <w:t> </w:t>
      </w:r>
      <w:r>
        <w:rPr/>
        <w:t>concepts</w:t>
      </w:r>
      <w:r>
        <w:rPr>
          <w:spacing w:val="-1"/>
        </w:rPr>
        <w:t> </w:t>
      </w:r>
      <w:r>
        <w:rPr/>
        <w:t>to</w:t>
      </w:r>
      <w:r>
        <w:rPr>
          <w:spacing w:val="-1"/>
        </w:rPr>
        <w:t> </w:t>
      </w:r>
      <w:r>
        <w:rPr/>
        <w:t>your</w:t>
      </w:r>
      <w:r>
        <w:rPr>
          <w:spacing w:val="-1"/>
        </w:rPr>
        <w:t> </w:t>
      </w:r>
      <w:r>
        <w:rPr/>
        <w:t>trading.</w:t>
      </w:r>
      <w:r>
        <w:rPr>
          <w:spacing w:val="-2"/>
        </w:rPr>
        <w:t> </w:t>
      </w:r>
      <w:r>
        <w:rPr/>
        <w:t>Each</w:t>
      </w:r>
      <w:r>
        <w:rPr>
          <w:spacing w:val="-1"/>
        </w:rPr>
        <w:t> </w:t>
      </w:r>
      <w:r>
        <w:rPr/>
        <w:t>new piece of information is interrelated to the next. Each concept is a mere building block for the next piece of information. Continue to relate prior information to newly received inputs as you make your way through this reading, as this process will certainly benefit you in the end.</w:t>
      </w:r>
    </w:p>
    <w:p>
      <w:pPr>
        <w:spacing w:after="0"/>
        <w:jc w:val="both"/>
        <w:sectPr>
          <w:pgSz w:w="8640" w:h="12960"/>
          <w:pgMar w:header="579" w:footer="1060" w:top="760" w:bottom="126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306"/>
        <w:rPr>
          <w:sz w:val="180"/>
        </w:rPr>
      </w:pPr>
      <w:r>
        <w:rPr/>
        <w:pict>
          <v:line style="position:absolute;mso-position-horizontal-relative:page;mso-position-vertical-relative:paragraph;z-index:-19681280" from="56.279999pt,109.703651pt" to="390.719999pt,109.703651pt" stroked="true" strokeweight=".75pt" strokecolor="#000000">
            <v:stroke dashstyle="solid"/>
            <w10:wrap type="none"/>
          </v:line>
        </w:pict>
      </w:r>
      <w:bookmarkStart w:name="_TOC_250082" w:id="9"/>
      <w:r>
        <w:rPr>
          <w:w w:val="105"/>
        </w:rPr>
        <w:t>C H A P T E R</w:t>
      </w:r>
      <w:r>
        <w:rPr>
          <w:spacing w:val="-1"/>
          <w:w w:val="105"/>
        </w:rPr>
        <w:t> </w:t>
      </w:r>
      <w:bookmarkEnd w:id="9"/>
      <w:r>
        <w:rPr>
          <w:spacing w:val="-12"/>
          <w:w w:val="105"/>
          <w:sz w:val="180"/>
        </w:rPr>
        <w:t>2</w:t>
      </w:r>
    </w:p>
    <w:p>
      <w:pPr>
        <w:pStyle w:val="Heading1"/>
        <w:spacing w:line="276" w:lineRule="auto" w:before="310"/>
        <w:ind w:left="4498" w:hanging="24"/>
      </w:pPr>
      <w:bookmarkStart w:name="_TOC_250081" w:id="10"/>
      <w:r>
        <w:rPr>
          <w:smallCaps/>
          <w:spacing w:val="-2"/>
          <w:w w:val="90"/>
        </w:rPr>
        <w:t>Engaging </w:t>
      </w:r>
      <w:r>
        <w:rPr>
          <w:smallCaps/>
          <w:w w:val="90"/>
        </w:rPr>
        <w:t>the</w:t>
      </w:r>
      <w:r>
        <w:rPr>
          <w:smallCaps/>
          <w:spacing w:val="-13"/>
          <w:w w:val="90"/>
        </w:rPr>
        <w:t> </w:t>
      </w:r>
      <w:bookmarkEnd w:id="10"/>
      <w:r>
        <w:rPr>
          <w:smallCaps/>
          <w:spacing w:val="-2"/>
          <w:w w:val="90"/>
        </w:rPr>
        <w:t>Setup</w:t>
      </w:r>
    </w:p>
    <w:p>
      <w:pPr>
        <w:spacing w:line="276" w:lineRule="auto" w:before="291"/>
        <w:ind w:left="1219" w:right="0" w:firstLine="0"/>
        <w:jc w:val="left"/>
        <w:rPr>
          <w:i/>
          <w:sz w:val="22"/>
        </w:rPr>
      </w:pPr>
      <w:r>
        <w:rPr>
          <w:i/>
          <w:sz w:val="22"/>
        </w:rPr>
        <w:t>“I may plunge or I may buy one hundred shares. But in either case I</w:t>
      </w:r>
      <w:r>
        <w:rPr>
          <w:i/>
          <w:sz w:val="22"/>
        </w:rPr>
        <w:t> must have a reason for what I do.”</w:t>
      </w:r>
    </w:p>
    <w:p>
      <w:pPr>
        <w:pStyle w:val="BodyText"/>
        <w:spacing w:line="252" w:lineRule="exact"/>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spacing w:before="189"/>
        <w:ind w:left="499" w:right="135" w:firstLine="432"/>
        <w:jc w:val="both"/>
      </w:pPr>
      <w:r>
        <w:rPr/>
        <w:t>Market professionals rely</w:t>
      </w:r>
      <w:r>
        <w:rPr>
          <w:spacing w:val="-1"/>
        </w:rPr>
        <w:t> </w:t>
      </w:r>
      <w:r>
        <w:rPr/>
        <w:t>solely</w:t>
      </w:r>
      <w:r>
        <w:rPr>
          <w:spacing w:val="-1"/>
        </w:rPr>
        <w:t> </w:t>
      </w:r>
      <w:r>
        <w:rPr/>
        <w:t>on</w:t>
      </w:r>
      <w:r>
        <w:rPr>
          <w:spacing w:val="-1"/>
        </w:rPr>
        <w:t> </w:t>
      </w:r>
      <w:r>
        <w:rPr/>
        <w:t>price behavior to</w:t>
      </w:r>
      <w:r>
        <w:rPr>
          <w:spacing w:val="-1"/>
        </w:rPr>
        <w:t> </w:t>
      </w:r>
      <w:r>
        <w:rPr/>
        <w:t>cue entries into the market.</w:t>
      </w:r>
      <w:r>
        <w:rPr/>
        <w:t> Having a keen understanding of market dynamics, the types of market days, and the ability to recognize early market tendencies are usually enough to trigger a well-informed entry into the market for this group of traders. However, having clearly-defined setups at the ready can prove to be quite helpful</w:t>
      </w:r>
      <w:r>
        <w:rPr>
          <w:spacing w:val="-1"/>
        </w:rPr>
        <w:t> </w:t>
      </w:r>
      <w:r>
        <w:rPr/>
        <w:t>when prospecting entry</w:t>
      </w:r>
      <w:r>
        <w:rPr>
          <w:spacing w:val="-1"/>
        </w:rPr>
        <w:t> </w:t>
      </w:r>
      <w:r>
        <w:rPr/>
        <w:t>opportunities. In the following sections, I</w:t>
      </w:r>
      <w:r>
        <w:rPr>
          <w:spacing w:val="35"/>
        </w:rPr>
        <w:t> </w:t>
      </w:r>
      <w:r>
        <w:rPr/>
        <w:t>will</w:t>
      </w:r>
      <w:r>
        <w:rPr>
          <w:spacing w:val="35"/>
        </w:rPr>
        <w:t> </w:t>
      </w:r>
      <w:r>
        <w:rPr/>
        <w:t>uncover</w:t>
      </w:r>
      <w:r>
        <w:rPr>
          <w:spacing w:val="35"/>
        </w:rPr>
        <w:t> </w:t>
      </w:r>
      <w:r>
        <w:rPr/>
        <w:t>some</w:t>
      </w:r>
      <w:r>
        <w:rPr>
          <w:spacing w:val="35"/>
        </w:rPr>
        <w:t> </w:t>
      </w:r>
      <w:r>
        <w:rPr/>
        <w:t>of</w:t>
      </w:r>
      <w:r>
        <w:rPr>
          <w:spacing w:val="35"/>
        </w:rPr>
        <w:t> </w:t>
      </w:r>
      <w:r>
        <w:rPr/>
        <w:t>my</w:t>
      </w:r>
      <w:r>
        <w:rPr>
          <w:spacing w:val="35"/>
        </w:rPr>
        <w:t> </w:t>
      </w:r>
      <w:r>
        <w:rPr/>
        <w:t>favorite</w:t>
      </w:r>
      <w:r>
        <w:rPr>
          <w:spacing w:val="35"/>
        </w:rPr>
        <w:t> </w:t>
      </w:r>
      <w:r>
        <w:rPr/>
        <w:t>technical</w:t>
      </w:r>
      <w:r>
        <w:rPr>
          <w:spacing w:val="35"/>
        </w:rPr>
        <w:t> </w:t>
      </w:r>
      <w:r>
        <w:rPr/>
        <w:t>candlestick</w:t>
      </w:r>
      <w:r>
        <w:rPr>
          <w:spacing w:val="35"/>
        </w:rPr>
        <w:t> </w:t>
      </w:r>
      <w:r>
        <w:rPr/>
        <w:t>setups</w:t>
      </w:r>
      <w:r>
        <w:rPr>
          <w:spacing w:val="35"/>
        </w:rPr>
        <w:t> </w:t>
      </w:r>
      <w:r>
        <w:rPr/>
        <w:t>that</w:t>
      </w:r>
      <w:r>
        <w:rPr>
          <w:spacing w:val="35"/>
        </w:rPr>
        <w:t> </w:t>
      </w:r>
      <w:r>
        <w:rPr/>
        <w:t>have</w:t>
      </w:r>
    </w:p>
    <w:p>
      <w:pPr>
        <w:spacing w:after="0"/>
        <w:jc w:val="both"/>
        <w:sectPr>
          <w:headerReference w:type="default" r:id="rId22"/>
          <w:footerReference w:type="default" r:id="rId23"/>
          <w:footerReference w:type="even" r:id="rId24"/>
          <w:pgSz w:w="8640" w:h="12960"/>
          <w:pgMar w:header="0" w:footer="1060" w:top="1480" w:bottom="1260" w:left="580" w:right="580"/>
          <w:pgNumType w:start="29"/>
        </w:sectPr>
      </w:pPr>
    </w:p>
    <w:p>
      <w:pPr>
        <w:pStyle w:val="BodyText"/>
        <w:spacing w:before="5"/>
        <w:rPr>
          <w:sz w:val="18"/>
        </w:rPr>
      </w:pPr>
    </w:p>
    <w:p>
      <w:pPr>
        <w:pStyle w:val="BodyText"/>
        <w:spacing w:before="64"/>
        <w:ind w:left="140" w:right="496"/>
        <w:jc w:val="both"/>
      </w:pPr>
      <w:r>
        <w:rPr/>
        <w:t>proven to be extremely powerful during my trading career. Each setup represents certain market behaviors and psychologies that, when paired with clearly established overvalued or undervalued areas, can prove to be quite powerful.</w:t>
      </w:r>
      <w:r>
        <w:rPr>
          <w:spacing w:val="-1"/>
        </w:rPr>
        <w:t> </w:t>
      </w:r>
      <w:r>
        <w:rPr/>
        <w:t>As</w:t>
      </w:r>
      <w:r>
        <w:rPr>
          <w:spacing w:val="-1"/>
        </w:rPr>
        <w:t> </w:t>
      </w:r>
      <w:r>
        <w:rPr/>
        <w:t>you</w:t>
      </w:r>
      <w:r>
        <w:rPr>
          <w:spacing w:val="-2"/>
        </w:rPr>
        <w:t> </w:t>
      </w:r>
      <w:r>
        <w:rPr/>
        <w:t>proceed</w:t>
      </w:r>
      <w:r>
        <w:rPr>
          <w:spacing w:val="-1"/>
        </w:rPr>
        <w:t> </w:t>
      </w:r>
      <w:r>
        <w:rPr/>
        <w:t>throughout</w:t>
      </w:r>
      <w:r>
        <w:rPr>
          <w:spacing w:val="-2"/>
        </w:rPr>
        <w:t> </w:t>
      </w:r>
      <w:r>
        <w:rPr/>
        <w:t>the</w:t>
      </w:r>
      <w:r>
        <w:rPr>
          <w:spacing w:val="-1"/>
        </w:rPr>
        <w:t> </w:t>
      </w:r>
      <w:r>
        <w:rPr/>
        <w:t>rest</w:t>
      </w:r>
      <w:r>
        <w:rPr>
          <w:spacing w:val="-1"/>
        </w:rPr>
        <w:t> </w:t>
      </w:r>
      <w:r>
        <w:rPr/>
        <w:t>of</w:t>
      </w:r>
      <w:r>
        <w:rPr>
          <w:spacing w:val="-1"/>
        </w:rPr>
        <w:t> </w:t>
      </w:r>
      <w:r>
        <w:rPr/>
        <w:t>the</w:t>
      </w:r>
      <w:r>
        <w:rPr>
          <w:spacing w:val="-1"/>
        </w:rPr>
        <w:t> </w:t>
      </w:r>
      <w:r>
        <w:rPr/>
        <w:t>text,</w:t>
      </w:r>
      <w:r>
        <w:rPr>
          <w:spacing w:val="-2"/>
        </w:rPr>
        <w:t> </w:t>
      </w:r>
      <w:r>
        <w:rPr/>
        <w:t>you</w:t>
      </w:r>
      <w:r>
        <w:rPr>
          <w:spacing w:val="-1"/>
        </w:rPr>
        <w:t> </w:t>
      </w:r>
      <w:r>
        <w:rPr/>
        <w:t>will</w:t>
      </w:r>
      <w:r>
        <w:rPr>
          <w:spacing w:val="-2"/>
        </w:rPr>
        <w:t> </w:t>
      </w:r>
      <w:r>
        <w:rPr/>
        <w:t>see</w:t>
      </w:r>
      <w:r>
        <w:rPr>
          <w:spacing w:val="-1"/>
        </w:rPr>
        <w:t> </w:t>
      </w:r>
      <w:r>
        <w:rPr/>
        <w:t>exactly how I use each of these setups to confirm entry points at important pivot levels, which include the Money Zone, Floor Pivots, and the Camarilla Equation. Before we begin, however, let’s take a look at the basics of a </w:t>
      </w:r>
      <w:r>
        <w:rPr>
          <w:spacing w:val="-2"/>
        </w:rPr>
        <w:t>candlestick.</w:t>
      </w:r>
    </w:p>
    <w:p>
      <w:pPr>
        <w:pStyle w:val="BodyText"/>
        <w:spacing w:before="10"/>
        <w:rPr>
          <w:sz w:val="21"/>
        </w:rPr>
      </w:pPr>
    </w:p>
    <w:p>
      <w:pPr>
        <w:pStyle w:val="Heading3"/>
        <w:jc w:val="both"/>
      </w:pPr>
      <w:r>
        <w:rPr/>
        <w:pict>
          <v:shape style="position:absolute;margin-left:36.779999pt;margin-top:18.290298pt;width:341pt;height:.1pt;mso-position-horizontal-relative:page;mso-position-vertical-relative:paragraph;z-index:-15722496;mso-wrap-distance-left:0;mso-wrap-distance-right:0" id="docshape26" coordorigin="736,366" coordsize="6820,0" path="m736,366l7555,366e" filled="false" stroked="true" strokeweight=".75pt" strokecolor="#000000">
            <v:path arrowok="t"/>
            <v:stroke dashstyle="solid"/>
            <w10:wrap type="topAndBottom"/>
          </v:shape>
        </w:pict>
      </w:r>
      <w:bookmarkStart w:name="_TOC_250080" w:id="11"/>
      <w:r>
        <w:rPr>
          <w:smallCaps/>
          <w:spacing w:val="-4"/>
        </w:rPr>
        <w:t>The</w:t>
      </w:r>
      <w:r>
        <w:rPr>
          <w:smallCaps/>
          <w:spacing w:val="-2"/>
        </w:rPr>
        <w:t> </w:t>
      </w:r>
      <w:r>
        <w:rPr>
          <w:smallCaps/>
          <w:spacing w:val="-4"/>
        </w:rPr>
        <w:t>Anatomy</w:t>
      </w:r>
      <w:r>
        <w:rPr>
          <w:smallCaps/>
          <w:spacing w:val="-9"/>
        </w:rPr>
        <w:t> </w:t>
      </w:r>
      <w:r>
        <w:rPr>
          <w:smallCaps/>
          <w:spacing w:val="-4"/>
        </w:rPr>
        <w:t>of</w:t>
      </w:r>
      <w:r>
        <w:rPr>
          <w:smallCaps/>
          <w:spacing w:val="-12"/>
        </w:rPr>
        <w:t> </w:t>
      </w:r>
      <w:r>
        <w:rPr>
          <w:smallCaps/>
          <w:spacing w:val="-4"/>
        </w:rPr>
        <w:t>a</w:t>
      </w:r>
      <w:r>
        <w:rPr>
          <w:smallCaps/>
          <w:spacing w:val="-10"/>
        </w:rPr>
        <w:t> </w:t>
      </w:r>
      <w:bookmarkEnd w:id="11"/>
      <w:r>
        <w:rPr>
          <w:smallCaps/>
          <w:spacing w:val="-4"/>
        </w:rPr>
        <w:t>Candlestick</w:t>
      </w:r>
    </w:p>
    <w:p>
      <w:pPr>
        <w:pStyle w:val="BodyText"/>
        <w:spacing w:before="203"/>
        <w:ind w:left="139" w:right="495" w:firstLine="432"/>
        <w:jc w:val="both"/>
      </w:pPr>
      <w:r>
        <w:rPr/>
        <w:t>Imagine someone is trying to describe to you the brilliance and energy that is New York City’s Times Square through the use of hand drawn, black and white stick figures. It goes without saying that the</w:t>
      </w:r>
      <w:r>
        <w:rPr>
          <w:spacing w:val="-1"/>
        </w:rPr>
        <w:t> </w:t>
      </w:r>
      <w:r>
        <w:rPr/>
        <w:t>inability to capture the essence of Times Square using this method is quite an understatement. Now imagine the same person hands you a photograph of Times Square. This full color snapshot immediately conveys the energy and vividness that Times Square embodies. This is the difference between a standard bar chart and a candlestick chart.</w:t>
      </w:r>
    </w:p>
    <w:p>
      <w:pPr>
        <w:pStyle w:val="BodyText"/>
        <w:ind w:left="139" w:right="495" w:firstLine="432"/>
        <w:jc w:val="right"/>
      </w:pPr>
      <w:r>
        <w:rPr/>
        <w:t>Candlestick charting was pioneered by the Japanese centuries ago, but it only recently became popular to Western traders due, in part, to the work by Steve</w:t>
      </w:r>
      <w:r>
        <w:rPr>
          <w:spacing w:val="40"/>
        </w:rPr>
        <w:t> </w:t>
      </w:r>
      <w:r>
        <w:rPr/>
        <w:t>Nison,</w:t>
      </w:r>
      <w:r>
        <w:rPr>
          <w:spacing w:val="40"/>
        </w:rPr>
        <w:t> </w:t>
      </w:r>
      <w:r>
        <w:rPr/>
        <w:t>whose</w:t>
      </w:r>
      <w:r>
        <w:rPr>
          <w:spacing w:val="40"/>
        </w:rPr>
        <w:t> </w:t>
      </w:r>
      <w:r>
        <w:rPr/>
        <w:t>book,</w:t>
      </w:r>
      <w:r>
        <w:rPr>
          <w:spacing w:val="40"/>
        </w:rPr>
        <w:t> </w:t>
      </w:r>
      <w:r>
        <w:rPr>
          <w:i/>
        </w:rPr>
        <w:t>Japanese</w:t>
      </w:r>
      <w:r>
        <w:rPr>
          <w:i/>
          <w:spacing w:val="40"/>
        </w:rPr>
        <w:t> </w:t>
      </w:r>
      <w:r>
        <w:rPr>
          <w:i/>
        </w:rPr>
        <w:t>Candlestick</w:t>
      </w:r>
      <w:r>
        <w:rPr>
          <w:i/>
          <w:spacing w:val="40"/>
        </w:rPr>
        <w:t> </w:t>
      </w:r>
      <w:r>
        <w:rPr>
          <w:i/>
        </w:rPr>
        <w:t>Charting</w:t>
      </w:r>
      <w:r>
        <w:rPr>
          <w:i/>
          <w:spacing w:val="40"/>
        </w:rPr>
        <w:t> </w:t>
      </w:r>
      <w:r>
        <w:rPr>
          <w:i/>
        </w:rPr>
        <w:t>Techniques</w:t>
      </w:r>
      <w:r>
        <w:rPr/>
        <w:t>,</w:t>
      </w:r>
      <w:r>
        <w:rPr>
          <w:spacing w:val="80"/>
          <w:w w:val="150"/>
        </w:rPr>
        <w:t> </w:t>
      </w:r>
      <w:r>
        <w:rPr/>
        <w:t>helped introduce the power of candlesticks to the masses. This is one of the first</w:t>
      </w:r>
      <w:r>
        <w:rPr>
          <w:spacing w:val="-2"/>
        </w:rPr>
        <w:t> </w:t>
      </w:r>
      <w:r>
        <w:rPr/>
        <w:t>books</w:t>
      </w:r>
      <w:r>
        <w:rPr>
          <w:spacing w:val="-2"/>
        </w:rPr>
        <w:t> </w:t>
      </w:r>
      <w:r>
        <w:rPr/>
        <w:t>I</w:t>
      </w:r>
      <w:r>
        <w:rPr>
          <w:spacing w:val="-2"/>
        </w:rPr>
        <w:t> </w:t>
      </w:r>
      <w:r>
        <w:rPr/>
        <w:t>read</w:t>
      </w:r>
      <w:r>
        <w:rPr>
          <w:spacing w:val="-2"/>
        </w:rPr>
        <w:t> </w:t>
      </w:r>
      <w:r>
        <w:rPr/>
        <w:t>on</w:t>
      </w:r>
      <w:r>
        <w:rPr>
          <w:spacing w:val="-2"/>
        </w:rPr>
        <w:t> </w:t>
      </w:r>
      <w:r>
        <w:rPr/>
        <w:t>technical</w:t>
      </w:r>
      <w:r>
        <w:rPr>
          <w:spacing w:val="-2"/>
        </w:rPr>
        <w:t> </w:t>
      </w:r>
      <w:r>
        <w:rPr/>
        <w:t>analysis,</w:t>
      </w:r>
      <w:r>
        <w:rPr>
          <w:spacing w:val="-1"/>
        </w:rPr>
        <w:t> </w:t>
      </w:r>
      <w:r>
        <w:rPr/>
        <w:t>and</w:t>
      </w:r>
      <w:r>
        <w:rPr>
          <w:spacing w:val="-2"/>
        </w:rPr>
        <w:t> </w:t>
      </w:r>
      <w:r>
        <w:rPr/>
        <w:t>it</w:t>
      </w:r>
      <w:r>
        <w:rPr>
          <w:spacing w:val="-2"/>
        </w:rPr>
        <w:t> </w:t>
      </w:r>
      <w:r>
        <w:rPr/>
        <w:t>immediately</w:t>
      </w:r>
      <w:r>
        <w:rPr>
          <w:spacing w:val="-2"/>
        </w:rPr>
        <w:t> </w:t>
      </w:r>
      <w:r>
        <w:rPr/>
        <w:t>became one</w:t>
      </w:r>
      <w:r>
        <w:rPr>
          <w:spacing w:val="-2"/>
        </w:rPr>
        <w:t> </w:t>
      </w:r>
      <w:r>
        <w:rPr/>
        <w:t>of</w:t>
      </w:r>
      <w:r>
        <w:rPr>
          <w:spacing w:val="-1"/>
        </w:rPr>
        <w:t> </w:t>
      </w:r>
      <w:r>
        <w:rPr/>
        <w:t>my favorites.</w:t>
      </w:r>
      <w:r>
        <w:rPr>
          <w:spacing w:val="35"/>
        </w:rPr>
        <w:t> </w:t>
      </w:r>
      <w:r>
        <w:rPr/>
        <w:t>Another</w:t>
      </w:r>
      <w:r>
        <w:rPr>
          <w:spacing w:val="35"/>
        </w:rPr>
        <w:t> </w:t>
      </w:r>
      <w:r>
        <w:rPr/>
        <w:t>book,</w:t>
      </w:r>
      <w:r>
        <w:rPr>
          <w:spacing w:val="38"/>
        </w:rPr>
        <w:t> </w:t>
      </w:r>
      <w:r>
        <w:rPr>
          <w:i/>
        </w:rPr>
        <w:t>Candlestick</w:t>
      </w:r>
      <w:r>
        <w:rPr>
          <w:i/>
          <w:spacing w:val="37"/>
        </w:rPr>
        <w:t> </w:t>
      </w:r>
      <w:r>
        <w:rPr>
          <w:i/>
        </w:rPr>
        <w:t>Charting</w:t>
      </w:r>
      <w:r>
        <w:rPr>
          <w:i/>
          <w:spacing w:val="35"/>
        </w:rPr>
        <w:t> </w:t>
      </w:r>
      <w:r>
        <w:rPr>
          <w:i/>
        </w:rPr>
        <w:t>Explained</w:t>
      </w:r>
      <w:r>
        <w:rPr>
          <w:i/>
          <w:spacing w:val="31"/>
        </w:rPr>
        <w:t> </w:t>
      </w:r>
      <w:r>
        <w:rPr/>
        <w:t>by</w:t>
      </w:r>
      <w:r>
        <w:rPr>
          <w:spacing w:val="34"/>
        </w:rPr>
        <w:t> </w:t>
      </w:r>
      <w:r>
        <w:rPr/>
        <w:t>Greg</w:t>
      </w:r>
      <w:r>
        <w:rPr>
          <w:spacing w:val="35"/>
        </w:rPr>
        <w:t> </w:t>
      </w:r>
      <w:r>
        <w:rPr/>
        <w:t>Morris, has</w:t>
      </w:r>
      <w:r>
        <w:rPr>
          <w:spacing w:val="-2"/>
        </w:rPr>
        <w:t> </w:t>
      </w:r>
      <w:r>
        <w:rPr/>
        <w:t>also</w:t>
      </w:r>
      <w:r>
        <w:rPr>
          <w:spacing w:val="-2"/>
        </w:rPr>
        <w:t> </w:t>
      </w:r>
      <w:r>
        <w:rPr/>
        <w:t>been</w:t>
      </w:r>
      <w:r>
        <w:rPr>
          <w:spacing w:val="-1"/>
        </w:rPr>
        <w:t> </w:t>
      </w:r>
      <w:r>
        <w:rPr/>
        <w:t>a</w:t>
      </w:r>
      <w:r>
        <w:rPr>
          <w:spacing w:val="-2"/>
        </w:rPr>
        <w:t> </w:t>
      </w:r>
      <w:r>
        <w:rPr/>
        <w:t>favorite</w:t>
      </w:r>
      <w:r>
        <w:rPr>
          <w:spacing w:val="-2"/>
        </w:rPr>
        <w:t> </w:t>
      </w:r>
      <w:r>
        <w:rPr/>
        <w:t>in</w:t>
      </w:r>
      <w:r>
        <w:rPr>
          <w:spacing w:val="-2"/>
        </w:rPr>
        <w:t> </w:t>
      </w:r>
      <w:r>
        <w:rPr/>
        <w:t>my</w:t>
      </w:r>
      <w:r>
        <w:rPr>
          <w:spacing w:val="-2"/>
        </w:rPr>
        <w:t> </w:t>
      </w:r>
      <w:r>
        <w:rPr/>
        <w:t>library.</w:t>
      </w:r>
      <w:r>
        <w:rPr>
          <w:spacing w:val="-2"/>
        </w:rPr>
        <w:t> </w:t>
      </w:r>
      <w:r>
        <w:rPr/>
        <w:t>Both</w:t>
      </w:r>
      <w:r>
        <w:rPr>
          <w:spacing w:val="-2"/>
        </w:rPr>
        <w:t> </w:t>
      </w:r>
      <w:r>
        <w:rPr/>
        <w:t>of</w:t>
      </w:r>
      <w:r>
        <w:rPr>
          <w:spacing w:val="-2"/>
        </w:rPr>
        <w:t> </w:t>
      </w:r>
      <w:r>
        <w:rPr/>
        <w:t>these</w:t>
      </w:r>
      <w:r>
        <w:rPr>
          <w:spacing w:val="-2"/>
        </w:rPr>
        <w:t> </w:t>
      </w:r>
      <w:r>
        <w:rPr/>
        <w:t>comprehensive</w:t>
      </w:r>
      <w:r>
        <w:rPr>
          <w:spacing w:val="-2"/>
        </w:rPr>
        <w:t> </w:t>
      </w:r>
      <w:r>
        <w:rPr/>
        <w:t>resources have been paramount to my</w:t>
      </w:r>
      <w:r>
        <w:rPr>
          <w:spacing w:val="-2"/>
        </w:rPr>
        <w:t> </w:t>
      </w:r>
      <w:r>
        <w:rPr/>
        <w:t>understanding and use of candlestick techniques. A</w:t>
      </w:r>
      <w:r>
        <w:rPr>
          <w:spacing w:val="24"/>
        </w:rPr>
        <w:t> </w:t>
      </w:r>
      <w:r>
        <w:rPr>
          <w:i/>
        </w:rPr>
        <w:t>candlestick</w:t>
      </w:r>
      <w:r>
        <w:rPr>
          <w:i/>
          <w:spacing w:val="25"/>
        </w:rPr>
        <w:t> </w:t>
      </w:r>
      <w:r>
        <w:rPr>
          <w:i/>
        </w:rPr>
        <w:t>chart</w:t>
      </w:r>
      <w:r>
        <w:rPr>
          <w:i/>
          <w:spacing w:val="24"/>
        </w:rPr>
        <w:t> </w:t>
      </w:r>
      <w:r>
        <w:rPr/>
        <w:t>displays</w:t>
      </w:r>
      <w:r>
        <w:rPr>
          <w:spacing w:val="24"/>
        </w:rPr>
        <w:t> </w:t>
      </w:r>
      <w:r>
        <w:rPr/>
        <w:t>the</w:t>
      </w:r>
      <w:r>
        <w:rPr>
          <w:spacing w:val="24"/>
        </w:rPr>
        <w:t> </w:t>
      </w:r>
      <w:r>
        <w:rPr/>
        <w:t>same</w:t>
      </w:r>
      <w:r>
        <w:rPr>
          <w:spacing w:val="25"/>
        </w:rPr>
        <w:t> </w:t>
      </w:r>
      <w:r>
        <w:rPr/>
        <w:t>data</w:t>
      </w:r>
      <w:r>
        <w:rPr>
          <w:spacing w:val="24"/>
        </w:rPr>
        <w:t> </w:t>
      </w:r>
      <w:r>
        <w:rPr/>
        <w:t>as</w:t>
      </w:r>
      <w:r>
        <w:rPr>
          <w:spacing w:val="24"/>
        </w:rPr>
        <w:t> </w:t>
      </w:r>
      <w:r>
        <w:rPr/>
        <w:t>a</w:t>
      </w:r>
      <w:r>
        <w:rPr>
          <w:spacing w:val="24"/>
        </w:rPr>
        <w:t> </w:t>
      </w:r>
      <w:r>
        <w:rPr/>
        <w:t>typical</w:t>
      </w:r>
      <w:r>
        <w:rPr>
          <w:spacing w:val="24"/>
        </w:rPr>
        <w:t> </w:t>
      </w:r>
      <w:r>
        <w:rPr/>
        <w:t>bar</w:t>
      </w:r>
      <w:r>
        <w:rPr>
          <w:spacing w:val="24"/>
        </w:rPr>
        <w:t> </w:t>
      </w:r>
      <w:r>
        <w:rPr/>
        <w:t>chart</w:t>
      </w:r>
      <w:r>
        <w:rPr>
          <w:spacing w:val="24"/>
        </w:rPr>
        <w:t> </w:t>
      </w:r>
      <w:r>
        <w:rPr/>
        <w:t>(open, high,</w:t>
      </w:r>
      <w:r>
        <w:rPr>
          <w:spacing w:val="40"/>
        </w:rPr>
        <w:t> </w:t>
      </w:r>
      <w:r>
        <w:rPr/>
        <w:t>low,</w:t>
      </w:r>
      <w:r>
        <w:rPr>
          <w:spacing w:val="40"/>
        </w:rPr>
        <w:t> </w:t>
      </w:r>
      <w:r>
        <w:rPr/>
        <w:t>and</w:t>
      </w:r>
      <w:r>
        <w:rPr>
          <w:spacing w:val="40"/>
        </w:rPr>
        <w:t> </w:t>
      </w:r>
      <w:r>
        <w:rPr/>
        <w:t>close),</w:t>
      </w:r>
      <w:r>
        <w:rPr>
          <w:spacing w:val="40"/>
        </w:rPr>
        <w:t> </w:t>
      </w:r>
      <w:r>
        <w:rPr/>
        <w:t>but</w:t>
      </w:r>
      <w:r>
        <w:rPr>
          <w:spacing w:val="40"/>
        </w:rPr>
        <w:t> </w:t>
      </w:r>
      <w:r>
        <w:rPr/>
        <w:t>conveys</w:t>
      </w:r>
      <w:r>
        <w:rPr>
          <w:spacing w:val="40"/>
        </w:rPr>
        <w:t> </w:t>
      </w:r>
      <w:r>
        <w:rPr/>
        <w:t>the</w:t>
      </w:r>
      <w:r>
        <w:rPr>
          <w:spacing w:val="40"/>
        </w:rPr>
        <w:t> </w:t>
      </w:r>
      <w:r>
        <w:rPr/>
        <w:t>information</w:t>
      </w:r>
      <w:r>
        <w:rPr>
          <w:spacing w:val="40"/>
        </w:rPr>
        <w:t> </w:t>
      </w:r>
      <w:r>
        <w:rPr/>
        <w:t>in</w:t>
      </w:r>
      <w:r>
        <w:rPr>
          <w:spacing w:val="40"/>
        </w:rPr>
        <w:t> </w:t>
      </w:r>
      <w:r>
        <w:rPr/>
        <w:t>a</w:t>
      </w:r>
      <w:r>
        <w:rPr>
          <w:spacing w:val="40"/>
        </w:rPr>
        <w:t> </w:t>
      </w:r>
      <w:r>
        <w:rPr/>
        <w:t>more</w:t>
      </w:r>
      <w:r>
        <w:rPr>
          <w:spacing w:val="68"/>
        </w:rPr>
        <w:t> </w:t>
      </w:r>
      <w:r>
        <w:rPr/>
        <w:t>visually</w:t>
      </w:r>
      <w:r>
        <w:rPr>
          <w:spacing w:val="80"/>
        </w:rPr>
        <w:t> </w:t>
      </w:r>
      <w:r>
        <w:rPr/>
        <w:t>appealing</w:t>
      </w:r>
      <w:r>
        <w:rPr>
          <w:spacing w:val="40"/>
        </w:rPr>
        <w:t> </w:t>
      </w:r>
      <w:r>
        <w:rPr/>
        <w:t>manner.</w:t>
      </w:r>
      <w:r>
        <w:rPr>
          <w:spacing w:val="40"/>
        </w:rPr>
        <w:t> </w:t>
      </w:r>
      <w:r>
        <w:rPr/>
        <w:t>This</w:t>
      </w:r>
      <w:r>
        <w:rPr>
          <w:spacing w:val="40"/>
        </w:rPr>
        <w:t> </w:t>
      </w:r>
      <w:r>
        <w:rPr/>
        <w:t>allows</w:t>
      </w:r>
      <w:r>
        <w:rPr>
          <w:spacing w:val="40"/>
        </w:rPr>
        <w:t> </w:t>
      </w:r>
      <w:r>
        <w:rPr/>
        <w:t>for</w:t>
      </w:r>
      <w:r>
        <w:rPr>
          <w:spacing w:val="40"/>
        </w:rPr>
        <w:t> </w:t>
      </w:r>
      <w:r>
        <w:rPr/>
        <w:t>quick</w:t>
      </w:r>
      <w:r>
        <w:rPr>
          <w:spacing w:val="40"/>
        </w:rPr>
        <w:t> </w:t>
      </w:r>
      <w:r>
        <w:rPr/>
        <w:t>and</w:t>
      </w:r>
      <w:r>
        <w:rPr>
          <w:spacing w:val="40"/>
        </w:rPr>
        <w:t> </w:t>
      </w:r>
      <w:r>
        <w:rPr/>
        <w:t>effective</w:t>
      </w:r>
      <w:r>
        <w:rPr>
          <w:spacing w:val="40"/>
        </w:rPr>
        <w:t> </w:t>
      </w:r>
      <w:r>
        <w:rPr/>
        <w:t>judgment</w:t>
      </w:r>
      <w:r>
        <w:rPr>
          <w:spacing w:val="40"/>
        </w:rPr>
        <w:t> </w:t>
      </w:r>
      <w:r>
        <w:rPr/>
        <w:t>of</w:t>
      </w:r>
      <w:r>
        <w:rPr>
          <w:spacing w:val="40"/>
        </w:rPr>
        <w:t> </w:t>
      </w:r>
      <w:r>
        <w:rPr/>
        <w:t>price relationships</w:t>
      </w:r>
      <w:r>
        <w:rPr>
          <w:spacing w:val="60"/>
        </w:rPr>
        <w:t> </w:t>
      </w:r>
      <w:r>
        <w:rPr/>
        <w:t>and</w:t>
      </w:r>
      <w:r>
        <w:rPr>
          <w:spacing w:val="60"/>
        </w:rPr>
        <w:t> </w:t>
      </w:r>
      <w:r>
        <w:rPr/>
        <w:t>the</w:t>
      </w:r>
      <w:r>
        <w:rPr>
          <w:spacing w:val="60"/>
        </w:rPr>
        <w:t> </w:t>
      </w:r>
      <w:r>
        <w:rPr/>
        <w:t>inherent</w:t>
      </w:r>
      <w:r>
        <w:rPr>
          <w:spacing w:val="62"/>
        </w:rPr>
        <w:t> </w:t>
      </w:r>
      <w:r>
        <w:rPr/>
        <w:t>market</w:t>
      </w:r>
      <w:r>
        <w:rPr>
          <w:spacing w:val="60"/>
        </w:rPr>
        <w:t> </w:t>
      </w:r>
      <w:r>
        <w:rPr/>
        <w:t>psychology</w:t>
      </w:r>
      <w:r>
        <w:rPr>
          <w:spacing w:val="59"/>
        </w:rPr>
        <w:t> </w:t>
      </w:r>
      <w:r>
        <w:rPr/>
        <w:t>contained</w:t>
      </w:r>
      <w:r>
        <w:rPr>
          <w:spacing w:val="60"/>
        </w:rPr>
        <w:t> </w:t>
      </w:r>
      <w:r>
        <w:rPr/>
        <w:t>within</w:t>
      </w:r>
      <w:r>
        <w:rPr>
          <w:spacing w:val="60"/>
        </w:rPr>
        <w:t> </w:t>
      </w:r>
      <w:r>
        <w:rPr>
          <w:spacing w:val="-4"/>
        </w:rPr>
        <w:t>each</w:t>
      </w:r>
    </w:p>
    <w:p>
      <w:pPr>
        <w:pStyle w:val="BodyText"/>
        <w:ind w:left="140"/>
      </w:pPr>
      <w:r>
        <w:rPr>
          <w:spacing w:val="-2"/>
        </w:rPr>
        <w:t>candle.</w:t>
      </w:r>
    </w:p>
    <w:p>
      <w:pPr>
        <w:pStyle w:val="BodyText"/>
        <w:ind w:left="140" w:right="495" w:firstLine="432"/>
        <w:jc w:val="both"/>
      </w:pPr>
      <w:r>
        <w:rPr/>
        <w:t>Trading</w:t>
      </w:r>
      <w:r>
        <w:rPr>
          <w:spacing w:val="-2"/>
        </w:rPr>
        <w:t> </w:t>
      </w:r>
      <w:r>
        <w:rPr/>
        <w:t>is</w:t>
      </w:r>
      <w:r>
        <w:rPr>
          <w:spacing w:val="-2"/>
        </w:rPr>
        <w:t> </w:t>
      </w:r>
      <w:r>
        <w:rPr/>
        <w:t>a</w:t>
      </w:r>
      <w:r>
        <w:rPr>
          <w:spacing w:val="-2"/>
        </w:rPr>
        <w:t> </w:t>
      </w:r>
      <w:r>
        <w:rPr/>
        <w:t>game</w:t>
      </w:r>
      <w:r>
        <w:rPr>
          <w:spacing w:val="-2"/>
        </w:rPr>
        <w:t> </w:t>
      </w:r>
      <w:r>
        <w:rPr/>
        <w:t>of</w:t>
      </w:r>
      <w:r>
        <w:rPr>
          <w:spacing w:val="-2"/>
        </w:rPr>
        <w:t> </w:t>
      </w:r>
      <w:r>
        <w:rPr/>
        <w:t>recognition.</w:t>
      </w:r>
      <w:r>
        <w:rPr>
          <w:spacing w:val="-2"/>
        </w:rPr>
        <w:t> </w:t>
      </w:r>
      <w:r>
        <w:rPr/>
        <w:t>The</w:t>
      </w:r>
      <w:r>
        <w:rPr>
          <w:spacing w:val="-2"/>
        </w:rPr>
        <w:t> </w:t>
      </w:r>
      <w:r>
        <w:rPr/>
        <w:t>traders</w:t>
      </w:r>
      <w:r>
        <w:rPr>
          <w:spacing w:val="-2"/>
        </w:rPr>
        <w:t> </w:t>
      </w:r>
      <w:r>
        <w:rPr/>
        <w:t>that</w:t>
      </w:r>
      <w:r>
        <w:rPr>
          <w:spacing w:val="-2"/>
        </w:rPr>
        <w:t> </w:t>
      </w:r>
      <w:r>
        <w:rPr/>
        <w:t>consistently</w:t>
      </w:r>
      <w:r>
        <w:rPr>
          <w:spacing w:val="-2"/>
        </w:rPr>
        <w:t> </w:t>
      </w:r>
      <w:r>
        <w:rPr/>
        <w:t>recognize profitable</w:t>
      </w:r>
      <w:r>
        <w:rPr>
          <w:spacing w:val="-3"/>
        </w:rPr>
        <w:t> </w:t>
      </w:r>
      <w:r>
        <w:rPr/>
        <w:t>patterns</w:t>
      </w:r>
      <w:r>
        <w:rPr>
          <w:spacing w:val="-3"/>
        </w:rPr>
        <w:t> </w:t>
      </w:r>
      <w:r>
        <w:rPr/>
        <w:t>in</w:t>
      </w:r>
      <w:r>
        <w:rPr>
          <w:spacing w:val="-3"/>
        </w:rPr>
        <w:t> </w:t>
      </w:r>
      <w:r>
        <w:rPr/>
        <w:t>the</w:t>
      </w:r>
      <w:r>
        <w:rPr>
          <w:spacing w:val="-2"/>
        </w:rPr>
        <w:t> </w:t>
      </w:r>
      <w:r>
        <w:rPr/>
        <w:t>market</w:t>
      </w:r>
      <w:r>
        <w:rPr>
          <w:spacing w:val="-3"/>
        </w:rPr>
        <w:t> </w:t>
      </w:r>
      <w:r>
        <w:rPr/>
        <w:t>ahead</w:t>
      </w:r>
      <w:r>
        <w:rPr>
          <w:spacing w:val="-3"/>
        </w:rPr>
        <w:t> </w:t>
      </w:r>
      <w:r>
        <w:rPr/>
        <w:t>of</w:t>
      </w:r>
      <w:r>
        <w:rPr>
          <w:spacing w:val="-4"/>
        </w:rPr>
        <w:t> </w:t>
      </w:r>
      <w:r>
        <w:rPr/>
        <w:t>the</w:t>
      </w:r>
      <w:r>
        <w:rPr>
          <w:spacing w:val="-3"/>
        </w:rPr>
        <w:t> </w:t>
      </w:r>
      <w:r>
        <w:rPr/>
        <w:t>crowd</w:t>
      </w:r>
      <w:r>
        <w:rPr>
          <w:spacing w:val="-3"/>
        </w:rPr>
        <w:t> </w:t>
      </w:r>
      <w:r>
        <w:rPr/>
        <w:t>will</w:t>
      </w:r>
      <w:r>
        <w:rPr>
          <w:spacing w:val="-3"/>
        </w:rPr>
        <w:t> </w:t>
      </w:r>
      <w:r>
        <w:rPr/>
        <w:t>be</w:t>
      </w:r>
      <w:r>
        <w:rPr>
          <w:spacing w:val="-3"/>
        </w:rPr>
        <w:t> </w:t>
      </w:r>
      <w:r>
        <w:rPr/>
        <w:t>those</w:t>
      </w:r>
      <w:r>
        <w:rPr>
          <w:spacing w:val="-3"/>
        </w:rPr>
        <w:t> </w:t>
      </w:r>
      <w:r>
        <w:rPr/>
        <w:t>that</w:t>
      </w:r>
      <w:r>
        <w:rPr>
          <w:spacing w:val="-3"/>
        </w:rPr>
        <w:t> </w:t>
      </w:r>
      <w:r>
        <w:rPr/>
        <w:t>prosper in this game. Candlestick charting allows you to quickly gauge current</w:t>
      </w:r>
      <w:r>
        <w:rPr>
          <w:spacing w:val="40"/>
        </w:rPr>
        <w:t> </w:t>
      </w:r>
      <w:r>
        <w:rPr/>
        <w:t>market sentiment and anticipate potential price movement, which is essential to</w:t>
      </w:r>
      <w:r>
        <w:rPr>
          <w:spacing w:val="-1"/>
        </w:rPr>
        <w:t> </w:t>
      </w:r>
      <w:r>
        <w:rPr/>
        <w:t>profitable</w:t>
      </w:r>
      <w:r>
        <w:rPr>
          <w:spacing w:val="-1"/>
        </w:rPr>
        <w:t> </w:t>
      </w:r>
      <w:r>
        <w:rPr/>
        <w:t>trading.</w:t>
      </w:r>
      <w:r>
        <w:rPr>
          <w:spacing w:val="-1"/>
        </w:rPr>
        <w:t> </w:t>
      </w:r>
      <w:r>
        <w:rPr/>
        <w:t>Once</w:t>
      </w:r>
      <w:r>
        <w:rPr>
          <w:spacing w:val="-1"/>
        </w:rPr>
        <w:t> </w:t>
      </w:r>
      <w:r>
        <w:rPr/>
        <w:t>you</w:t>
      </w:r>
      <w:r>
        <w:rPr>
          <w:spacing w:val="-1"/>
        </w:rPr>
        <w:t> </w:t>
      </w:r>
      <w:r>
        <w:rPr/>
        <w:t>become</w:t>
      </w:r>
      <w:r>
        <w:rPr>
          <w:spacing w:val="-1"/>
        </w:rPr>
        <w:t> </w:t>
      </w:r>
      <w:r>
        <w:rPr/>
        <w:t>familiar with</w:t>
      </w:r>
      <w:r>
        <w:rPr>
          <w:spacing w:val="-1"/>
        </w:rPr>
        <w:t> </w:t>
      </w:r>
      <w:r>
        <w:rPr/>
        <w:t>candlesticks,</w:t>
      </w:r>
      <w:r>
        <w:rPr>
          <w:spacing w:val="-1"/>
        </w:rPr>
        <w:t> </w:t>
      </w:r>
      <w:r>
        <w:rPr/>
        <w:t>there</w:t>
      </w:r>
      <w:r>
        <w:rPr>
          <w:spacing w:val="-1"/>
        </w:rPr>
        <w:t> </w:t>
      </w:r>
      <w:r>
        <w:rPr/>
        <w:t>is</w:t>
      </w:r>
      <w:r>
        <w:rPr>
          <w:spacing w:val="-1"/>
        </w:rPr>
        <w:t> </w:t>
      </w:r>
      <w:r>
        <w:rPr/>
        <w:t>no way you will turn back to a boring bar chart.</w:t>
      </w:r>
    </w:p>
    <w:p>
      <w:pPr>
        <w:pStyle w:val="BodyText"/>
        <w:ind w:left="140" w:right="497" w:firstLine="432"/>
        <w:jc w:val="both"/>
      </w:pPr>
      <w:r>
        <w:rPr/>
        <w:t>Take a look at Figure 2.1, which illustrates the anatomy of a bullish and bearish candlestick. The portion of the candle that spans from the open price to</w:t>
      </w:r>
      <w:r>
        <w:rPr>
          <w:spacing w:val="2"/>
        </w:rPr>
        <w:t> </w:t>
      </w:r>
      <w:r>
        <w:rPr/>
        <w:t>the</w:t>
      </w:r>
      <w:r>
        <w:rPr>
          <w:spacing w:val="3"/>
        </w:rPr>
        <w:t> </w:t>
      </w:r>
      <w:r>
        <w:rPr/>
        <w:t>close</w:t>
      </w:r>
      <w:r>
        <w:rPr>
          <w:spacing w:val="1"/>
        </w:rPr>
        <w:t> </w:t>
      </w:r>
      <w:r>
        <w:rPr/>
        <w:t>price</w:t>
      </w:r>
      <w:r>
        <w:rPr>
          <w:spacing w:val="2"/>
        </w:rPr>
        <w:t> </w:t>
      </w:r>
      <w:r>
        <w:rPr/>
        <w:t>is</w:t>
      </w:r>
      <w:r>
        <w:rPr>
          <w:spacing w:val="3"/>
        </w:rPr>
        <w:t> </w:t>
      </w:r>
      <w:r>
        <w:rPr/>
        <w:t>called</w:t>
      </w:r>
      <w:r>
        <w:rPr>
          <w:spacing w:val="2"/>
        </w:rPr>
        <w:t> </w:t>
      </w:r>
      <w:r>
        <w:rPr/>
        <w:t>the</w:t>
      </w:r>
      <w:r>
        <w:rPr>
          <w:spacing w:val="2"/>
        </w:rPr>
        <w:t> </w:t>
      </w:r>
      <w:r>
        <w:rPr>
          <w:i/>
        </w:rPr>
        <w:t>body</w:t>
      </w:r>
      <w:r>
        <w:rPr/>
        <w:t>.</w:t>
      </w:r>
      <w:r>
        <w:rPr>
          <w:spacing w:val="2"/>
        </w:rPr>
        <w:t> </w:t>
      </w:r>
      <w:r>
        <w:rPr/>
        <w:t>If</w:t>
      </w:r>
      <w:r>
        <w:rPr>
          <w:spacing w:val="1"/>
        </w:rPr>
        <w:t> </w:t>
      </w:r>
      <w:r>
        <w:rPr/>
        <w:t>the</w:t>
      </w:r>
      <w:r>
        <w:rPr>
          <w:spacing w:val="3"/>
        </w:rPr>
        <w:t> </w:t>
      </w:r>
      <w:r>
        <w:rPr/>
        <w:t>close</w:t>
      </w:r>
      <w:r>
        <w:rPr>
          <w:spacing w:val="3"/>
        </w:rPr>
        <w:t> </w:t>
      </w:r>
      <w:r>
        <w:rPr/>
        <w:t>price</w:t>
      </w:r>
      <w:r>
        <w:rPr>
          <w:spacing w:val="2"/>
        </w:rPr>
        <w:t> </w:t>
      </w:r>
      <w:r>
        <w:rPr/>
        <w:t>is</w:t>
      </w:r>
      <w:r>
        <w:rPr>
          <w:spacing w:val="3"/>
        </w:rPr>
        <w:t> </w:t>
      </w:r>
      <w:r>
        <w:rPr>
          <w:i/>
        </w:rPr>
        <w:t>above</w:t>
      </w:r>
      <w:r>
        <w:rPr>
          <w:i/>
          <w:spacing w:val="2"/>
        </w:rPr>
        <w:t> </w:t>
      </w:r>
      <w:r>
        <w:rPr/>
        <w:t>the open</w:t>
      </w:r>
      <w:r>
        <w:rPr>
          <w:spacing w:val="3"/>
        </w:rPr>
        <w:t> </w:t>
      </w:r>
      <w:r>
        <w:rPr>
          <w:spacing w:val="-2"/>
        </w:rPr>
        <w:t>price</w:t>
      </w:r>
    </w:p>
    <w:p>
      <w:pPr>
        <w:spacing w:after="0"/>
        <w:jc w:val="both"/>
        <w:sectPr>
          <w:headerReference w:type="even" r:id="rId25"/>
          <w:headerReference w:type="default" r:id="rId26"/>
          <w:pgSz w:w="8640" w:h="12960"/>
          <w:pgMar w:header="579" w:footer="1060" w:top="760" w:bottom="1260" w:left="580" w:right="580"/>
        </w:sectPr>
      </w:pPr>
    </w:p>
    <w:p>
      <w:pPr>
        <w:pStyle w:val="BodyText"/>
        <w:spacing w:before="3"/>
      </w:pPr>
    </w:p>
    <w:p>
      <w:pPr>
        <w:pStyle w:val="BodyText"/>
        <w:spacing w:before="64"/>
        <w:ind w:left="499" w:right="138"/>
        <w:jc w:val="both"/>
      </w:pPr>
      <w:r>
        <w:rPr/>
        <w:pict>
          <v:group style="position:absolute;margin-left:144.945007pt;margin-top:139.829407pt;width:160.450pt;height:134.9pt;mso-position-horizontal-relative:page;mso-position-vertical-relative:paragraph;z-index:-19679744" id="docshapegroup31" coordorigin="2899,2797" coordsize="3209,2698">
            <v:shape style="position:absolute;left:3374;top:2856;width:1150;height:2576" id="docshape32" coordorigin="3374,2857" coordsize="1150,2576" path="m4524,4313l4524,5432m4524,2858l4524,3842m3374,5030l3374,5431m3374,2857l3374,3205e" filled="false" stroked="true" strokeweight=".75pt" strokecolor="#000000">
              <v:path arrowok="t"/>
              <v:stroke dashstyle="solid"/>
            </v:shape>
            <v:rect style="position:absolute;left:2906;top:3204;width:930;height:1824" id="docshape33" filled="false" stroked="true" strokeweight=".75pt" strokecolor="#000000">
              <v:stroke dashstyle="solid"/>
            </v:rect>
            <v:line style="position:absolute" from="5636,2858" to="5636,5432" stroked="true" strokeweight=".75pt" strokecolor="#000000">
              <v:stroke dashstyle="solid"/>
            </v:line>
            <v:rect style="position:absolute;left:5169;top:3205;width:930;height:1826" id="docshape34" filled="true" fillcolor="#000000" stroked="false">
              <v:fill type="solid"/>
            </v:rect>
            <v:rect style="position:absolute;left:5169;top:3205;width:930;height:1826" id="docshape35" filled="false" stroked="true" strokeweight=".75pt" strokecolor="#000000">
              <v:stroke dashstyle="solid"/>
            </v:rect>
            <v:shape style="position:absolute;left:3850;top:2796;width:1299;height:2698" id="docshape36" coordorigin="3851,2797" coordsize="1299,2698" path="m5147,2857l5130,2848,5027,2797,5027,2848,3971,2848,3971,2797,3851,2857,3971,2917,3971,2864,5027,2864,5027,2917,5132,2864,5147,2857xm5149,5434l5135,5427,5029,5374,5029,5427,3973,5427,3973,5374,3853,5434,3973,5494,3973,5441,5029,5441,5029,5494,5135,5441,5149,5434xe" filled="true" fillcolor="#000000" stroked="false">
              <v:path arrowok="t"/>
              <v:fill type="solid"/>
            </v:shape>
            <w10:wrap type="none"/>
          </v:group>
        </w:pict>
      </w:r>
      <w:r>
        <w:rPr/>
        <w:drawing>
          <wp:anchor distT="0" distB="0" distL="0" distR="0" allowOverlap="1" layoutInCell="1" locked="0" behindDoc="1" simplePos="0" relativeHeight="483638272">
            <wp:simplePos x="0" y="0"/>
            <wp:positionH relativeFrom="page">
              <wp:posOffset>1544574</wp:posOffset>
            </wp:positionH>
            <wp:positionV relativeFrom="paragraph">
              <wp:posOffset>2004433</wp:posOffset>
            </wp:positionV>
            <wp:extent cx="208787" cy="76200"/>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29" cstate="print"/>
                    <a:stretch>
                      <a:fillRect/>
                    </a:stretch>
                  </pic:blipFill>
                  <pic:spPr>
                    <a:xfrm>
                      <a:off x="0" y="0"/>
                      <a:ext cx="208787" cy="76200"/>
                    </a:xfrm>
                    <a:prstGeom prst="rect">
                      <a:avLst/>
                    </a:prstGeom>
                  </pic:spPr>
                </pic:pic>
              </a:graphicData>
            </a:graphic>
          </wp:anchor>
        </w:drawing>
      </w:r>
      <w:r>
        <w:rPr/>
        <w:drawing>
          <wp:anchor distT="0" distB="0" distL="0" distR="0" allowOverlap="1" layoutInCell="1" locked="0" behindDoc="1" simplePos="0" relativeHeight="483638784">
            <wp:simplePos x="0" y="0"/>
            <wp:positionH relativeFrom="page">
              <wp:posOffset>1546097</wp:posOffset>
            </wp:positionH>
            <wp:positionV relativeFrom="paragraph">
              <wp:posOffset>1783453</wp:posOffset>
            </wp:positionV>
            <wp:extent cx="208026" cy="76200"/>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30" cstate="print"/>
                    <a:stretch>
                      <a:fillRect/>
                    </a:stretch>
                  </pic:blipFill>
                  <pic:spPr>
                    <a:xfrm>
                      <a:off x="0" y="0"/>
                      <a:ext cx="208026" cy="76200"/>
                    </a:xfrm>
                    <a:prstGeom prst="rect">
                      <a:avLst/>
                    </a:prstGeom>
                  </pic:spPr>
                </pic:pic>
              </a:graphicData>
            </a:graphic>
          </wp:anchor>
        </w:drawing>
      </w:r>
      <w:r>
        <w:rPr/>
        <w:drawing>
          <wp:anchor distT="0" distB="0" distL="0" distR="0" allowOverlap="1" layoutInCell="1" locked="0" behindDoc="1" simplePos="0" relativeHeight="483640832">
            <wp:simplePos x="0" y="0"/>
            <wp:positionH relativeFrom="page">
              <wp:posOffset>3960114</wp:posOffset>
            </wp:positionH>
            <wp:positionV relativeFrom="paragraph">
              <wp:posOffset>2005957</wp:posOffset>
            </wp:positionV>
            <wp:extent cx="208025" cy="76200"/>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31" cstate="print"/>
                    <a:stretch>
                      <a:fillRect/>
                    </a:stretch>
                  </pic:blipFill>
                  <pic:spPr>
                    <a:xfrm>
                      <a:off x="0" y="0"/>
                      <a:ext cx="208025" cy="76200"/>
                    </a:xfrm>
                    <a:prstGeom prst="rect">
                      <a:avLst/>
                    </a:prstGeom>
                  </pic:spPr>
                </pic:pic>
              </a:graphicData>
            </a:graphic>
          </wp:anchor>
        </w:drawing>
      </w:r>
      <w:r>
        <w:rPr/>
        <w:drawing>
          <wp:anchor distT="0" distB="0" distL="0" distR="0" allowOverlap="1" layoutInCell="1" locked="0" behindDoc="1" simplePos="0" relativeHeight="483641344">
            <wp:simplePos x="0" y="0"/>
            <wp:positionH relativeFrom="page">
              <wp:posOffset>3960876</wp:posOffset>
            </wp:positionH>
            <wp:positionV relativeFrom="paragraph">
              <wp:posOffset>1784977</wp:posOffset>
            </wp:positionV>
            <wp:extent cx="208787" cy="76200"/>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32" cstate="print"/>
                    <a:stretch>
                      <a:fillRect/>
                    </a:stretch>
                  </pic:blipFill>
                  <pic:spPr>
                    <a:xfrm>
                      <a:off x="0" y="0"/>
                      <a:ext cx="208787" cy="76200"/>
                    </a:xfrm>
                    <a:prstGeom prst="rect">
                      <a:avLst/>
                    </a:prstGeom>
                  </pic:spPr>
                </pic:pic>
              </a:graphicData>
            </a:graphic>
          </wp:anchor>
        </w:drawing>
      </w:r>
      <w:r>
        <w:rPr/>
        <w:t>(C &gt; O), the candle is typically colored white or green to denote a bullish sentiment. If the close price is </w:t>
      </w:r>
      <w:r>
        <w:rPr>
          <w:i/>
        </w:rPr>
        <w:t>below </w:t>
      </w:r>
      <w:r>
        <w:rPr/>
        <w:t>the open price (C &lt; O), the candle is typically colored black or red to denote a bearish sentiment. The top and bottom of the candle denote the high price and low price of the bar, respectively. If the high or</w:t>
      </w:r>
      <w:r>
        <w:rPr>
          <w:spacing w:val="-1"/>
        </w:rPr>
        <w:t> </w:t>
      </w:r>
      <w:r>
        <w:rPr/>
        <w:t>low is beyond the limits of the body</w:t>
      </w:r>
      <w:r>
        <w:rPr>
          <w:spacing w:val="-1"/>
        </w:rPr>
        <w:t> </w:t>
      </w:r>
      <w:r>
        <w:rPr/>
        <w:t>of the candle, then a </w:t>
      </w:r>
      <w:r>
        <w:rPr>
          <w:i/>
        </w:rPr>
        <w:t>wick </w:t>
      </w:r>
      <w:r>
        <w:rPr/>
        <w:t>is present, which is also called a shadow or tail. The distance between the low and the high of the candle is called the </w:t>
      </w:r>
      <w:r>
        <w:rPr>
          <w:i/>
        </w:rPr>
        <w:t>range</w:t>
      </w:r>
      <w:r>
        <w:rPr/>
        <w:t>.</w:t>
      </w:r>
    </w:p>
    <w:p>
      <w:pPr>
        <w:pStyle w:val="BodyText"/>
        <w:spacing w:before="7"/>
        <w:rPr>
          <w:sz w:val="21"/>
        </w:rPr>
      </w:pPr>
    </w:p>
    <w:tbl>
      <w:tblPr>
        <w:tblW w:w="0" w:type="auto"/>
        <w:jc w:val="left"/>
        <w:tblInd w:w="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8"/>
        <w:gridCol w:w="2487"/>
        <w:gridCol w:w="1634"/>
      </w:tblGrid>
      <w:tr>
        <w:trPr>
          <w:trHeight w:val="529" w:hRule="atLeast"/>
        </w:trPr>
        <w:tc>
          <w:tcPr>
            <w:tcW w:w="5759" w:type="dxa"/>
            <w:gridSpan w:val="3"/>
            <w:tcBorders>
              <w:left w:val="single" w:sz="6" w:space="0" w:color="000000"/>
              <w:right w:val="single" w:sz="6" w:space="0" w:color="000000"/>
            </w:tcBorders>
            <w:shd w:val="clear" w:color="auto" w:fill="000000"/>
          </w:tcPr>
          <w:p>
            <w:pPr>
              <w:pStyle w:val="TableParagraph"/>
              <w:spacing w:before="84"/>
              <w:ind w:left="1091"/>
              <w:rPr>
                <w:rFonts w:ascii="Verdana"/>
                <w:sz w:val="28"/>
              </w:rPr>
            </w:pPr>
            <w:r>
              <w:rPr>
                <w:rFonts w:ascii="Verdana"/>
                <w:color w:val="FFFFFF"/>
                <w:sz w:val="28"/>
              </w:rPr>
              <w:t>Anatomy</w:t>
            </w:r>
            <w:r>
              <w:rPr>
                <w:rFonts w:ascii="Verdana"/>
                <w:color w:val="FFFFFF"/>
                <w:spacing w:val="-18"/>
                <w:sz w:val="28"/>
              </w:rPr>
              <w:t> </w:t>
            </w:r>
            <w:r>
              <w:rPr>
                <w:rFonts w:ascii="Verdana"/>
                <w:color w:val="FFFFFF"/>
                <w:sz w:val="28"/>
              </w:rPr>
              <w:t>of</w:t>
            </w:r>
            <w:r>
              <w:rPr>
                <w:rFonts w:ascii="Verdana"/>
                <w:color w:val="FFFFFF"/>
                <w:spacing w:val="-18"/>
                <w:sz w:val="28"/>
              </w:rPr>
              <w:t> </w:t>
            </w:r>
            <w:r>
              <w:rPr>
                <w:rFonts w:ascii="Verdana"/>
                <w:color w:val="FFFFFF"/>
                <w:sz w:val="28"/>
              </w:rPr>
              <w:t>a</w:t>
            </w:r>
            <w:r>
              <w:rPr>
                <w:rFonts w:ascii="Verdana"/>
                <w:color w:val="FFFFFF"/>
                <w:spacing w:val="-17"/>
                <w:sz w:val="28"/>
              </w:rPr>
              <w:t> </w:t>
            </w:r>
            <w:r>
              <w:rPr>
                <w:rFonts w:ascii="Verdana"/>
                <w:color w:val="FFFFFF"/>
                <w:spacing w:val="-2"/>
                <w:sz w:val="28"/>
              </w:rPr>
              <w:t>Candlestick</w:t>
            </w:r>
          </w:p>
        </w:tc>
      </w:tr>
      <w:tr>
        <w:trPr>
          <w:trHeight w:val="424" w:hRule="atLeast"/>
        </w:trPr>
        <w:tc>
          <w:tcPr>
            <w:tcW w:w="1638" w:type="dxa"/>
            <w:tcBorders>
              <w:left w:val="single" w:sz="6" w:space="0" w:color="000000"/>
            </w:tcBorders>
          </w:tcPr>
          <w:p>
            <w:pPr>
              <w:pStyle w:val="TableParagraph"/>
              <w:spacing w:before="73"/>
              <w:ind w:left="148"/>
              <w:rPr>
                <w:sz w:val="24"/>
              </w:rPr>
            </w:pPr>
            <w:r>
              <w:rPr>
                <w:spacing w:val="-4"/>
                <w:sz w:val="24"/>
              </w:rPr>
              <w:t>High</w:t>
            </w:r>
          </w:p>
        </w:tc>
        <w:tc>
          <w:tcPr>
            <w:tcW w:w="2487" w:type="dxa"/>
          </w:tcPr>
          <w:p>
            <w:pPr>
              <w:pStyle w:val="TableParagraph"/>
              <w:rPr>
                <w:rFonts w:ascii="Times New Roman"/>
                <w:sz w:val="20"/>
              </w:rPr>
            </w:pPr>
          </w:p>
        </w:tc>
        <w:tc>
          <w:tcPr>
            <w:tcW w:w="1634" w:type="dxa"/>
            <w:tcBorders>
              <w:right w:val="single" w:sz="6" w:space="0" w:color="000000"/>
            </w:tcBorders>
          </w:tcPr>
          <w:p>
            <w:pPr>
              <w:pStyle w:val="TableParagraph"/>
              <w:spacing w:before="75"/>
              <w:ind w:right="142"/>
              <w:jc w:val="right"/>
              <w:rPr>
                <w:sz w:val="24"/>
              </w:rPr>
            </w:pPr>
            <w:r>
              <w:rPr>
                <w:spacing w:val="-4"/>
                <w:sz w:val="24"/>
              </w:rPr>
              <w:t>High</w:t>
            </w:r>
          </w:p>
        </w:tc>
      </w:tr>
      <w:tr>
        <w:trPr>
          <w:trHeight w:val="613" w:hRule="atLeast"/>
        </w:trPr>
        <w:tc>
          <w:tcPr>
            <w:tcW w:w="1638" w:type="dxa"/>
            <w:tcBorders>
              <w:left w:val="single" w:sz="6" w:space="0" w:color="000000"/>
            </w:tcBorders>
          </w:tcPr>
          <w:p>
            <w:pPr>
              <w:pStyle w:val="TableParagraph"/>
              <w:spacing w:before="7"/>
              <w:ind w:left="159"/>
              <w:rPr>
                <w:sz w:val="24"/>
              </w:rPr>
            </w:pPr>
            <w:r>
              <w:rPr>
                <w:spacing w:val="-2"/>
                <w:sz w:val="24"/>
              </w:rPr>
              <w:t>Close</w:t>
            </w:r>
          </w:p>
        </w:tc>
        <w:tc>
          <w:tcPr>
            <w:tcW w:w="2487" w:type="dxa"/>
          </w:tcPr>
          <w:p>
            <w:pPr>
              <w:pStyle w:val="TableParagraph"/>
              <w:rPr>
                <w:rFonts w:ascii="Times New Roman"/>
                <w:sz w:val="20"/>
              </w:rPr>
            </w:pPr>
          </w:p>
        </w:tc>
        <w:tc>
          <w:tcPr>
            <w:tcW w:w="1634" w:type="dxa"/>
            <w:tcBorders>
              <w:right w:val="single" w:sz="6" w:space="0" w:color="000000"/>
            </w:tcBorders>
          </w:tcPr>
          <w:p>
            <w:pPr>
              <w:pStyle w:val="TableParagraph"/>
              <w:spacing w:before="15"/>
              <w:ind w:right="133"/>
              <w:jc w:val="right"/>
              <w:rPr>
                <w:sz w:val="24"/>
              </w:rPr>
            </w:pPr>
            <w:r>
              <w:rPr>
                <w:spacing w:val="-4"/>
                <w:sz w:val="24"/>
              </w:rPr>
              <w:t>Open</w:t>
            </w:r>
          </w:p>
        </w:tc>
      </w:tr>
      <w:tr>
        <w:trPr>
          <w:trHeight w:val="910" w:hRule="atLeast"/>
        </w:trPr>
        <w:tc>
          <w:tcPr>
            <w:tcW w:w="1638" w:type="dxa"/>
            <w:tcBorders>
              <w:left w:val="single" w:sz="6" w:space="0" w:color="000000"/>
            </w:tcBorders>
          </w:tcPr>
          <w:p>
            <w:pPr>
              <w:pStyle w:val="TableParagraph"/>
              <w:spacing w:before="2"/>
              <w:rPr>
                <w:rFonts w:ascii="Times New Roman"/>
                <w:sz w:val="22"/>
              </w:rPr>
            </w:pPr>
          </w:p>
          <w:p>
            <w:pPr>
              <w:pStyle w:val="TableParagraph"/>
              <w:ind w:left="146"/>
              <w:rPr>
                <w:sz w:val="24"/>
              </w:rPr>
            </w:pPr>
            <w:r>
              <w:rPr>
                <w:spacing w:val="-4"/>
                <w:sz w:val="24"/>
              </w:rPr>
              <w:t>Body</w:t>
            </w:r>
          </w:p>
        </w:tc>
        <w:tc>
          <w:tcPr>
            <w:tcW w:w="2487" w:type="dxa"/>
          </w:tcPr>
          <w:p>
            <w:pPr>
              <w:pStyle w:val="TableParagraph"/>
              <w:spacing w:before="2"/>
              <w:rPr>
                <w:rFonts w:ascii="Times New Roman"/>
                <w:sz w:val="22"/>
              </w:rPr>
            </w:pPr>
          </w:p>
          <w:p>
            <w:pPr>
              <w:pStyle w:val="TableParagraph"/>
              <w:ind w:left="902" w:right="887"/>
              <w:jc w:val="center"/>
              <w:rPr>
                <w:sz w:val="24"/>
              </w:rPr>
            </w:pPr>
            <w:r>
              <w:rPr>
                <w:spacing w:val="-2"/>
                <w:sz w:val="24"/>
              </w:rPr>
              <w:t>Range</w:t>
            </w:r>
          </w:p>
        </w:tc>
        <w:tc>
          <w:tcPr>
            <w:tcW w:w="1634" w:type="dxa"/>
            <w:tcBorders>
              <w:right w:val="single" w:sz="6" w:space="0" w:color="000000"/>
            </w:tcBorders>
          </w:tcPr>
          <w:p>
            <w:pPr>
              <w:pStyle w:val="TableParagraph"/>
              <w:spacing w:before="5"/>
              <w:rPr>
                <w:rFonts w:ascii="Times New Roman"/>
                <w:sz w:val="22"/>
              </w:rPr>
            </w:pPr>
          </w:p>
          <w:p>
            <w:pPr>
              <w:pStyle w:val="TableParagraph"/>
              <w:ind w:right="139"/>
              <w:jc w:val="right"/>
              <w:rPr>
                <w:sz w:val="24"/>
              </w:rPr>
            </w:pPr>
            <w:r>
              <w:rPr>
                <w:spacing w:val="-4"/>
                <w:sz w:val="24"/>
              </w:rPr>
              <w:t>Body</w:t>
            </w:r>
          </w:p>
        </w:tc>
      </w:tr>
      <w:tr>
        <w:trPr>
          <w:trHeight w:val="676" w:hRule="atLeast"/>
        </w:trPr>
        <w:tc>
          <w:tcPr>
            <w:tcW w:w="1638" w:type="dxa"/>
            <w:tcBorders>
              <w:left w:val="single" w:sz="6" w:space="0" w:color="000000"/>
            </w:tcBorders>
          </w:tcPr>
          <w:p>
            <w:pPr>
              <w:pStyle w:val="TableParagraph"/>
              <w:rPr>
                <w:rFonts w:ascii="Times New Roman"/>
                <w:sz w:val="27"/>
              </w:rPr>
            </w:pPr>
          </w:p>
          <w:p>
            <w:pPr>
              <w:pStyle w:val="TableParagraph"/>
              <w:ind w:left="163"/>
              <w:rPr>
                <w:sz w:val="24"/>
              </w:rPr>
            </w:pPr>
            <w:r>
              <w:rPr>
                <w:spacing w:val="-4"/>
                <w:sz w:val="24"/>
              </w:rPr>
              <w:t>Open</w:t>
            </w:r>
          </w:p>
        </w:tc>
        <w:tc>
          <w:tcPr>
            <w:tcW w:w="2487" w:type="dxa"/>
          </w:tcPr>
          <w:p>
            <w:pPr>
              <w:pStyle w:val="TableParagraph"/>
              <w:rPr>
                <w:rFonts w:ascii="Times New Roman"/>
                <w:sz w:val="20"/>
              </w:rPr>
            </w:pPr>
          </w:p>
        </w:tc>
        <w:tc>
          <w:tcPr>
            <w:tcW w:w="1634" w:type="dxa"/>
            <w:tcBorders>
              <w:right w:val="single" w:sz="6" w:space="0" w:color="000000"/>
            </w:tcBorders>
          </w:tcPr>
          <w:p>
            <w:pPr>
              <w:pStyle w:val="TableParagraph"/>
              <w:spacing w:before="6"/>
              <w:rPr>
                <w:rFonts w:ascii="Times New Roman"/>
                <w:sz w:val="27"/>
              </w:rPr>
            </w:pPr>
          </w:p>
          <w:p>
            <w:pPr>
              <w:pStyle w:val="TableParagraph"/>
              <w:ind w:right="145"/>
              <w:jc w:val="right"/>
              <w:rPr>
                <w:sz w:val="24"/>
              </w:rPr>
            </w:pPr>
            <w:r>
              <w:rPr>
                <w:spacing w:val="-2"/>
                <w:sz w:val="24"/>
              </w:rPr>
              <w:t>Close</w:t>
            </w:r>
          </w:p>
        </w:tc>
      </w:tr>
      <w:tr>
        <w:trPr>
          <w:trHeight w:val="397" w:hRule="atLeast"/>
        </w:trPr>
        <w:tc>
          <w:tcPr>
            <w:tcW w:w="1638" w:type="dxa"/>
            <w:tcBorders>
              <w:left w:val="single" w:sz="6" w:space="0" w:color="000000"/>
              <w:bottom w:val="single" w:sz="6" w:space="0" w:color="000000"/>
            </w:tcBorders>
          </w:tcPr>
          <w:p>
            <w:pPr>
              <w:pStyle w:val="TableParagraph"/>
              <w:spacing w:before="18"/>
              <w:ind w:left="147"/>
              <w:rPr>
                <w:sz w:val="24"/>
              </w:rPr>
            </w:pPr>
            <w:r>
              <w:rPr>
                <w:spacing w:val="-5"/>
                <w:sz w:val="24"/>
              </w:rPr>
              <w:t>Low</w:t>
            </w:r>
          </w:p>
        </w:tc>
        <w:tc>
          <w:tcPr>
            <w:tcW w:w="2487" w:type="dxa"/>
            <w:tcBorders>
              <w:bottom w:val="single" w:sz="6" w:space="0" w:color="000000"/>
            </w:tcBorders>
          </w:tcPr>
          <w:p>
            <w:pPr>
              <w:pStyle w:val="TableParagraph"/>
              <w:rPr>
                <w:rFonts w:ascii="Times New Roman"/>
                <w:sz w:val="20"/>
              </w:rPr>
            </w:pPr>
          </w:p>
        </w:tc>
        <w:tc>
          <w:tcPr>
            <w:tcW w:w="1634" w:type="dxa"/>
            <w:tcBorders>
              <w:bottom w:val="single" w:sz="6" w:space="0" w:color="000000"/>
              <w:right w:val="single" w:sz="6" w:space="0" w:color="000000"/>
            </w:tcBorders>
          </w:tcPr>
          <w:p>
            <w:pPr>
              <w:pStyle w:val="TableParagraph"/>
              <w:spacing w:before="19"/>
              <w:ind w:right="145"/>
              <w:jc w:val="right"/>
              <w:rPr>
                <w:sz w:val="24"/>
              </w:rPr>
            </w:pPr>
            <w:r>
              <w:rPr>
                <w:spacing w:val="-5"/>
                <w:sz w:val="24"/>
              </w:rPr>
              <w:t>Low</w:t>
            </w:r>
          </w:p>
        </w:tc>
      </w:tr>
    </w:tbl>
    <w:p>
      <w:pPr>
        <w:spacing w:before="7"/>
        <w:ind w:left="1018" w:right="0" w:firstLine="0"/>
        <w:jc w:val="left"/>
        <w:rPr>
          <w:sz w:val="16"/>
        </w:rPr>
      </w:pPr>
      <w:r>
        <w:rPr/>
        <w:drawing>
          <wp:anchor distT="0" distB="0" distL="0" distR="0" allowOverlap="1" layoutInCell="1" locked="0" behindDoc="1" simplePos="0" relativeHeight="483637248">
            <wp:simplePos x="0" y="0"/>
            <wp:positionH relativeFrom="page">
              <wp:posOffset>1547622</wp:posOffset>
            </wp:positionH>
            <wp:positionV relativeFrom="paragraph">
              <wp:posOffset>-178069</wp:posOffset>
            </wp:positionV>
            <wp:extent cx="208788" cy="76200"/>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33" cstate="print"/>
                    <a:stretch>
                      <a:fillRect/>
                    </a:stretch>
                  </pic:blipFill>
                  <pic:spPr>
                    <a:xfrm>
                      <a:off x="0" y="0"/>
                      <a:ext cx="208788" cy="76200"/>
                    </a:xfrm>
                    <a:prstGeom prst="rect">
                      <a:avLst/>
                    </a:prstGeom>
                  </pic:spPr>
                </pic:pic>
              </a:graphicData>
            </a:graphic>
          </wp:anchor>
        </w:drawing>
      </w:r>
      <w:r>
        <w:rPr/>
        <w:drawing>
          <wp:anchor distT="0" distB="0" distL="0" distR="0" allowOverlap="1" layoutInCell="1" locked="0" behindDoc="1" simplePos="0" relativeHeight="483637760">
            <wp:simplePos x="0" y="0"/>
            <wp:positionH relativeFrom="page">
              <wp:posOffset>1544574</wp:posOffset>
            </wp:positionH>
            <wp:positionV relativeFrom="paragraph">
              <wp:posOffset>-425719</wp:posOffset>
            </wp:positionV>
            <wp:extent cx="208787" cy="76200"/>
            <wp:effectExtent l="0" t="0" r="0" b="0"/>
            <wp:wrapNone/>
            <wp:docPr id="27" name="image13.png"/>
            <wp:cNvGraphicFramePr>
              <a:graphicFrameLocks noChangeAspect="1"/>
            </wp:cNvGraphicFramePr>
            <a:graphic>
              <a:graphicData uri="http://schemas.openxmlformats.org/drawingml/2006/picture">
                <pic:pic>
                  <pic:nvPicPr>
                    <pic:cNvPr id="28" name="image13.png"/>
                    <pic:cNvPicPr/>
                  </pic:nvPicPr>
                  <pic:blipFill>
                    <a:blip r:embed="rId33" cstate="print"/>
                    <a:stretch>
                      <a:fillRect/>
                    </a:stretch>
                  </pic:blipFill>
                  <pic:spPr>
                    <a:xfrm>
                      <a:off x="0" y="0"/>
                      <a:ext cx="208787" cy="76200"/>
                    </a:xfrm>
                    <a:prstGeom prst="rect">
                      <a:avLst/>
                    </a:prstGeom>
                  </pic:spPr>
                </pic:pic>
              </a:graphicData>
            </a:graphic>
          </wp:anchor>
        </w:drawing>
      </w:r>
      <w:r>
        <w:rPr/>
        <w:drawing>
          <wp:anchor distT="0" distB="0" distL="0" distR="0" allowOverlap="1" layoutInCell="1" locked="0" behindDoc="1" simplePos="0" relativeHeight="483639296">
            <wp:simplePos x="0" y="0"/>
            <wp:positionH relativeFrom="page">
              <wp:posOffset>1546097</wp:posOffset>
            </wp:positionH>
            <wp:positionV relativeFrom="paragraph">
              <wp:posOffset>-1042177</wp:posOffset>
            </wp:positionV>
            <wp:extent cx="208026" cy="76200"/>
            <wp:effectExtent l="0" t="0" r="0" b="0"/>
            <wp:wrapNone/>
            <wp:docPr id="29" name="image14.png"/>
            <wp:cNvGraphicFramePr>
              <a:graphicFrameLocks noChangeAspect="1"/>
            </wp:cNvGraphicFramePr>
            <a:graphic>
              <a:graphicData uri="http://schemas.openxmlformats.org/drawingml/2006/picture">
                <pic:pic>
                  <pic:nvPicPr>
                    <pic:cNvPr id="30" name="image14.png"/>
                    <pic:cNvPicPr/>
                  </pic:nvPicPr>
                  <pic:blipFill>
                    <a:blip r:embed="rId34" cstate="print"/>
                    <a:stretch>
                      <a:fillRect/>
                    </a:stretch>
                  </pic:blipFill>
                  <pic:spPr>
                    <a:xfrm>
                      <a:off x="0" y="0"/>
                      <a:ext cx="208026" cy="76200"/>
                    </a:xfrm>
                    <a:prstGeom prst="rect">
                      <a:avLst/>
                    </a:prstGeom>
                  </pic:spPr>
                </pic:pic>
              </a:graphicData>
            </a:graphic>
          </wp:anchor>
        </w:drawing>
      </w:r>
      <w:r>
        <w:rPr/>
        <w:drawing>
          <wp:anchor distT="0" distB="0" distL="0" distR="0" allowOverlap="1" layoutInCell="1" locked="0" behindDoc="1" simplePos="0" relativeHeight="483639808">
            <wp:simplePos x="0" y="0"/>
            <wp:positionH relativeFrom="page">
              <wp:posOffset>3963161</wp:posOffset>
            </wp:positionH>
            <wp:positionV relativeFrom="paragraph">
              <wp:posOffset>-176545</wp:posOffset>
            </wp:positionV>
            <wp:extent cx="208787" cy="76200"/>
            <wp:effectExtent l="0" t="0" r="0" b="0"/>
            <wp:wrapNone/>
            <wp:docPr id="31" name="image15.png"/>
            <wp:cNvGraphicFramePr>
              <a:graphicFrameLocks noChangeAspect="1"/>
            </wp:cNvGraphicFramePr>
            <a:graphic>
              <a:graphicData uri="http://schemas.openxmlformats.org/drawingml/2006/picture">
                <pic:pic>
                  <pic:nvPicPr>
                    <pic:cNvPr id="32" name="image15.png"/>
                    <pic:cNvPicPr/>
                  </pic:nvPicPr>
                  <pic:blipFill>
                    <a:blip r:embed="rId35" cstate="print"/>
                    <a:stretch>
                      <a:fillRect/>
                    </a:stretch>
                  </pic:blipFill>
                  <pic:spPr>
                    <a:xfrm>
                      <a:off x="0" y="0"/>
                      <a:ext cx="208787" cy="76200"/>
                    </a:xfrm>
                    <a:prstGeom prst="rect">
                      <a:avLst/>
                    </a:prstGeom>
                  </pic:spPr>
                </pic:pic>
              </a:graphicData>
            </a:graphic>
          </wp:anchor>
        </w:drawing>
      </w:r>
      <w:r>
        <w:rPr/>
        <w:drawing>
          <wp:anchor distT="0" distB="0" distL="0" distR="0" allowOverlap="1" layoutInCell="1" locked="0" behindDoc="1" simplePos="0" relativeHeight="483640320">
            <wp:simplePos x="0" y="0"/>
            <wp:positionH relativeFrom="page">
              <wp:posOffset>3960114</wp:posOffset>
            </wp:positionH>
            <wp:positionV relativeFrom="paragraph">
              <wp:posOffset>-424195</wp:posOffset>
            </wp:positionV>
            <wp:extent cx="208025" cy="76200"/>
            <wp:effectExtent l="0" t="0" r="0" b="0"/>
            <wp:wrapNone/>
            <wp:docPr id="33" name="image16.png"/>
            <wp:cNvGraphicFramePr>
              <a:graphicFrameLocks noChangeAspect="1"/>
            </wp:cNvGraphicFramePr>
            <a:graphic>
              <a:graphicData uri="http://schemas.openxmlformats.org/drawingml/2006/picture">
                <pic:pic>
                  <pic:nvPicPr>
                    <pic:cNvPr id="34" name="image16.png"/>
                    <pic:cNvPicPr/>
                  </pic:nvPicPr>
                  <pic:blipFill>
                    <a:blip r:embed="rId36" cstate="print"/>
                    <a:stretch>
                      <a:fillRect/>
                    </a:stretch>
                  </pic:blipFill>
                  <pic:spPr>
                    <a:xfrm>
                      <a:off x="0" y="0"/>
                      <a:ext cx="208025" cy="76200"/>
                    </a:xfrm>
                    <a:prstGeom prst="rect">
                      <a:avLst/>
                    </a:prstGeom>
                  </pic:spPr>
                </pic:pic>
              </a:graphicData>
            </a:graphic>
          </wp:anchor>
        </w:drawing>
      </w:r>
      <w:r>
        <w:rPr/>
        <w:drawing>
          <wp:anchor distT="0" distB="0" distL="0" distR="0" allowOverlap="1" layoutInCell="1" locked="0" behindDoc="1" simplePos="0" relativeHeight="483641856">
            <wp:simplePos x="0" y="0"/>
            <wp:positionH relativeFrom="page">
              <wp:posOffset>3960876</wp:posOffset>
            </wp:positionH>
            <wp:positionV relativeFrom="paragraph">
              <wp:posOffset>-1040653</wp:posOffset>
            </wp:positionV>
            <wp:extent cx="208787" cy="76200"/>
            <wp:effectExtent l="0" t="0" r="0" b="0"/>
            <wp:wrapNone/>
            <wp:docPr id="35" name="image17.png"/>
            <wp:cNvGraphicFramePr>
              <a:graphicFrameLocks noChangeAspect="1"/>
            </wp:cNvGraphicFramePr>
            <a:graphic>
              <a:graphicData uri="http://schemas.openxmlformats.org/drawingml/2006/picture">
                <pic:pic>
                  <pic:nvPicPr>
                    <pic:cNvPr id="36" name="image17.png"/>
                    <pic:cNvPicPr/>
                  </pic:nvPicPr>
                  <pic:blipFill>
                    <a:blip r:embed="rId37" cstate="print"/>
                    <a:stretch>
                      <a:fillRect/>
                    </a:stretch>
                  </pic:blipFill>
                  <pic:spPr>
                    <a:xfrm>
                      <a:off x="0" y="0"/>
                      <a:ext cx="208787" cy="76200"/>
                    </a:xfrm>
                    <a:prstGeom prst="rect">
                      <a:avLst/>
                    </a:prstGeom>
                  </pic:spPr>
                </pic:pic>
              </a:graphicData>
            </a:graphic>
          </wp:anchor>
        </w:drawing>
      </w:r>
      <w:r>
        <w:rPr>
          <w:sz w:val="16"/>
        </w:rPr>
        <w:t>FIGURE</w:t>
      </w:r>
      <w:r>
        <w:rPr>
          <w:spacing w:val="7"/>
          <w:sz w:val="16"/>
        </w:rPr>
        <w:t> </w:t>
      </w:r>
      <w:r>
        <w:rPr>
          <w:sz w:val="16"/>
        </w:rPr>
        <w:t>2.1:</w:t>
      </w:r>
      <w:r>
        <w:rPr>
          <w:spacing w:val="9"/>
          <w:sz w:val="16"/>
        </w:rPr>
        <w:t> </w:t>
      </w:r>
      <w:r>
        <w:rPr>
          <w:sz w:val="16"/>
        </w:rPr>
        <w:t>Anatomy</w:t>
      </w:r>
      <w:r>
        <w:rPr>
          <w:spacing w:val="7"/>
          <w:sz w:val="16"/>
        </w:rPr>
        <w:t> </w:t>
      </w:r>
      <w:r>
        <w:rPr>
          <w:sz w:val="16"/>
        </w:rPr>
        <w:t>of</w:t>
      </w:r>
      <w:r>
        <w:rPr>
          <w:spacing w:val="8"/>
          <w:sz w:val="16"/>
        </w:rPr>
        <w:t> </w:t>
      </w:r>
      <w:r>
        <w:rPr>
          <w:sz w:val="16"/>
        </w:rPr>
        <w:t>a</w:t>
      </w:r>
      <w:r>
        <w:rPr>
          <w:spacing w:val="8"/>
          <w:sz w:val="16"/>
        </w:rPr>
        <w:t> </w:t>
      </w:r>
      <w:r>
        <w:rPr>
          <w:spacing w:val="-2"/>
          <w:sz w:val="16"/>
        </w:rPr>
        <w:t>candlestick</w:t>
      </w:r>
    </w:p>
    <w:p>
      <w:pPr>
        <w:pStyle w:val="BodyText"/>
        <w:spacing w:before="1"/>
      </w:pPr>
    </w:p>
    <w:p>
      <w:pPr>
        <w:pStyle w:val="BodyText"/>
        <w:ind w:left="500" w:right="134" w:firstLine="432"/>
        <w:jc w:val="both"/>
      </w:pPr>
      <w:r>
        <w:rPr/>
        <w:t>Candlesticks come in all shapes, sizes, and combinations. Your ability</w:t>
      </w:r>
      <w:r>
        <w:rPr>
          <w:spacing w:val="80"/>
        </w:rPr>
        <w:t> </w:t>
      </w:r>
      <w:r>
        <w:rPr/>
        <w:t>to quickly</w:t>
      </w:r>
      <w:r>
        <w:rPr>
          <w:spacing w:val="-1"/>
        </w:rPr>
        <w:t> </w:t>
      </w:r>
      <w:r>
        <w:rPr/>
        <w:t>piece together the market’s puzzle using this vital information will be extremely beneficial to your trading success. Now that we have covered the basics of a candlestick, let’s proceed to the meat of the chapter.</w:t>
      </w:r>
    </w:p>
    <w:p>
      <w:pPr>
        <w:pStyle w:val="BodyText"/>
        <w:spacing w:before="11"/>
        <w:rPr>
          <w:sz w:val="21"/>
        </w:rPr>
      </w:pPr>
    </w:p>
    <w:p>
      <w:pPr>
        <w:pStyle w:val="Heading3"/>
        <w:ind w:left="500"/>
        <w:jc w:val="both"/>
      </w:pPr>
      <w:r>
        <w:rPr/>
        <w:pict>
          <v:shape style="position:absolute;margin-left:54.779999pt;margin-top:18.290312pt;width:341pt;height:.1pt;mso-position-horizontal-relative:page;mso-position-vertical-relative:paragraph;z-index:-15721984;mso-wrap-distance-left:0;mso-wrap-distance-right:0" id="docshape37" coordorigin="1096,366" coordsize="6820,0" path="m1096,366l7915,366e" filled="false" stroked="true" strokeweight=".75pt" strokecolor="#000000">
            <v:path arrowok="t"/>
            <v:stroke dashstyle="solid"/>
            <w10:wrap type="topAndBottom"/>
          </v:shape>
        </w:pict>
      </w:r>
      <w:bookmarkStart w:name="_TOC_250079" w:id="12"/>
      <w:r>
        <w:rPr>
          <w:smallCaps/>
        </w:rPr>
        <w:t>The</w:t>
      </w:r>
      <w:r>
        <w:rPr>
          <w:smallCaps/>
          <w:spacing w:val="-11"/>
        </w:rPr>
        <w:t> </w:t>
      </w:r>
      <w:r>
        <w:rPr>
          <w:smallCaps/>
        </w:rPr>
        <w:t>Wick</w:t>
      </w:r>
      <w:r>
        <w:rPr>
          <w:smallCaps/>
          <w:spacing w:val="-8"/>
        </w:rPr>
        <w:t> </w:t>
      </w:r>
      <w:r>
        <w:rPr>
          <w:smallCaps/>
        </w:rPr>
        <w:t>Reversal</w:t>
      </w:r>
      <w:r>
        <w:rPr>
          <w:smallCaps/>
          <w:spacing w:val="-13"/>
        </w:rPr>
        <w:t> </w:t>
      </w:r>
      <w:bookmarkEnd w:id="12"/>
      <w:r>
        <w:rPr>
          <w:smallCaps/>
          <w:spacing w:val="-2"/>
        </w:rPr>
        <w:t>Setup</w:t>
      </w:r>
    </w:p>
    <w:p>
      <w:pPr>
        <w:pStyle w:val="BodyText"/>
        <w:spacing w:before="202"/>
        <w:ind w:left="500" w:right="135" w:firstLine="432"/>
        <w:jc w:val="both"/>
      </w:pPr>
      <w:r>
        <w:rPr/>
        <w:t>The</w:t>
      </w:r>
      <w:r>
        <w:rPr>
          <w:spacing w:val="-2"/>
        </w:rPr>
        <w:t> </w:t>
      </w:r>
      <w:r>
        <w:rPr/>
        <w:t>first</w:t>
      </w:r>
      <w:r>
        <w:rPr>
          <w:spacing w:val="-2"/>
        </w:rPr>
        <w:t> </w:t>
      </w:r>
      <w:r>
        <w:rPr/>
        <w:t>candlestick</w:t>
      </w:r>
      <w:r>
        <w:rPr>
          <w:spacing w:val="-2"/>
        </w:rPr>
        <w:t> </w:t>
      </w:r>
      <w:r>
        <w:rPr/>
        <w:t>pattern</w:t>
      </w:r>
      <w:r>
        <w:rPr>
          <w:spacing w:val="-2"/>
        </w:rPr>
        <w:t> </w:t>
      </w:r>
      <w:r>
        <w:rPr/>
        <w:t>that</w:t>
      </w:r>
      <w:r>
        <w:rPr>
          <w:spacing w:val="-2"/>
        </w:rPr>
        <w:t> </w:t>
      </w:r>
      <w:r>
        <w:rPr/>
        <w:t>I</w:t>
      </w:r>
      <w:r>
        <w:rPr>
          <w:spacing w:val="-4"/>
        </w:rPr>
        <w:t> </w:t>
      </w:r>
      <w:r>
        <w:rPr/>
        <w:t>will</w:t>
      </w:r>
      <w:r>
        <w:rPr>
          <w:spacing w:val="-2"/>
        </w:rPr>
        <w:t> </w:t>
      </w:r>
      <w:r>
        <w:rPr/>
        <w:t>discuss</w:t>
      </w:r>
      <w:r>
        <w:rPr>
          <w:spacing w:val="-2"/>
        </w:rPr>
        <w:t> </w:t>
      </w:r>
      <w:r>
        <w:rPr/>
        <w:t>is</w:t>
      </w:r>
      <w:r>
        <w:rPr>
          <w:spacing w:val="-2"/>
        </w:rPr>
        <w:t> </w:t>
      </w:r>
      <w:r>
        <w:rPr/>
        <w:t>the</w:t>
      </w:r>
      <w:r>
        <w:rPr>
          <w:spacing w:val="-1"/>
        </w:rPr>
        <w:t> </w:t>
      </w:r>
      <w:r>
        <w:rPr>
          <w:i/>
        </w:rPr>
        <w:t>wick</w:t>
      </w:r>
      <w:r>
        <w:rPr>
          <w:i/>
          <w:spacing w:val="-2"/>
        </w:rPr>
        <w:t> </w:t>
      </w:r>
      <w:r>
        <w:rPr>
          <w:i/>
        </w:rPr>
        <w:t>reversal</w:t>
      </w:r>
      <w:r>
        <w:rPr>
          <w:i/>
          <w:spacing w:val="-2"/>
        </w:rPr>
        <w:t> </w:t>
      </w:r>
      <w:r>
        <w:rPr>
          <w:i/>
        </w:rPr>
        <w:t>setup</w:t>
      </w:r>
      <w:r>
        <w:rPr/>
        <w:t>, which</w:t>
      </w:r>
      <w:r>
        <w:rPr>
          <w:spacing w:val="-1"/>
        </w:rPr>
        <w:t> </w:t>
      </w:r>
      <w:r>
        <w:rPr/>
        <w:t>is</w:t>
      </w:r>
      <w:r>
        <w:rPr>
          <w:spacing w:val="-1"/>
        </w:rPr>
        <w:t> </w:t>
      </w:r>
      <w:r>
        <w:rPr/>
        <w:t>a</w:t>
      </w:r>
      <w:r>
        <w:rPr>
          <w:spacing w:val="-1"/>
        </w:rPr>
        <w:t> </w:t>
      </w:r>
      <w:r>
        <w:rPr/>
        <w:t>pattern</w:t>
      </w:r>
      <w:r>
        <w:rPr>
          <w:spacing w:val="-1"/>
        </w:rPr>
        <w:t> </w:t>
      </w:r>
      <w:r>
        <w:rPr/>
        <w:t>that</w:t>
      </w:r>
      <w:r>
        <w:rPr>
          <w:spacing w:val="-1"/>
        </w:rPr>
        <w:t> </w:t>
      </w:r>
      <w:r>
        <w:rPr/>
        <w:t>can</w:t>
      </w:r>
      <w:r>
        <w:rPr>
          <w:spacing w:val="-2"/>
        </w:rPr>
        <w:t> </w:t>
      </w:r>
      <w:r>
        <w:rPr/>
        <w:t>spotlight</w:t>
      </w:r>
      <w:r>
        <w:rPr>
          <w:spacing w:val="-2"/>
        </w:rPr>
        <w:t> </w:t>
      </w:r>
      <w:r>
        <w:rPr/>
        <w:t>some</w:t>
      </w:r>
      <w:r>
        <w:rPr>
          <w:spacing w:val="-1"/>
        </w:rPr>
        <w:t> </w:t>
      </w:r>
      <w:r>
        <w:rPr/>
        <w:t>of</w:t>
      </w:r>
      <w:r>
        <w:rPr>
          <w:spacing w:val="-1"/>
        </w:rPr>
        <w:t> </w:t>
      </w:r>
      <w:r>
        <w:rPr/>
        <w:t>the</w:t>
      </w:r>
      <w:r>
        <w:rPr>
          <w:spacing w:val="-1"/>
        </w:rPr>
        <w:t> </w:t>
      </w:r>
      <w:r>
        <w:rPr/>
        <w:t>best</w:t>
      </w:r>
      <w:r>
        <w:rPr>
          <w:spacing w:val="-1"/>
        </w:rPr>
        <w:t> </w:t>
      </w:r>
      <w:r>
        <w:rPr/>
        <w:t>reversal</w:t>
      </w:r>
      <w:r>
        <w:rPr>
          <w:spacing w:val="-1"/>
        </w:rPr>
        <w:t> </w:t>
      </w:r>
      <w:r>
        <w:rPr/>
        <w:t>opportunities</w:t>
      </w:r>
      <w:r>
        <w:rPr>
          <w:spacing w:val="-1"/>
        </w:rPr>
        <w:t> </w:t>
      </w:r>
      <w:r>
        <w:rPr/>
        <w:t>in the market. If you have ever studied market tops, bottoms, and reversals, you’ll notice that in a high percentage of these cases, the charts are peppered with wick reversal candlesticks at these integral points in the charts. A single reversal wick may highlight an opportunity, while other times, a gang of reversal wicks in succession will be screaming reversal. When properly qualified, there is no doubt that this pattern can be a powerful tool in your trading arsenal.</w:t>
      </w:r>
    </w:p>
    <w:p>
      <w:pPr>
        <w:spacing w:after="0"/>
        <w:jc w:val="both"/>
        <w:sectPr>
          <w:footerReference w:type="default" r:id="rId27"/>
          <w:footerReference w:type="even" r:id="rId28"/>
          <w:pgSz w:w="8640" w:h="12960"/>
          <w:pgMar w:footer="1060" w:header="536" w:top="720" w:bottom="1260" w:left="580" w:right="580"/>
          <w:pgNumType w:start="31"/>
        </w:sectPr>
      </w:pPr>
    </w:p>
    <w:p>
      <w:pPr>
        <w:pStyle w:val="BodyText"/>
        <w:spacing w:before="7"/>
        <w:rPr>
          <w:sz w:val="18"/>
        </w:rPr>
      </w:pPr>
    </w:p>
    <w:p>
      <w:pPr>
        <w:spacing w:before="63"/>
        <w:ind w:left="257" w:right="616" w:firstLine="0"/>
        <w:jc w:val="center"/>
        <w:rPr>
          <w:i/>
          <w:sz w:val="22"/>
        </w:rPr>
      </w:pPr>
      <w:r>
        <w:rPr>
          <w:i/>
          <w:sz w:val="22"/>
        </w:rPr>
        <w:t>The</w:t>
      </w:r>
      <w:r>
        <w:rPr>
          <w:i/>
          <w:spacing w:val="-4"/>
          <w:sz w:val="22"/>
        </w:rPr>
        <w:t> </w:t>
      </w:r>
      <w:r>
        <w:rPr>
          <w:i/>
          <w:sz w:val="22"/>
        </w:rPr>
        <w:t>wick</w:t>
      </w:r>
      <w:r>
        <w:rPr>
          <w:i/>
          <w:spacing w:val="-4"/>
          <w:sz w:val="22"/>
        </w:rPr>
        <w:t> </w:t>
      </w:r>
      <w:r>
        <w:rPr>
          <w:i/>
          <w:sz w:val="22"/>
        </w:rPr>
        <w:t>reversal</w:t>
      </w:r>
      <w:r>
        <w:rPr>
          <w:i/>
          <w:spacing w:val="-5"/>
          <w:sz w:val="22"/>
        </w:rPr>
        <w:t> </w:t>
      </w:r>
      <w:r>
        <w:rPr>
          <w:i/>
          <w:sz w:val="22"/>
        </w:rPr>
        <w:t>setup</w:t>
      </w:r>
      <w:r>
        <w:rPr>
          <w:i/>
          <w:spacing w:val="-5"/>
          <w:sz w:val="22"/>
        </w:rPr>
        <w:t> </w:t>
      </w:r>
      <w:r>
        <w:rPr>
          <w:i/>
          <w:sz w:val="22"/>
        </w:rPr>
        <w:t>is</w:t>
      </w:r>
      <w:r>
        <w:rPr>
          <w:i/>
          <w:spacing w:val="-4"/>
          <w:sz w:val="22"/>
        </w:rPr>
        <w:t> </w:t>
      </w:r>
      <w:r>
        <w:rPr>
          <w:i/>
          <w:sz w:val="22"/>
        </w:rPr>
        <w:t>one</w:t>
      </w:r>
      <w:r>
        <w:rPr>
          <w:i/>
          <w:spacing w:val="-4"/>
          <w:sz w:val="22"/>
        </w:rPr>
        <w:t> </w:t>
      </w:r>
      <w:r>
        <w:rPr>
          <w:i/>
          <w:sz w:val="22"/>
        </w:rPr>
        <w:t>of</w:t>
      </w:r>
      <w:r>
        <w:rPr>
          <w:i/>
          <w:spacing w:val="-4"/>
          <w:sz w:val="22"/>
        </w:rPr>
        <w:t> </w:t>
      </w:r>
      <w:r>
        <w:rPr>
          <w:i/>
          <w:sz w:val="22"/>
        </w:rPr>
        <w:t>the</w:t>
      </w:r>
      <w:r>
        <w:rPr>
          <w:i/>
          <w:spacing w:val="-4"/>
          <w:sz w:val="22"/>
        </w:rPr>
        <w:t> </w:t>
      </w:r>
      <w:r>
        <w:rPr>
          <w:i/>
          <w:sz w:val="22"/>
        </w:rPr>
        <w:t>most</w:t>
      </w:r>
      <w:r>
        <w:rPr>
          <w:i/>
          <w:spacing w:val="-5"/>
          <w:sz w:val="22"/>
        </w:rPr>
        <w:t> </w:t>
      </w:r>
      <w:r>
        <w:rPr>
          <w:i/>
          <w:sz w:val="22"/>
        </w:rPr>
        <w:t>visually</w:t>
      </w:r>
      <w:r>
        <w:rPr>
          <w:i/>
          <w:spacing w:val="-4"/>
          <w:sz w:val="22"/>
        </w:rPr>
        <w:t> </w:t>
      </w:r>
      <w:r>
        <w:rPr>
          <w:i/>
          <w:sz w:val="22"/>
        </w:rPr>
        <w:t>compelling</w:t>
      </w:r>
      <w:r>
        <w:rPr>
          <w:i/>
          <w:spacing w:val="-4"/>
          <w:sz w:val="22"/>
        </w:rPr>
        <w:t> </w:t>
      </w:r>
      <w:r>
        <w:rPr>
          <w:i/>
          <w:sz w:val="22"/>
        </w:rPr>
        <w:t>candlestick</w:t>
      </w:r>
      <w:r>
        <w:rPr>
          <w:i/>
          <w:sz w:val="22"/>
        </w:rPr>
        <w:t> patterns</w:t>
      </w:r>
      <w:r>
        <w:rPr>
          <w:i/>
          <w:spacing w:val="-2"/>
          <w:sz w:val="22"/>
        </w:rPr>
        <w:t> </w:t>
      </w:r>
      <w:r>
        <w:rPr>
          <w:i/>
          <w:sz w:val="22"/>
        </w:rPr>
        <w:t>due</w:t>
      </w:r>
      <w:r>
        <w:rPr>
          <w:i/>
          <w:spacing w:val="-2"/>
          <w:sz w:val="22"/>
        </w:rPr>
        <w:t> </w:t>
      </w:r>
      <w:r>
        <w:rPr>
          <w:i/>
          <w:sz w:val="22"/>
        </w:rPr>
        <w:t>to</w:t>
      </w:r>
      <w:r>
        <w:rPr>
          <w:i/>
          <w:spacing w:val="-2"/>
          <w:sz w:val="22"/>
        </w:rPr>
        <w:t> </w:t>
      </w:r>
      <w:r>
        <w:rPr>
          <w:i/>
          <w:sz w:val="22"/>
        </w:rPr>
        <w:t>its</w:t>
      </w:r>
      <w:r>
        <w:rPr>
          <w:i/>
          <w:spacing w:val="-2"/>
          <w:sz w:val="22"/>
        </w:rPr>
        <w:t> </w:t>
      </w:r>
      <w:r>
        <w:rPr>
          <w:i/>
          <w:sz w:val="22"/>
        </w:rPr>
        <w:t>long</w:t>
      </w:r>
      <w:r>
        <w:rPr>
          <w:i/>
          <w:spacing w:val="-2"/>
          <w:sz w:val="22"/>
        </w:rPr>
        <w:t> </w:t>
      </w:r>
      <w:r>
        <w:rPr>
          <w:i/>
          <w:sz w:val="22"/>
        </w:rPr>
        <w:t>price</w:t>
      </w:r>
      <w:r>
        <w:rPr>
          <w:i/>
          <w:spacing w:val="-2"/>
          <w:sz w:val="22"/>
        </w:rPr>
        <w:t> </w:t>
      </w:r>
      <w:r>
        <w:rPr>
          <w:i/>
          <w:sz w:val="22"/>
        </w:rPr>
        <w:t>tail,</w:t>
      </w:r>
      <w:r>
        <w:rPr>
          <w:i/>
          <w:spacing w:val="-2"/>
          <w:sz w:val="22"/>
        </w:rPr>
        <w:t> </w:t>
      </w:r>
      <w:r>
        <w:rPr>
          <w:i/>
          <w:sz w:val="22"/>
        </w:rPr>
        <w:t>which</w:t>
      </w:r>
      <w:r>
        <w:rPr>
          <w:i/>
          <w:spacing w:val="-2"/>
          <w:sz w:val="22"/>
        </w:rPr>
        <w:t> </w:t>
      </w:r>
      <w:r>
        <w:rPr>
          <w:i/>
          <w:sz w:val="22"/>
        </w:rPr>
        <w:t>helps</w:t>
      </w:r>
      <w:r>
        <w:rPr>
          <w:i/>
          <w:spacing w:val="-2"/>
          <w:sz w:val="22"/>
        </w:rPr>
        <w:t> </w:t>
      </w:r>
      <w:r>
        <w:rPr>
          <w:i/>
          <w:sz w:val="22"/>
        </w:rPr>
        <w:t>to</w:t>
      </w:r>
      <w:r>
        <w:rPr>
          <w:i/>
          <w:spacing w:val="-2"/>
          <w:sz w:val="22"/>
        </w:rPr>
        <w:t> </w:t>
      </w:r>
      <w:r>
        <w:rPr>
          <w:i/>
          <w:sz w:val="22"/>
        </w:rPr>
        <w:t>highlight</w:t>
      </w:r>
      <w:r>
        <w:rPr>
          <w:i/>
          <w:spacing w:val="-2"/>
          <w:sz w:val="22"/>
        </w:rPr>
        <w:t> </w:t>
      </w:r>
      <w:r>
        <w:rPr>
          <w:i/>
          <w:sz w:val="22"/>
        </w:rPr>
        <w:t>major</w:t>
      </w:r>
      <w:r>
        <w:rPr>
          <w:i/>
          <w:spacing w:val="-3"/>
          <w:sz w:val="22"/>
        </w:rPr>
        <w:t> </w:t>
      </w:r>
      <w:r>
        <w:rPr>
          <w:i/>
          <w:sz w:val="22"/>
        </w:rPr>
        <w:t>reversal opportunities in the market.</w:t>
      </w:r>
    </w:p>
    <w:p>
      <w:pPr>
        <w:pStyle w:val="BodyText"/>
        <w:spacing w:before="10"/>
        <w:rPr>
          <w:i/>
          <w:sz w:val="21"/>
        </w:rPr>
      </w:pPr>
    </w:p>
    <w:p>
      <w:pPr>
        <w:pStyle w:val="BodyText"/>
        <w:ind w:left="139"/>
      </w:pPr>
      <w:r>
        <w:rPr/>
        <w:t>PATTERN</w:t>
      </w:r>
      <w:r>
        <w:rPr>
          <w:spacing w:val="-10"/>
        </w:rPr>
        <w:t> </w:t>
      </w:r>
      <w:r>
        <w:rPr>
          <w:spacing w:val="-2"/>
        </w:rPr>
        <w:t>STRUCTURE</w:t>
      </w:r>
    </w:p>
    <w:p>
      <w:pPr>
        <w:pStyle w:val="BodyText"/>
        <w:spacing w:before="1"/>
      </w:pPr>
    </w:p>
    <w:p>
      <w:pPr>
        <w:pStyle w:val="BodyText"/>
        <w:ind w:left="139" w:right="496" w:firstLine="432"/>
        <w:jc w:val="both"/>
      </w:pPr>
      <w:r>
        <w:rPr/>
        <w:t>While this candle pattern is well known and seemingly elementary, I</w:t>
      </w:r>
      <w:r>
        <w:rPr>
          <w:spacing w:val="40"/>
        </w:rPr>
        <w:t> </w:t>
      </w:r>
      <w:r>
        <w:rPr/>
        <w:t>feel it is necessary to identify and explain the key components that make for</w:t>
      </w:r>
      <w:r>
        <w:rPr>
          <w:spacing w:val="40"/>
        </w:rPr>
        <w:t> </w:t>
      </w:r>
      <w:r>
        <w:rPr/>
        <w:t>a successful wick reversal opportunity, as these factors can be easily overlooked. In my opinion, there are three factors to consider when</w:t>
      </w:r>
      <w:r>
        <w:rPr>
          <w:spacing w:val="40"/>
        </w:rPr>
        <w:t> </w:t>
      </w:r>
      <w:r>
        <w:rPr/>
        <w:t>reviewing a reversal wick candlestick: the body, the size of the wick in relation to the body, and the </w:t>
      </w:r>
      <w:r>
        <w:rPr>
          <w:i/>
        </w:rPr>
        <w:t>close percentage</w:t>
      </w:r>
      <w:r>
        <w:rPr/>
        <w:t>, which is where price closes in relation to the range of the candle. Figure 2.2 illustrates these components.</w:t>
      </w:r>
    </w:p>
    <w:p>
      <w:pPr>
        <w:pStyle w:val="BodyText"/>
        <w:spacing w:before="1"/>
        <w:rPr>
          <w:sz w:val="20"/>
        </w:rPr>
      </w:pPr>
      <w:r>
        <w:rPr/>
        <w:pict>
          <v:group style="position:absolute;margin-left:62.685001pt;margin-top:12.793173pt;width:288.7pt;height:178.35pt;mso-position-horizontal-relative:page;mso-position-vertical-relative:paragraph;z-index:-15715840;mso-wrap-distance-left:0;mso-wrap-distance-right:0" id="docshapegroup38" coordorigin="1254,256" coordsize="5774,3567">
            <v:rect style="position:absolute;left:1261;top:263;width:5759;height:3552" id="docshape39" filled="false" stroked="true" strokeweight=".75pt" strokecolor="#000000">
              <v:stroke dashstyle="solid"/>
            </v:rect>
            <v:shape style="position:absolute;left:3201;top:2204;width:1803;height:120" id="docshape40" coordorigin="3202,2205" coordsize="1803,120" path="m3322,2205l3202,2265,3322,2325,3322,2273,3302,2273,3296,2271,3294,2265,3296,2260,3302,2258,3322,2258,3322,2205xm4884,2205l4884,2325,4987,2273,4904,2273,4909,2271,4912,2265,4909,2260,4904,2258,4990,2258,4884,2205xm3322,2258l3302,2258,3296,2260,3294,2265,3296,2271,3302,2273,3322,2273,3322,2258xm4884,2258l3322,2258,3322,2273,4884,2273,4884,2258xm4990,2258l4904,2258,4909,2260,4912,2265,4909,2271,4904,2273,4987,2273,5004,2265,4990,2258xe" filled="true" fillcolor="#000000" stroked="false">
              <v:path arrowok="t"/>
              <v:fill type="solid"/>
            </v:shape>
            <v:rect style="position:absolute;left:3678;top:2051;width:791;height:424" id="docshape41" filled="true" fillcolor="#ffffff" stroked="false">
              <v:fill type="solid"/>
            </v:rect>
            <v:shape style="position:absolute;left:3007;top:947;width:2;height:2739" id="docshape42" coordorigin="3007,947" coordsize="0,2739" path="m3007,1751l3007,3686m3007,947l3007,1162e" filled="false" stroked="true" strokeweight=".75pt" strokecolor="#000000">
              <v:path arrowok="t"/>
              <v:stroke dashstyle="solid"/>
            </v:shape>
            <v:rect style="position:absolute;left:2540;top:1162;width:930;height:590" id="docshape43" filled="false" stroked="true" strokeweight=".75pt" strokecolor="#000000">
              <v:stroke dashstyle="solid"/>
            </v:rect>
            <v:shape style="position:absolute;left:3549;top:947;width:149;height:215" id="docshape44" coordorigin="3550,947" coordsize="149,215" path="m3698,947l3698,1162m3698,947l3550,947e" filled="false" stroked="true" strokeweight=".75pt" strokecolor="#000000">
              <v:path arrowok="t"/>
              <v:stroke dashstyle="solid"/>
            </v:shape>
            <v:line style="position:absolute" from="3698,1162" to="3550,1162" stroked="true" strokeweight=".75pt" strokecolor="#000000">
              <v:stroke dashstyle="solid"/>
            </v:line>
            <v:line style="position:absolute" from="3850,1052" to="3702,1052" stroked="true" strokeweight=".75pt" strokecolor="#000000">
              <v:stroke dashstyle="solid"/>
            </v:line>
            <v:line style="position:absolute" from="5240,3686" to="5240,947" stroked="true" strokeweight=".75pt" strokecolor="#000000">
              <v:stroke dashstyle="solid"/>
            </v:line>
            <v:rect style="position:absolute;left:4778;top:2882;width:930;height:588" id="docshape45" filled="true" fillcolor="#000000" stroked="false">
              <v:fill type="solid"/>
            </v:rect>
            <v:rect style="position:absolute;left:4778;top:2881;width:930;height:590" id="docshape46" filled="false" stroked="true" strokeweight=".75pt" strokecolor="#000000">
              <v:stroke dashstyle="solid"/>
            </v:rect>
            <v:shape style="position:absolute;left:5797;top:3096;width:315;height:120" type="#_x0000_t75" id="docshape47" stroked="false">
              <v:imagedata r:id="rId38" o:title=""/>
            </v:shape>
            <v:shape style="position:absolute;left:2150;top:1396;width:315;height:120" type="#_x0000_t75" id="docshape48" stroked="false">
              <v:imagedata r:id="rId39" o:title=""/>
            </v:shape>
            <v:line style="position:absolute" from="4549,3686" to="4549,3471" stroked="true" strokeweight=".75pt" strokecolor="#000000">
              <v:stroke dashstyle="solid"/>
            </v:line>
            <v:line style="position:absolute" from="4549,3687" to="4697,3687" stroked="true" strokeweight=".75pt" strokecolor="#000000">
              <v:stroke dashstyle="solid"/>
            </v:line>
            <v:line style="position:absolute" from="4549,3472" to="4697,3472" stroked="true" strokeweight=".75pt" strokecolor="#000000">
              <v:stroke dashstyle="solid"/>
            </v:line>
            <v:line style="position:absolute" from="4397,3583" to="4544,3583" stroked="true" strokeweight=".75pt" strokecolor="#000000">
              <v:stroke dashstyle="solid"/>
            </v:line>
            <v:shape style="position:absolute;left:3926;top:954;width:893;height:240" type="#_x0000_t202" id="docshape49" filled="false" stroked="false">
              <v:textbox inset="0,0,0,0">
                <w:txbxContent>
                  <w:p>
                    <w:pPr>
                      <w:spacing w:line="239" w:lineRule="exact" w:before="0"/>
                      <w:ind w:left="0" w:right="0" w:firstLine="0"/>
                      <w:jc w:val="left"/>
                      <w:rPr>
                        <w:rFonts w:ascii="Tahoma"/>
                        <w:sz w:val="24"/>
                      </w:rPr>
                    </w:pPr>
                    <w:r>
                      <w:rPr>
                        <w:rFonts w:ascii="Tahoma"/>
                        <w:sz w:val="24"/>
                      </w:rPr>
                      <w:t>Close</w:t>
                    </w:r>
                    <w:r>
                      <w:rPr>
                        <w:rFonts w:ascii="Tahoma"/>
                        <w:spacing w:val="-4"/>
                        <w:sz w:val="24"/>
                      </w:rPr>
                      <w:t> </w:t>
                    </w:r>
                    <w:r>
                      <w:rPr>
                        <w:rFonts w:ascii="Tahoma"/>
                        <w:spacing w:val="-10"/>
                        <w:sz w:val="24"/>
                      </w:rPr>
                      <w:t>%</w:t>
                    </w:r>
                  </w:p>
                </w:txbxContent>
              </v:textbox>
              <w10:wrap type="none"/>
            </v:shape>
            <v:shape style="position:absolute;left:1563;top:1341;width:546;height:240" type="#_x0000_t202" id="docshape50" filled="false" stroked="false">
              <v:textbox inset="0,0,0,0">
                <w:txbxContent>
                  <w:p>
                    <w:pPr>
                      <w:spacing w:line="239" w:lineRule="exact" w:before="0"/>
                      <w:ind w:left="0" w:right="0" w:firstLine="0"/>
                      <w:jc w:val="left"/>
                      <w:rPr>
                        <w:rFonts w:ascii="Tahoma"/>
                        <w:sz w:val="24"/>
                      </w:rPr>
                    </w:pPr>
                    <w:r>
                      <w:rPr>
                        <w:rFonts w:ascii="Tahoma"/>
                        <w:spacing w:val="-4"/>
                        <w:sz w:val="24"/>
                      </w:rPr>
                      <w:t>Body</w:t>
                    </w:r>
                  </w:p>
                </w:txbxContent>
              </v:textbox>
              <w10:wrap type="none"/>
            </v:shape>
            <v:shape style="position:absolute;left:3822;top:2174;width:522;height:240" type="#_x0000_t202" id="docshape51" filled="false" stroked="false">
              <v:textbox inset="0,0,0,0">
                <w:txbxContent>
                  <w:p>
                    <w:pPr>
                      <w:spacing w:line="239" w:lineRule="exact" w:before="0"/>
                      <w:ind w:left="0" w:right="0" w:firstLine="0"/>
                      <w:jc w:val="left"/>
                      <w:rPr>
                        <w:rFonts w:ascii="Tahoma"/>
                        <w:sz w:val="24"/>
                      </w:rPr>
                    </w:pPr>
                    <w:r>
                      <w:rPr>
                        <w:rFonts w:ascii="Tahoma"/>
                        <w:spacing w:val="-4"/>
                        <w:sz w:val="24"/>
                      </w:rPr>
                      <w:t>Wick</w:t>
                    </w:r>
                  </w:p>
                </w:txbxContent>
              </v:textbox>
              <w10:wrap type="none"/>
            </v:shape>
            <v:shape style="position:absolute;left:6192;top:3047;width:546;height:240" type="#_x0000_t202" id="docshape52" filled="false" stroked="false">
              <v:textbox inset="0,0,0,0">
                <w:txbxContent>
                  <w:p>
                    <w:pPr>
                      <w:spacing w:line="239" w:lineRule="exact" w:before="0"/>
                      <w:ind w:left="0" w:right="0" w:firstLine="0"/>
                      <w:jc w:val="left"/>
                      <w:rPr>
                        <w:rFonts w:ascii="Tahoma"/>
                        <w:sz w:val="24"/>
                      </w:rPr>
                    </w:pPr>
                    <w:r>
                      <w:rPr>
                        <w:rFonts w:ascii="Tahoma"/>
                        <w:spacing w:val="-4"/>
                        <w:sz w:val="24"/>
                      </w:rPr>
                      <w:t>Body</w:t>
                    </w:r>
                  </w:p>
                </w:txbxContent>
              </v:textbox>
              <w10:wrap type="none"/>
            </v:shape>
            <v:shape style="position:absolute;left:3448;top:3478;width:893;height:240" type="#_x0000_t202" id="docshape53" filled="false" stroked="false">
              <v:textbox inset="0,0,0,0">
                <w:txbxContent>
                  <w:p>
                    <w:pPr>
                      <w:spacing w:line="239" w:lineRule="exact" w:before="0"/>
                      <w:ind w:left="0" w:right="0" w:firstLine="0"/>
                      <w:jc w:val="left"/>
                      <w:rPr>
                        <w:rFonts w:ascii="Tahoma"/>
                        <w:sz w:val="24"/>
                      </w:rPr>
                    </w:pPr>
                    <w:r>
                      <w:rPr>
                        <w:rFonts w:ascii="Tahoma"/>
                        <w:sz w:val="24"/>
                      </w:rPr>
                      <w:t>Close</w:t>
                    </w:r>
                    <w:r>
                      <w:rPr>
                        <w:rFonts w:ascii="Tahoma"/>
                        <w:spacing w:val="-4"/>
                        <w:sz w:val="24"/>
                      </w:rPr>
                      <w:t> </w:t>
                    </w:r>
                    <w:r>
                      <w:rPr>
                        <w:rFonts w:ascii="Tahoma"/>
                        <w:spacing w:val="-10"/>
                        <w:sz w:val="24"/>
                      </w:rPr>
                      <w:t>%</w:t>
                    </w:r>
                  </w:p>
                </w:txbxContent>
              </v:textbox>
              <w10:wrap type="none"/>
            </v:shape>
            <v:shape style="position:absolute;left:1260;top:255;width:5760;height:530" type="#_x0000_t202" id="docshape54" filled="true" fillcolor="#000000" stroked="false">
              <v:textbox inset="0,0,0,0">
                <w:txbxContent>
                  <w:p>
                    <w:pPr>
                      <w:spacing w:before="84"/>
                      <w:ind w:left="910" w:right="0" w:firstLine="0"/>
                      <w:jc w:val="left"/>
                      <w:rPr>
                        <w:rFonts w:ascii="Verdana"/>
                        <w:color w:val="000000"/>
                        <w:sz w:val="28"/>
                      </w:rPr>
                    </w:pPr>
                    <w:r>
                      <w:rPr>
                        <w:rFonts w:ascii="Verdana"/>
                        <w:color w:val="FFFFFF"/>
                        <w:sz w:val="28"/>
                      </w:rPr>
                      <w:t>Anatomy</w:t>
                    </w:r>
                    <w:r>
                      <w:rPr>
                        <w:rFonts w:ascii="Verdana"/>
                        <w:color w:val="FFFFFF"/>
                        <w:spacing w:val="-12"/>
                        <w:sz w:val="28"/>
                      </w:rPr>
                      <w:t> </w:t>
                    </w:r>
                    <w:r>
                      <w:rPr>
                        <w:rFonts w:ascii="Verdana"/>
                        <w:color w:val="FFFFFF"/>
                        <w:sz w:val="28"/>
                      </w:rPr>
                      <w:t>of</w:t>
                    </w:r>
                    <w:r>
                      <w:rPr>
                        <w:rFonts w:ascii="Verdana"/>
                        <w:color w:val="FFFFFF"/>
                        <w:spacing w:val="-12"/>
                        <w:sz w:val="28"/>
                      </w:rPr>
                      <w:t> </w:t>
                    </w:r>
                    <w:r>
                      <w:rPr>
                        <w:rFonts w:ascii="Verdana"/>
                        <w:color w:val="FFFFFF"/>
                        <w:sz w:val="28"/>
                      </w:rPr>
                      <w:t>a</w:t>
                    </w:r>
                    <w:r>
                      <w:rPr>
                        <w:rFonts w:ascii="Verdana"/>
                        <w:color w:val="FFFFFF"/>
                        <w:spacing w:val="-12"/>
                        <w:sz w:val="28"/>
                      </w:rPr>
                      <w:t> </w:t>
                    </w:r>
                    <w:r>
                      <w:rPr>
                        <w:rFonts w:ascii="Verdana"/>
                        <w:color w:val="FFFFFF"/>
                        <w:sz w:val="28"/>
                      </w:rPr>
                      <w:t>Wick</w:t>
                    </w:r>
                    <w:r>
                      <w:rPr>
                        <w:rFonts w:ascii="Verdana"/>
                        <w:color w:val="FFFFFF"/>
                        <w:spacing w:val="-12"/>
                        <w:sz w:val="28"/>
                      </w:rPr>
                      <w:t> </w:t>
                    </w:r>
                    <w:r>
                      <w:rPr>
                        <w:rFonts w:ascii="Verdana"/>
                        <w:color w:val="FFFFFF"/>
                        <w:spacing w:val="-2"/>
                        <w:sz w:val="28"/>
                      </w:rPr>
                      <w:t>Reversal</w:t>
                    </w:r>
                  </w:p>
                </w:txbxContent>
              </v:textbox>
              <v:fill type="solid"/>
              <w10:wrap type="none"/>
            </v:shape>
            <w10:wrap type="topAndBottom"/>
          </v:group>
        </w:pict>
      </w:r>
    </w:p>
    <w:p>
      <w:pPr>
        <w:spacing w:before="0"/>
        <w:ind w:left="658" w:right="0" w:firstLine="0"/>
        <w:jc w:val="left"/>
        <w:rPr>
          <w:sz w:val="16"/>
        </w:rPr>
      </w:pPr>
      <w:r>
        <w:rPr>
          <w:sz w:val="16"/>
        </w:rPr>
        <w:t>FIGURE</w:t>
      </w:r>
      <w:r>
        <w:rPr>
          <w:spacing w:val="3"/>
          <w:sz w:val="16"/>
        </w:rPr>
        <w:t> </w:t>
      </w:r>
      <w:r>
        <w:rPr>
          <w:sz w:val="16"/>
        </w:rPr>
        <w:t>2.2:</w:t>
      </w:r>
      <w:r>
        <w:rPr>
          <w:spacing w:val="5"/>
          <w:sz w:val="16"/>
        </w:rPr>
        <w:t> </w:t>
      </w:r>
      <w:r>
        <w:rPr>
          <w:sz w:val="16"/>
        </w:rPr>
        <w:t>Anatomy</w:t>
      </w:r>
      <w:r>
        <w:rPr>
          <w:spacing w:val="4"/>
          <w:sz w:val="16"/>
        </w:rPr>
        <w:t> </w:t>
      </w:r>
      <w:r>
        <w:rPr>
          <w:sz w:val="16"/>
        </w:rPr>
        <w:t>of</w:t>
      </w:r>
      <w:r>
        <w:rPr>
          <w:spacing w:val="4"/>
          <w:sz w:val="16"/>
        </w:rPr>
        <w:t> </w:t>
      </w:r>
      <w:r>
        <w:rPr>
          <w:sz w:val="16"/>
        </w:rPr>
        <w:t>a</w:t>
      </w:r>
      <w:r>
        <w:rPr>
          <w:spacing w:val="5"/>
          <w:sz w:val="16"/>
        </w:rPr>
        <w:t> </w:t>
      </w:r>
      <w:r>
        <w:rPr>
          <w:sz w:val="16"/>
        </w:rPr>
        <w:t>wick</w:t>
      </w:r>
      <w:r>
        <w:rPr>
          <w:spacing w:val="4"/>
          <w:sz w:val="16"/>
        </w:rPr>
        <w:t> </w:t>
      </w:r>
      <w:r>
        <w:rPr>
          <w:sz w:val="16"/>
        </w:rPr>
        <w:t>reversal</w:t>
      </w:r>
      <w:r>
        <w:rPr>
          <w:spacing w:val="3"/>
          <w:sz w:val="16"/>
        </w:rPr>
        <w:t> </w:t>
      </w:r>
      <w:r>
        <w:rPr>
          <w:spacing w:val="-2"/>
          <w:sz w:val="16"/>
        </w:rPr>
        <w:t>candlestick</w:t>
      </w:r>
    </w:p>
    <w:p>
      <w:pPr>
        <w:pStyle w:val="BodyText"/>
        <w:spacing w:before="9"/>
        <w:rPr>
          <w:sz w:val="21"/>
        </w:rPr>
      </w:pPr>
    </w:p>
    <w:p>
      <w:pPr>
        <w:pStyle w:val="BodyText"/>
        <w:ind w:left="140" w:right="496" w:firstLine="432"/>
        <w:jc w:val="both"/>
      </w:pPr>
      <w:r>
        <w:rPr/>
        <w:t>As you recall, the body of the candlestick is the portion of the bar that spans from the open price to closing price. The body of the candle is used to calculate</w:t>
      </w:r>
      <w:r>
        <w:rPr>
          <w:spacing w:val="-2"/>
        </w:rPr>
        <w:t> </w:t>
      </w:r>
      <w:r>
        <w:rPr/>
        <w:t>the size</w:t>
      </w:r>
      <w:r>
        <w:rPr>
          <w:spacing w:val="-2"/>
        </w:rPr>
        <w:t> </w:t>
      </w:r>
      <w:r>
        <w:rPr/>
        <w:t>of</w:t>
      </w:r>
      <w:r>
        <w:rPr>
          <w:spacing w:val="-2"/>
        </w:rPr>
        <w:t> </w:t>
      </w:r>
      <w:r>
        <w:rPr/>
        <w:t>the</w:t>
      </w:r>
      <w:r>
        <w:rPr>
          <w:spacing w:val="-1"/>
        </w:rPr>
        <w:t> </w:t>
      </w:r>
      <w:r>
        <w:rPr/>
        <w:t>wick.</w:t>
      </w:r>
      <w:r>
        <w:rPr>
          <w:spacing w:val="-2"/>
        </w:rPr>
        <w:t> </w:t>
      </w:r>
      <w:r>
        <w:rPr/>
        <w:t>Traditionally,</w:t>
      </w:r>
      <w:r>
        <w:rPr>
          <w:spacing w:val="-3"/>
        </w:rPr>
        <w:t> </w:t>
      </w:r>
      <w:r>
        <w:rPr/>
        <w:t>you</w:t>
      </w:r>
      <w:r>
        <w:rPr>
          <w:spacing w:val="-2"/>
        </w:rPr>
        <w:t> </w:t>
      </w:r>
      <w:r>
        <w:rPr/>
        <w:t>would</w:t>
      </w:r>
      <w:r>
        <w:rPr>
          <w:spacing w:val="-2"/>
        </w:rPr>
        <w:t> </w:t>
      </w:r>
      <w:r>
        <w:rPr/>
        <w:t>like</w:t>
      </w:r>
      <w:r>
        <w:rPr>
          <w:spacing w:val="-2"/>
        </w:rPr>
        <w:t> </w:t>
      </w:r>
      <w:r>
        <w:rPr/>
        <w:t>to</w:t>
      </w:r>
      <w:r>
        <w:rPr>
          <w:spacing w:val="-2"/>
        </w:rPr>
        <w:t> </w:t>
      </w:r>
      <w:r>
        <w:rPr/>
        <w:t>see</w:t>
      </w:r>
      <w:r>
        <w:rPr>
          <w:spacing w:val="-1"/>
        </w:rPr>
        <w:t> </w:t>
      </w:r>
      <w:r>
        <w:rPr/>
        <w:t>a</w:t>
      </w:r>
      <w:r>
        <w:rPr>
          <w:spacing w:val="-2"/>
        </w:rPr>
        <w:t> </w:t>
      </w:r>
      <w:r>
        <w:rPr/>
        <w:t>wick</w:t>
      </w:r>
      <w:r>
        <w:rPr>
          <w:spacing w:val="-2"/>
        </w:rPr>
        <w:t> </w:t>
      </w:r>
      <w:r>
        <w:rPr/>
        <w:t>that is at least two times the size of the body. Therefore, if the range of the body of a candlestick is 10 ticks, then the wick has to be at least 20 ticks to arrive at the traditional 2:1 ratio. While technically you only need a 2:1 ratio for a candle to be considered a reversal wick, I usually like to see a higher ratio from 2.5:1 to</w:t>
      </w:r>
      <w:r>
        <w:rPr>
          <w:spacing w:val="-1"/>
        </w:rPr>
        <w:t> </w:t>
      </w:r>
      <w:r>
        <w:rPr/>
        <w:t>3.5:1.</w:t>
      </w:r>
      <w:r>
        <w:rPr>
          <w:spacing w:val="-1"/>
        </w:rPr>
        <w:t> </w:t>
      </w:r>
      <w:r>
        <w:rPr/>
        <w:t>This allows you to eliminate some of the weaker reversal candles, but doesn’t limit you by being too rigid, thereby reducing the</w:t>
      </w:r>
      <w:r>
        <w:rPr>
          <w:spacing w:val="40"/>
        </w:rPr>
        <w:t> </w:t>
      </w:r>
      <w:r>
        <w:rPr/>
        <w:t>number of trading opportunities. In other words, if you only choose to find candles that have a 5:1 wick-to-body ratio, then you are significantly</w:t>
      </w:r>
      <w:r>
        <w:rPr>
          <w:spacing w:val="40"/>
        </w:rPr>
        <w:t> </w:t>
      </w:r>
      <w:r>
        <w:rPr/>
        <w:t>reducing the number of opportunities for trading because you are eliminating</w:t>
      </w:r>
    </w:p>
    <w:p>
      <w:pPr>
        <w:spacing w:after="0"/>
        <w:jc w:val="both"/>
        <w:sectPr>
          <w:pgSz w:w="8640" w:h="12960"/>
          <w:pgMar w:header="579" w:footer="1039" w:top="760" w:bottom="1220" w:left="580" w:right="580"/>
        </w:sectPr>
      </w:pPr>
    </w:p>
    <w:p>
      <w:pPr>
        <w:pStyle w:val="BodyText"/>
        <w:spacing w:before="3"/>
      </w:pPr>
    </w:p>
    <w:p>
      <w:pPr>
        <w:pStyle w:val="BodyText"/>
        <w:spacing w:before="64"/>
        <w:ind w:left="500" w:right="141"/>
        <w:jc w:val="both"/>
      </w:pPr>
      <w:r>
        <w:rPr/>
        <w:t>many lower ratio candlesticks, while only trading from a ratio (5:1) that doesn’t appear in the market very often.</w:t>
      </w:r>
    </w:p>
    <w:p>
      <w:pPr>
        <w:pStyle w:val="BodyText"/>
        <w:ind w:left="500" w:right="136" w:firstLine="432"/>
        <w:jc w:val="both"/>
      </w:pPr>
      <w:r>
        <w:rPr/>
        <w:t>The last component of a reversal wick candlestick is the close percentage. While the length of the wick is the first part to determining the strength of a reversal candlestick, the second part of the equation is determined upon where the bar closes in relation to the overall high and low of the candle. Therefore, if the bar closes in the top 5 percent of the candle, the chances are greater for a bullish reversal than if the bar closes in the top 35 percent of the candle (see Figure 2.3).</w:t>
      </w:r>
    </w:p>
    <w:p>
      <w:pPr>
        <w:pStyle w:val="BodyText"/>
        <w:ind w:left="500" w:right="135" w:firstLine="432"/>
        <w:jc w:val="both"/>
      </w:pPr>
      <w:r>
        <w:rPr/>
        <w:t>If a candlestick closes in the top 5 percent of the bar with the wick on</w:t>
      </w:r>
      <w:r>
        <w:rPr>
          <w:spacing w:val="40"/>
        </w:rPr>
        <w:t> </w:t>
      </w:r>
      <w:r>
        <w:rPr/>
        <w:t>the</w:t>
      </w:r>
      <w:r>
        <w:rPr>
          <w:spacing w:val="-2"/>
        </w:rPr>
        <w:t> </w:t>
      </w:r>
      <w:r>
        <w:rPr/>
        <w:t>south</w:t>
      </w:r>
      <w:r>
        <w:rPr>
          <w:spacing w:val="-3"/>
        </w:rPr>
        <w:t> </w:t>
      </w:r>
      <w:r>
        <w:rPr/>
        <w:t>side</w:t>
      </w:r>
      <w:r>
        <w:rPr>
          <w:spacing w:val="-3"/>
        </w:rPr>
        <w:t> </w:t>
      </w:r>
      <w:r>
        <w:rPr/>
        <w:t>of</w:t>
      </w:r>
      <w:r>
        <w:rPr>
          <w:spacing w:val="-2"/>
        </w:rPr>
        <w:t> </w:t>
      </w:r>
      <w:r>
        <w:rPr/>
        <w:t>the</w:t>
      </w:r>
      <w:r>
        <w:rPr>
          <w:spacing w:val="-2"/>
        </w:rPr>
        <w:t> </w:t>
      </w:r>
      <w:r>
        <w:rPr/>
        <w:t>candle,</w:t>
      </w:r>
      <w:r>
        <w:rPr>
          <w:spacing w:val="-2"/>
        </w:rPr>
        <w:t> </w:t>
      </w:r>
      <w:r>
        <w:rPr/>
        <w:t>this</w:t>
      </w:r>
      <w:r>
        <w:rPr>
          <w:spacing w:val="-1"/>
        </w:rPr>
        <w:t> </w:t>
      </w:r>
      <w:r>
        <w:rPr/>
        <w:t>means</w:t>
      </w:r>
      <w:r>
        <w:rPr>
          <w:spacing w:val="-2"/>
        </w:rPr>
        <w:t> </w:t>
      </w:r>
      <w:r>
        <w:rPr/>
        <w:t>the</w:t>
      </w:r>
      <w:r>
        <w:rPr>
          <w:spacing w:val="-2"/>
        </w:rPr>
        <w:t> </w:t>
      </w:r>
      <w:r>
        <w:rPr/>
        <w:t>bulls</w:t>
      </w:r>
      <w:r>
        <w:rPr>
          <w:spacing w:val="-2"/>
        </w:rPr>
        <w:t> </w:t>
      </w:r>
      <w:r>
        <w:rPr/>
        <w:t>were</w:t>
      </w:r>
      <w:r>
        <w:rPr>
          <w:spacing w:val="-1"/>
        </w:rPr>
        <w:t> </w:t>
      </w:r>
      <w:r>
        <w:rPr/>
        <w:t>able</w:t>
      </w:r>
      <w:r>
        <w:rPr>
          <w:spacing w:val="-2"/>
        </w:rPr>
        <w:t> </w:t>
      </w:r>
      <w:r>
        <w:rPr/>
        <w:t>to</w:t>
      </w:r>
      <w:r>
        <w:rPr>
          <w:spacing w:val="-2"/>
        </w:rPr>
        <w:t> </w:t>
      </w:r>
      <w:r>
        <w:rPr/>
        <w:t>rally</w:t>
      </w:r>
      <w:r>
        <w:rPr>
          <w:spacing w:val="-3"/>
        </w:rPr>
        <w:t> </w:t>
      </w:r>
      <w:r>
        <w:rPr/>
        <w:t>the</w:t>
      </w:r>
      <w:r>
        <w:rPr>
          <w:spacing w:val="-1"/>
        </w:rPr>
        <w:t> </w:t>
      </w:r>
      <w:r>
        <w:rPr/>
        <w:t>market from the low of the candle and close price near the top of the bar, taking complete control from the bears in this one timeframe. However, if the market closes in the top 35 percent of the candle, this means the bulls were still</w:t>
      </w:r>
      <w:r>
        <w:rPr>
          <w:spacing w:val="-2"/>
        </w:rPr>
        <w:t> </w:t>
      </w:r>
      <w:r>
        <w:rPr/>
        <w:t>able</w:t>
      </w:r>
      <w:r>
        <w:rPr>
          <w:spacing w:val="-2"/>
        </w:rPr>
        <w:t> </w:t>
      </w:r>
      <w:r>
        <w:rPr/>
        <w:t>to</w:t>
      </w:r>
      <w:r>
        <w:rPr>
          <w:spacing w:val="-2"/>
        </w:rPr>
        <w:t> </w:t>
      </w:r>
      <w:r>
        <w:rPr/>
        <w:t>take</w:t>
      </w:r>
      <w:r>
        <w:rPr>
          <w:spacing w:val="-2"/>
        </w:rPr>
        <w:t> </w:t>
      </w:r>
      <w:r>
        <w:rPr/>
        <w:t>control</w:t>
      </w:r>
      <w:r>
        <w:rPr>
          <w:spacing w:val="-2"/>
        </w:rPr>
        <w:t> </w:t>
      </w:r>
      <w:r>
        <w:rPr/>
        <w:t>from</w:t>
      </w:r>
      <w:r>
        <w:rPr>
          <w:spacing w:val="-2"/>
        </w:rPr>
        <w:t> </w:t>
      </w:r>
      <w:r>
        <w:rPr/>
        <w:t>the</w:t>
      </w:r>
      <w:r>
        <w:rPr>
          <w:spacing w:val="-2"/>
        </w:rPr>
        <w:t> </w:t>
      </w:r>
      <w:r>
        <w:rPr/>
        <w:t>bears,</w:t>
      </w:r>
      <w:r>
        <w:rPr>
          <w:spacing w:val="-1"/>
        </w:rPr>
        <w:t> </w:t>
      </w:r>
      <w:r>
        <w:rPr/>
        <w:t>but</w:t>
      </w:r>
      <w:r>
        <w:rPr>
          <w:spacing w:val="-2"/>
        </w:rPr>
        <w:t> </w:t>
      </w:r>
      <w:r>
        <w:rPr/>
        <w:t>only</w:t>
      </w:r>
      <w:r>
        <w:rPr>
          <w:spacing w:val="-2"/>
        </w:rPr>
        <w:t> </w:t>
      </w:r>
      <w:r>
        <w:rPr/>
        <w:t>marginally</w:t>
      </w:r>
      <w:r>
        <w:rPr>
          <w:spacing w:val="-2"/>
        </w:rPr>
        <w:t> </w:t>
      </w:r>
      <w:r>
        <w:rPr/>
        <w:t>since</w:t>
      </w:r>
      <w:r>
        <w:rPr>
          <w:spacing w:val="-4"/>
        </w:rPr>
        <w:t> </w:t>
      </w:r>
      <w:r>
        <w:rPr/>
        <w:t>the</w:t>
      </w:r>
      <w:r>
        <w:rPr>
          <w:spacing w:val="-2"/>
        </w:rPr>
        <w:t> </w:t>
      </w:r>
      <w:r>
        <w:rPr/>
        <w:t>close</w:t>
      </w:r>
      <w:r>
        <w:rPr>
          <w:spacing w:val="-2"/>
        </w:rPr>
        <w:t> </w:t>
      </w:r>
      <w:r>
        <w:rPr/>
        <w:t>of the bar barely made it above the midpoint of the range. This is still a bullish scenario, but not as bullish as the 5 percent scenario.</w:t>
      </w:r>
    </w:p>
    <w:p>
      <w:pPr>
        <w:pStyle w:val="BodyText"/>
        <w:spacing w:before="1"/>
        <w:rPr>
          <w:sz w:val="20"/>
        </w:rPr>
      </w:pPr>
      <w:r>
        <w:rPr/>
        <w:pict>
          <v:group style="position:absolute;margin-left:80.684998pt;margin-top:12.79866pt;width:288.7pt;height:178.35pt;mso-position-horizontal-relative:page;mso-position-vertical-relative:paragraph;z-index:-15715328;mso-wrap-distance-left:0;mso-wrap-distance-right:0" id="docshapegroup55" coordorigin="1614,256" coordsize="5774,3567">
            <v:rect style="position:absolute;left:1621;top:263;width:5759;height:3552" id="docshape56" filled="false" stroked="true" strokeweight=".75pt" strokecolor="#000000">
              <v:stroke dashstyle="solid"/>
            </v:rect>
            <v:shape style="position:absolute;left:3761;top:1529;width:2;height:1591" id="docshape57" coordorigin="3761,1529" coordsize="0,1591" path="m3761,1859l3761,3120m3761,1529l3761,1583e" filled="false" stroked="true" strokeweight=".81pt" strokecolor="#000000">
              <v:path arrowok="t"/>
              <v:stroke dashstyle="solid"/>
            </v:shape>
            <v:rect style="position:absolute;left:3560;top:1582;width:411;height:278" id="docshape58" filled="false" stroked="true" strokeweight=".75pt" strokecolor="#000000">
              <v:stroke dashstyle="solid"/>
            </v:rect>
            <v:line style="position:absolute" from="2522,3112" to="2522,1538" stroked="true" strokeweight=".75pt" strokecolor="#000000">
              <v:stroke dashstyle="solid"/>
            </v:line>
            <v:rect style="position:absolute;left:2322;top:1687;width:411;height:394" id="docshape59" filled="true" fillcolor="#000000" stroked="false">
              <v:fill type="solid"/>
            </v:rect>
            <v:rect style="position:absolute;left:2322;top:1687;width:411;height:393" id="docshape60" filled="false" stroked="true" strokeweight=".75pt" strokecolor="#000000">
              <v:stroke dashstyle="solid"/>
            </v:rect>
            <v:line style="position:absolute" from="6510,3112" to="6510,1537" stroked="true" strokeweight=".75pt" strokecolor="#000000">
              <v:stroke dashstyle="solid"/>
            </v:line>
            <v:rect style="position:absolute;left:6309;top:2790;width:411;height:275" id="docshape61" filled="true" fillcolor="#000000" stroked="false">
              <v:fill type="solid"/>
            </v:rect>
            <v:rect style="position:absolute;left:6309;top:2790;width:411;height:275" id="docshape62" filled="false" stroked="true" strokeweight=".75pt" strokecolor="#000000">
              <v:stroke dashstyle="solid"/>
            </v:rect>
            <v:shape style="position:absolute;left:5038;top:1536;width:2;height:1576" id="docshape63" coordorigin="5039,1537" coordsize="0,1576" path="m5039,2963l5039,3112m5039,1537l5039,2543e" filled="false" stroked="true" strokeweight=".75pt" strokecolor="#000000">
              <v:path arrowok="t"/>
              <v:stroke dashstyle="solid"/>
            </v:shape>
            <v:rect style="position:absolute;left:4838;top:2542;width:411;height:422" id="docshape64" filled="false" stroked="true" strokeweight=".75pt" strokecolor="#000000">
              <v:stroke dashstyle="solid"/>
            </v:rect>
            <v:shape style="position:absolute;left:2266;top:908;width:517;height:531" type="#_x0000_t202" id="docshape65" filled="false" stroked="false">
              <v:textbox inset="0,0,0,0">
                <w:txbxContent>
                  <w:p>
                    <w:pPr>
                      <w:spacing w:line="239" w:lineRule="exact" w:before="0"/>
                      <w:ind w:left="46" w:right="0" w:firstLine="0"/>
                      <w:jc w:val="left"/>
                      <w:rPr>
                        <w:rFonts w:ascii="Tahoma"/>
                        <w:sz w:val="24"/>
                      </w:rPr>
                    </w:pPr>
                    <w:r>
                      <w:rPr>
                        <w:rFonts w:ascii="Tahoma"/>
                        <w:spacing w:val="-5"/>
                        <w:sz w:val="24"/>
                      </w:rPr>
                      <w:t>Top</w:t>
                    </w:r>
                  </w:p>
                  <w:p>
                    <w:pPr>
                      <w:spacing w:before="0"/>
                      <w:ind w:left="0" w:right="0" w:firstLine="0"/>
                      <w:jc w:val="left"/>
                      <w:rPr>
                        <w:rFonts w:ascii="Tahoma"/>
                        <w:sz w:val="24"/>
                      </w:rPr>
                    </w:pPr>
                    <w:r>
                      <w:rPr>
                        <w:rFonts w:ascii="Tahoma"/>
                        <w:spacing w:val="-5"/>
                        <w:sz w:val="24"/>
                      </w:rPr>
                      <w:t>35%</w:t>
                    </w:r>
                  </w:p>
                </w:txbxContent>
              </v:textbox>
              <w10:wrap type="none"/>
            </v:shape>
            <v:shape style="position:absolute;left:3540;top:908;width:425;height:531" type="#_x0000_t202" id="docshape66" filled="false" stroked="false">
              <v:textbox inset="0,0,0,0">
                <w:txbxContent>
                  <w:p>
                    <w:pPr>
                      <w:spacing w:line="239" w:lineRule="exact" w:before="0"/>
                      <w:ind w:left="0" w:right="0" w:firstLine="0"/>
                      <w:jc w:val="left"/>
                      <w:rPr>
                        <w:rFonts w:ascii="Tahoma"/>
                        <w:sz w:val="24"/>
                      </w:rPr>
                    </w:pPr>
                    <w:r>
                      <w:rPr>
                        <w:rFonts w:ascii="Tahoma"/>
                        <w:spacing w:val="-5"/>
                        <w:sz w:val="24"/>
                      </w:rPr>
                      <w:t>Top</w:t>
                    </w:r>
                  </w:p>
                  <w:p>
                    <w:pPr>
                      <w:spacing w:before="0"/>
                      <w:ind w:left="19" w:right="0" w:firstLine="0"/>
                      <w:jc w:val="left"/>
                      <w:rPr>
                        <w:rFonts w:ascii="Tahoma"/>
                        <w:sz w:val="24"/>
                      </w:rPr>
                    </w:pPr>
                    <w:r>
                      <w:rPr>
                        <w:rFonts w:ascii="Tahoma"/>
                        <w:spacing w:val="-5"/>
                        <w:sz w:val="24"/>
                      </w:rPr>
                      <w:t>5%</w:t>
                    </w:r>
                  </w:p>
                </w:txbxContent>
              </v:textbox>
              <w10:wrap type="none"/>
            </v:shape>
            <v:shape style="position:absolute;left:4713;top:908;width:785;height:531" type="#_x0000_t202" id="docshape67" filled="false" stroked="false">
              <v:textbox inset="0,0,0,0">
                <w:txbxContent>
                  <w:p>
                    <w:pPr>
                      <w:spacing w:line="239" w:lineRule="exact" w:before="0"/>
                      <w:ind w:left="0" w:right="18" w:firstLine="0"/>
                      <w:jc w:val="center"/>
                      <w:rPr>
                        <w:rFonts w:ascii="Tahoma"/>
                        <w:sz w:val="24"/>
                      </w:rPr>
                    </w:pPr>
                    <w:r>
                      <w:rPr>
                        <w:rFonts w:ascii="Tahoma"/>
                        <w:spacing w:val="-2"/>
                        <w:sz w:val="24"/>
                      </w:rPr>
                      <w:t>Bottom</w:t>
                    </w:r>
                  </w:p>
                  <w:p>
                    <w:pPr>
                      <w:spacing w:before="0"/>
                      <w:ind w:left="0" w:right="16" w:firstLine="0"/>
                      <w:jc w:val="center"/>
                      <w:rPr>
                        <w:rFonts w:ascii="Tahoma"/>
                        <w:sz w:val="24"/>
                      </w:rPr>
                    </w:pPr>
                    <w:r>
                      <w:rPr>
                        <w:rFonts w:ascii="Tahoma"/>
                        <w:spacing w:val="-5"/>
                        <w:sz w:val="24"/>
                      </w:rPr>
                      <w:t>35%</w:t>
                    </w:r>
                  </w:p>
                </w:txbxContent>
              </v:textbox>
              <w10:wrap type="none"/>
            </v:shape>
            <v:shape style="position:absolute;left:6109;top:907;width:785;height:531" type="#_x0000_t202" id="docshape68" filled="false" stroked="false">
              <v:textbox inset="0,0,0,0">
                <w:txbxContent>
                  <w:p>
                    <w:pPr>
                      <w:spacing w:line="239" w:lineRule="exact" w:before="0"/>
                      <w:ind w:left="0" w:right="18" w:firstLine="0"/>
                      <w:jc w:val="center"/>
                      <w:rPr>
                        <w:rFonts w:ascii="Tahoma"/>
                        <w:sz w:val="24"/>
                      </w:rPr>
                    </w:pPr>
                    <w:r>
                      <w:rPr>
                        <w:rFonts w:ascii="Tahoma"/>
                        <w:spacing w:val="-2"/>
                        <w:sz w:val="24"/>
                      </w:rPr>
                      <w:t>Bottom</w:t>
                    </w:r>
                  </w:p>
                  <w:p>
                    <w:pPr>
                      <w:spacing w:before="0"/>
                      <w:ind w:left="0" w:right="18" w:firstLine="0"/>
                      <w:jc w:val="center"/>
                      <w:rPr>
                        <w:rFonts w:ascii="Tahoma"/>
                        <w:sz w:val="24"/>
                      </w:rPr>
                    </w:pPr>
                    <w:r>
                      <w:rPr>
                        <w:rFonts w:ascii="Tahoma"/>
                        <w:spacing w:val="-5"/>
                        <w:sz w:val="24"/>
                      </w:rPr>
                      <w:t>5%</w:t>
                    </w:r>
                  </w:p>
                </w:txbxContent>
              </v:textbox>
              <w10:wrap type="none"/>
            </v:shape>
            <v:shape style="position:absolute;left:2175;top:3351;width:702;height:240" type="#_x0000_t202" id="docshape69" filled="false" stroked="false">
              <v:textbox inset="0,0,0,0">
                <w:txbxContent>
                  <w:p>
                    <w:pPr>
                      <w:spacing w:line="239" w:lineRule="exact" w:before="0"/>
                      <w:ind w:left="0" w:right="0" w:firstLine="0"/>
                      <w:jc w:val="left"/>
                      <w:rPr>
                        <w:rFonts w:ascii="Tahoma"/>
                        <w:sz w:val="24"/>
                      </w:rPr>
                    </w:pPr>
                    <w:r>
                      <w:rPr>
                        <w:rFonts w:ascii="Tahoma"/>
                        <w:spacing w:val="-2"/>
                        <w:sz w:val="24"/>
                      </w:rPr>
                      <w:t>Bullish</w:t>
                    </w:r>
                  </w:p>
                </w:txbxContent>
              </v:textbox>
              <w10:wrap type="none"/>
            </v:shape>
            <v:shape style="position:absolute;left:3422;top:3188;width:702;height:531" type="#_x0000_t202" id="docshape70" filled="false" stroked="false">
              <v:textbox inset="0,0,0,0">
                <w:txbxContent>
                  <w:p>
                    <w:pPr>
                      <w:spacing w:line="239" w:lineRule="exact" w:before="0"/>
                      <w:ind w:left="75" w:right="0" w:firstLine="0"/>
                      <w:jc w:val="left"/>
                      <w:rPr>
                        <w:rFonts w:ascii="Tahoma"/>
                        <w:sz w:val="24"/>
                      </w:rPr>
                    </w:pPr>
                    <w:r>
                      <w:rPr>
                        <w:rFonts w:ascii="Tahoma"/>
                        <w:spacing w:val="-4"/>
                        <w:sz w:val="24"/>
                      </w:rPr>
                      <w:t>More</w:t>
                    </w:r>
                  </w:p>
                  <w:p>
                    <w:pPr>
                      <w:spacing w:before="0"/>
                      <w:ind w:left="0" w:right="0" w:firstLine="0"/>
                      <w:jc w:val="left"/>
                      <w:rPr>
                        <w:rFonts w:ascii="Tahoma"/>
                        <w:sz w:val="24"/>
                      </w:rPr>
                    </w:pPr>
                    <w:r>
                      <w:rPr>
                        <w:rFonts w:ascii="Tahoma"/>
                        <w:spacing w:val="-2"/>
                        <w:sz w:val="24"/>
                      </w:rPr>
                      <w:t>Bullish</w:t>
                    </w:r>
                  </w:p>
                </w:txbxContent>
              </v:textbox>
              <w10:wrap type="none"/>
            </v:shape>
            <v:shape style="position:absolute;left:4651;top:3351;width:797;height:240" type="#_x0000_t202" id="docshape71" filled="false" stroked="false">
              <v:textbox inset="0,0,0,0">
                <w:txbxContent>
                  <w:p>
                    <w:pPr>
                      <w:spacing w:line="239" w:lineRule="exact" w:before="0"/>
                      <w:ind w:left="0" w:right="0" w:firstLine="0"/>
                      <w:jc w:val="left"/>
                      <w:rPr>
                        <w:rFonts w:ascii="Tahoma"/>
                        <w:sz w:val="24"/>
                      </w:rPr>
                    </w:pPr>
                    <w:r>
                      <w:rPr>
                        <w:rFonts w:ascii="Tahoma"/>
                        <w:spacing w:val="-2"/>
                        <w:sz w:val="24"/>
                      </w:rPr>
                      <w:t>Bearish</w:t>
                    </w:r>
                  </w:p>
                </w:txbxContent>
              </v:textbox>
              <w10:wrap type="none"/>
            </v:shape>
            <v:shape style="position:absolute;left:6124;top:3188;width:797;height:531" type="#_x0000_t202" id="docshape72" filled="false" stroked="false">
              <v:textbox inset="0,0,0,0">
                <w:txbxContent>
                  <w:p>
                    <w:pPr>
                      <w:spacing w:line="239" w:lineRule="exact" w:before="0"/>
                      <w:ind w:left="1" w:right="18" w:firstLine="0"/>
                      <w:jc w:val="center"/>
                      <w:rPr>
                        <w:rFonts w:ascii="Tahoma"/>
                        <w:sz w:val="24"/>
                      </w:rPr>
                    </w:pPr>
                    <w:r>
                      <w:rPr>
                        <w:rFonts w:ascii="Tahoma"/>
                        <w:spacing w:val="-4"/>
                        <w:sz w:val="24"/>
                      </w:rPr>
                      <w:t>More</w:t>
                    </w:r>
                  </w:p>
                  <w:p>
                    <w:pPr>
                      <w:spacing w:before="0"/>
                      <w:ind w:left="-1" w:right="18" w:firstLine="0"/>
                      <w:jc w:val="center"/>
                      <w:rPr>
                        <w:rFonts w:ascii="Tahoma"/>
                        <w:sz w:val="24"/>
                      </w:rPr>
                    </w:pPr>
                    <w:r>
                      <w:rPr>
                        <w:rFonts w:ascii="Tahoma"/>
                        <w:spacing w:val="-2"/>
                        <w:sz w:val="24"/>
                      </w:rPr>
                      <w:t>Bearish</w:t>
                    </w:r>
                  </w:p>
                </w:txbxContent>
              </v:textbox>
              <w10:wrap type="none"/>
            </v:shape>
            <v:shape style="position:absolute;left:1620;top:255;width:5760;height:530" type="#_x0000_t202" id="docshape73" filled="true" fillcolor="#000000" stroked="false">
              <v:textbox inset="0,0,0,0">
                <w:txbxContent>
                  <w:p>
                    <w:pPr>
                      <w:spacing w:before="84"/>
                      <w:ind w:left="264" w:right="0" w:firstLine="0"/>
                      <w:jc w:val="left"/>
                      <w:rPr>
                        <w:rFonts w:ascii="Verdana"/>
                        <w:color w:val="000000"/>
                        <w:sz w:val="28"/>
                      </w:rPr>
                    </w:pPr>
                    <w:r>
                      <w:rPr>
                        <w:rFonts w:ascii="Verdana"/>
                        <w:color w:val="FFFFFF"/>
                        <w:sz w:val="28"/>
                      </w:rPr>
                      <w:t>Close</w:t>
                    </w:r>
                    <w:r>
                      <w:rPr>
                        <w:rFonts w:ascii="Verdana"/>
                        <w:color w:val="FFFFFF"/>
                        <w:spacing w:val="-15"/>
                        <w:sz w:val="28"/>
                      </w:rPr>
                      <w:t> </w:t>
                    </w:r>
                    <w:r>
                      <w:rPr>
                        <w:rFonts w:ascii="Verdana"/>
                        <w:color w:val="FFFFFF"/>
                        <w:sz w:val="28"/>
                      </w:rPr>
                      <w:t>Percentage</w:t>
                    </w:r>
                    <w:r>
                      <w:rPr>
                        <w:rFonts w:ascii="Verdana"/>
                        <w:color w:val="FFFFFF"/>
                        <w:spacing w:val="-14"/>
                        <w:sz w:val="28"/>
                      </w:rPr>
                      <w:t> </w:t>
                    </w:r>
                    <w:r>
                      <w:rPr>
                        <w:rFonts w:ascii="Verdana"/>
                        <w:color w:val="FFFFFF"/>
                        <w:sz w:val="28"/>
                      </w:rPr>
                      <w:t>Concept</w:t>
                    </w:r>
                    <w:r>
                      <w:rPr>
                        <w:rFonts w:ascii="Verdana"/>
                        <w:color w:val="FFFFFF"/>
                        <w:spacing w:val="-14"/>
                        <w:sz w:val="28"/>
                      </w:rPr>
                      <w:t> </w:t>
                    </w:r>
                    <w:r>
                      <w:rPr>
                        <w:rFonts w:ascii="Verdana"/>
                        <w:color w:val="FFFFFF"/>
                        <w:spacing w:val="-2"/>
                        <w:sz w:val="28"/>
                      </w:rPr>
                      <w:t>Illustrated</w:t>
                    </w:r>
                  </w:p>
                </w:txbxContent>
              </v:textbox>
              <v:fill type="solid"/>
              <w10:wrap type="none"/>
            </v:shape>
            <w10:wrap type="topAndBottom"/>
          </v:group>
        </w:pict>
      </w:r>
    </w:p>
    <w:p>
      <w:pPr>
        <w:spacing w:before="0"/>
        <w:ind w:left="1018" w:right="0" w:firstLine="0"/>
        <w:jc w:val="left"/>
        <w:rPr>
          <w:sz w:val="16"/>
        </w:rPr>
      </w:pPr>
      <w:r>
        <w:rPr>
          <w:sz w:val="16"/>
        </w:rPr>
        <w:t>FIGURE</w:t>
      </w:r>
      <w:r>
        <w:rPr>
          <w:spacing w:val="5"/>
          <w:sz w:val="16"/>
        </w:rPr>
        <w:t> </w:t>
      </w:r>
      <w:r>
        <w:rPr>
          <w:sz w:val="16"/>
        </w:rPr>
        <w:t>2.3:</w:t>
      </w:r>
      <w:r>
        <w:rPr>
          <w:spacing w:val="6"/>
          <w:sz w:val="16"/>
        </w:rPr>
        <w:t> </w:t>
      </w:r>
      <w:r>
        <w:rPr>
          <w:sz w:val="16"/>
        </w:rPr>
        <w:t>The</w:t>
      </w:r>
      <w:r>
        <w:rPr>
          <w:spacing w:val="7"/>
          <w:sz w:val="16"/>
        </w:rPr>
        <w:t> </w:t>
      </w:r>
      <w:r>
        <w:rPr>
          <w:sz w:val="16"/>
        </w:rPr>
        <w:t>close</w:t>
      </w:r>
      <w:r>
        <w:rPr>
          <w:spacing w:val="5"/>
          <w:sz w:val="16"/>
        </w:rPr>
        <w:t> </w:t>
      </w:r>
      <w:r>
        <w:rPr>
          <w:sz w:val="16"/>
        </w:rPr>
        <w:t>percentage</w:t>
      </w:r>
      <w:r>
        <w:rPr>
          <w:spacing w:val="5"/>
          <w:sz w:val="16"/>
        </w:rPr>
        <w:t> </w:t>
      </w:r>
      <w:r>
        <w:rPr>
          <w:sz w:val="16"/>
        </w:rPr>
        <w:t>concept</w:t>
      </w:r>
      <w:r>
        <w:rPr>
          <w:spacing w:val="5"/>
          <w:sz w:val="16"/>
        </w:rPr>
        <w:t> </w:t>
      </w:r>
      <w:r>
        <w:rPr>
          <w:spacing w:val="-2"/>
          <w:sz w:val="16"/>
        </w:rPr>
        <w:t>illustrated</w:t>
      </w:r>
    </w:p>
    <w:p>
      <w:pPr>
        <w:pStyle w:val="BodyText"/>
        <w:spacing w:before="9"/>
        <w:rPr>
          <w:sz w:val="21"/>
        </w:rPr>
      </w:pPr>
    </w:p>
    <w:p>
      <w:pPr>
        <w:pStyle w:val="BodyText"/>
        <w:ind w:left="500" w:right="136" w:firstLine="432"/>
        <w:jc w:val="both"/>
      </w:pPr>
      <w:r>
        <w:rPr/>
        <w:t>It is important to emphasize the different components of the reversal wick candlestick, as varying conditions will lead to varying levels of success with this pattern. As I mentioned before,</w:t>
      </w:r>
      <w:r>
        <w:rPr>
          <w:spacing w:val="-1"/>
        </w:rPr>
        <w:t> </w:t>
      </w:r>
      <w:r>
        <w:rPr/>
        <w:t>this pattern may seem elementary at face value, but it is actually quite complex when you begin to work with the interrelated components of its structure. Prospecting for a reversal wick that has a 2:1 wick-to-body ratio and a close percentage of 45 percent is going to give you vastly different results from a reversal wick that has a 3.5:1 ratio</w:t>
      </w:r>
      <w:r>
        <w:rPr>
          <w:spacing w:val="40"/>
        </w:rPr>
        <w:t> </w:t>
      </w:r>
      <w:r>
        <w:rPr/>
        <w:t>and</w:t>
      </w:r>
      <w:r>
        <w:rPr>
          <w:spacing w:val="11"/>
        </w:rPr>
        <w:t> </w:t>
      </w:r>
      <w:r>
        <w:rPr/>
        <w:t>a</w:t>
      </w:r>
      <w:r>
        <w:rPr>
          <w:spacing w:val="12"/>
        </w:rPr>
        <w:t> </w:t>
      </w:r>
      <w:r>
        <w:rPr/>
        <w:t>close</w:t>
      </w:r>
      <w:r>
        <w:rPr>
          <w:spacing w:val="12"/>
        </w:rPr>
        <w:t> </w:t>
      </w:r>
      <w:r>
        <w:rPr/>
        <w:t>percentage</w:t>
      </w:r>
      <w:r>
        <w:rPr>
          <w:spacing w:val="12"/>
        </w:rPr>
        <w:t> </w:t>
      </w:r>
      <w:r>
        <w:rPr/>
        <w:t>of</w:t>
      </w:r>
      <w:r>
        <w:rPr>
          <w:spacing w:val="12"/>
        </w:rPr>
        <w:t> </w:t>
      </w:r>
      <w:r>
        <w:rPr/>
        <w:t>10</w:t>
      </w:r>
      <w:r>
        <w:rPr>
          <w:spacing w:val="11"/>
        </w:rPr>
        <w:t> </w:t>
      </w:r>
      <w:r>
        <w:rPr/>
        <w:t>percent.</w:t>
      </w:r>
      <w:r>
        <w:rPr>
          <w:spacing w:val="12"/>
        </w:rPr>
        <w:t> </w:t>
      </w:r>
      <w:r>
        <w:rPr/>
        <w:t>Understanding</w:t>
      </w:r>
      <w:r>
        <w:rPr>
          <w:spacing w:val="11"/>
        </w:rPr>
        <w:t> </w:t>
      </w:r>
      <w:r>
        <w:rPr/>
        <w:t>this</w:t>
      </w:r>
      <w:r>
        <w:rPr>
          <w:spacing w:val="12"/>
        </w:rPr>
        <w:t> </w:t>
      </w:r>
      <w:r>
        <w:rPr/>
        <w:t>concept</w:t>
      </w:r>
      <w:r>
        <w:rPr>
          <w:spacing w:val="11"/>
        </w:rPr>
        <w:t> </w:t>
      </w:r>
      <w:r>
        <w:rPr/>
        <w:t>will</w:t>
      </w:r>
      <w:r>
        <w:rPr>
          <w:spacing w:val="12"/>
        </w:rPr>
        <w:t> </w:t>
      </w:r>
      <w:r>
        <w:rPr>
          <w:spacing w:val="-2"/>
        </w:rPr>
        <w:t>allow</w:t>
      </w:r>
    </w:p>
    <w:p>
      <w:pPr>
        <w:spacing w:after="0"/>
        <w:jc w:val="both"/>
        <w:sectPr>
          <w:pgSz w:w="8640" w:h="12960"/>
          <w:pgMar w:header="536" w:footer="1060" w:top="720" w:bottom="1220" w:left="580" w:right="580"/>
        </w:sectPr>
      </w:pPr>
    </w:p>
    <w:p>
      <w:pPr>
        <w:pStyle w:val="BodyText"/>
        <w:spacing w:before="5"/>
        <w:rPr>
          <w:sz w:val="18"/>
        </w:rPr>
      </w:pPr>
    </w:p>
    <w:p>
      <w:pPr>
        <w:pStyle w:val="BodyText"/>
        <w:spacing w:before="64"/>
        <w:ind w:left="140" w:right="498"/>
        <w:jc w:val="both"/>
      </w:pPr>
      <w:r>
        <w:rPr/>
        <w:t>you</w:t>
      </w:r>
      <w:r>
        <w:rPr>
          <w:spacing w:val="-3"/>
        </w:rPr>
        <w:t> </w:t>
      </w:r>
      <w:r>
        <w:rPr/>
        <w:t>to</w:t>
      </w:r>
      <w:r>
        <w:rPr>
          <w:spacing w:val="-3"/>
        </w:rPr>
        <w:t> </w:t>
      </w:r>
      <w:r>
        <w:rPr/>
        <w:t>focus</w:t>
      </w:r>
      <w:r>
        <w:rPr>
          <w:spacing w:val="-3"/>
        </w:rPr>
        <w:t> </w:t>
      </w:r>
      <w:r>
        <w:rPr/>
        <w:t>your</w:t>
      </w:r>
      <w:r>
        <w:rPr>
          <w:spacing w:val="-3"/>
        </w:rPr>
        <w:t> </w:t>
      </w:r>
      <w:r>
        <w:rPr/>
        <w:t>energies</w:t>
      </w:r>
      <w:r>
        <w:rPr>
          <w:spacing w:val="-3"/>
        </w:rPr>
        <w:t> </w:t>
      </w:r>
      <w:r>
        <w:rPr/>
        <w:t>on</w:t>
      </w:r>
      <w:r>
        <w:rPr>
          <w:spacing w:val="-3"/>
        </w:rPr>
        <w:t> </w:t>
      </w:r>
      <w:r>
        <w:rPr/>
        <w:t>the</w:t>
      </w:r>
      <w:r>
        <w:rPr>
          <w:spacing w:val="-3"/>
        </w:rPr>
        <w:t> </w:t>
      </w:r>
      <w:r>
        <w:rPr/>
        <w:t>right</w:t>
      </w:r>
      <w:r>
        <w:rPr>
          <w:spacing w:val="-5"/>
        </w:rPr>
        <w:t> </w:t>
      </w:r>
      <w:r>
        <w:rPr/>
        <w:t>mix</w:t>
      </w:r>
      <w:r>
        <w:rPr>
          <w:spacing w:val="-3"/>
        </w:rPr>
        <w:t> </w:t>
      </w:r>
      <w:r>
        <w:rPr/>
        <w:t>of</w:t>
      </w:r>
      <w:r>
        <w:rPr>
          <w:spacing w:val="-3"/>
        </w:rPr>
        <w:t> </w:t>
      </w:r>
      <w:r>
        <w:rPr/>
        <w:t>component</w:t>
      </w:r>
      <w:r>
        <w:rPr>
          <w:spacing w:val="-3"/>
        </w:rPr>
        <w:t> </w:t>
      </w:r>
      <w:r>
        <w:rPr/>
        <w:t>variables</w:t>
      </w:r>
      <w:r>
        <w:rPr>
          <w:spacing w:val="-3"/>
        </w:rPr>
        <w:t> </w:t>
      </w:r>
      <w:r>
        <w:rPr/>
        <w:t>that</w:t>
      </w:r>
      <w:r>
        <w:rPr>
          <w:spacing w:val="-2"/>
        </w:rPr>
        <w:t> </w:t>
      </w:r>
      <w:r>
        <w:rPr/>
        <w:t>make for a profitable outcome. Moreover, finding the best reversal wicks at important undervalued or overvalued areas will be vital to your success with this pattern, which will be a theme throughout the remainder of the text.</w:t>
      </w:r>
    </w:p>
    <w:p>
      <w:pPr>
        <w:pStyle w:val="BodyText"/>
      </w:pPr>
    </w:p>
    <w:p>
      <w:pPr>
        <w:pStyle w:val="BodyText"/>
        <w:ind w:left="139"/>
        <w:jc w:val="both"/>
      </w:pPr>
      <w:r>
        <w:rPr/>
        <w:t>PATTERN</w:t>
      </w:r>
      <w:r>
        <w:rPr>
          <w:spacing w:val="-10"/>
        </w:rPr>
        <w:t> </w:t>
      </w:r>
      <w:r>
        <w:rPr>
          <w:spacing w:val="-2"/>
        </w:rPr>
        <w:t>SUMMARY</w:t>
      </w:r>
    </w:p>
    <w:p>
      <w:pPr>
        <w:pStyle w:val="BodyText"/>
      </w:pPr>
    </w:p>
    <w:p>
      <w:pPr>
        <w:pStyle w:val="ListParagraph"/>
        <w:numPr>
          <w:ilvl w:val="0"/>
          <w:numId w:val="1"/>
        </w:numPr>
        <w:tabs>
          <w:tab w:pos="860" w:val="left" w:leader="none"/>
        </w:tabs>
        <w:spacing w:line="276" w:lineRule="auto" w:before="0" w:after="0"/>
        <w:ind w:left="859" w:right="498" w:hanging="360"/>
        <w:jc w:val="both"/>
        <w:rPr>
          <w:sz w:val="22"/>
        </w:rPr>
      </w:pPr>
      <w:r>
        <w:rPr>
          <w:sz w:val="22"/>
        </w:rPr>
        <w:t>The body is used to determine the size of the reversal wick. A wick that is between 2.5 to 3.5 times larger than the size of the body is </w:t>
      </w:r>
      <w:r>
        <w:rPr>
          <w:spacing w:val="-2"/>
          <w:sz w:val="22"/>
        </w:rPr>
        <w:t>ideal.</w:t>
      </w:r>
    </w:p>
    <w:p>
      <w:pPr>
        <w:pStyle w:val="ListParagraph"/>
        <w:numPr>
          <w:ilvl w:val="0"/>
          <w:numId w:val="1"/>
        </w:numPr>
        <w:tabs>
          <w:tab w:pos="860" w:val="left" w:leader="none"/>
        </w:tabs>
        <w:spacing w:line="276" w:lineRule="auto" w:before="0" w:after="0"/>
        <w:ind w:left="859" w:right="500" w:hanging="360"/>
        <w:jc w:val="both"/>
        <w:rPr>
          <w:sz w:val="22"/>
        </w:rPr>
      </w:pPr>
      <w:r>
        <w:rPr>
          <w:sz w:val="22"/>
        </w:rPr>
        <w:t>For a bullish reversal wick to exist, the close of the bar should fall within the top 35 percent of the overall range of the candle.</w:t>
      </w:r>
    </w:p>
    <w:p>
      <w:pPr>
        <w:pStyle w:val="ListParagraph"/>
        <w:numPr>
          <w:ilvl w:val="0"/>
          <w:numId w:val="1"/>
        </w:numPr>
        <w:tabs>
          <w:tab w:pos="860" w:val="left" w:leader="none"/>
        </w:tabs>
        <w:spacing w:line="276" w:lineRule="auto" w:before="0" w:after="0"/>
        <w:ind w:left="859" w:right="501" w:hanging="360"/>
        <w:jc w:val="both"/>
        <w:rPr>
          <w:sz w:val="22"/>
        </w:rPr>
      </w:pPr>
      <w:r>
        <w:rPr>
          <w:sz w:val="22"/>
        </w:rPr>
        <w:t>For a bearish reversal wick to exist, the close of the bar should fall within the bottom 35 percent of the overall range of the candle.</w:t>
      </w:r>
    </w:p>
    <w:p>
      <w:pPr>
        <w:pStyle w:val="BodyText"/>
      </w:pPr>
    </w:p>
    <w:p>
      <w:pPr>
        <w:pStyle w:val="BodyText"/>
        <w:spacing w:before="1"/>
        <w:ind w:left="139"/>
        <w:jc w:val="both"/>
      </w:pPr>
      <w:r>
        <w:rPr/>
        <w:t>PATTERN</w:t>
      </w:r>
      <w:r>
        <w:rPr>
          <w:spacing w:val="-10"/>
        </w:rPr>
        <w:t> </w:t>
      </w:r>
      <w:r>
        <w:rPr>
          <w:spacing w:val="-2"/>
        </w:rPr>
        <w:t>PSYCHOLOGY</w:t>
      </w:r>
    </w:p>
    <w:p>
      <w:pPr>
        <w:pStyle w:val="BodyText"/>
        <w:spacing w:before="10"/>
        <w:rPr>
          <w:sz w:val="21"/>
        </w:rPr>
      </w:pPr>
    </w:p>
    <w:p>
      <w:pPr>
        <w:pStyle w:val="BodyText"/>
        <w:ind w:left="139" w:right="496" w:firstLine="432"/>
        <w:jc w:val="both"/>
      </w:pPr>
      <w:r>
        <w:rPr/>
        <w:t>Figure 2.4 shows several types of bullish and bearish reversal wick candlesticks</w:t>
      </w:r>
      <w:r>
        <w:rPr>
          <w:spacing w:val="-2"/>
        </w:rPr>
        <w:t> </w:t>
      </w:r>
      <w:r>
        <w:rPr/>
        <w:t>that</w:t>
      </w:r>
      <w:r>
        <w:rPr>
          <w:spacing w:val="-2"/>
        </w:rPr>
        <w:t> </w:t>
      </w:r>
      <w:r>
        <w:rPr/>
        <w:t>can</w:t>
      </w:r>
      <w:r>
        <w:rPr>
          <w:spacing w:val="-2"/>
        </w:rPr>
        <w:t> </w:t>
      </w:r>
      <w:r>
        <w:rPr/>
        <w:t>all</w:t>
      </w:r>
      <w:r>
        <w:rPr>
          <w:spacing w:val="-2"/>
        </w:rPr>
        <w:t> </w:t>
      </w:r>
      <w:r>
        <w:rPr/>
        <w:t>signal</w:t>
      </w:r>
      <w:r>
        <w:rPr>
          <w:spacing w:val="-2"/>
        </w:rPr>
        <w:t> </w:t>
      </w:r>
      <w:r>
        <w:rPr/>
        <w:t>profitable</w:t>
      </w:r>
      <w:r>
        <w:rPr>
          <w:spacing w:val="-2"/>
        </w:rPr>
        <w:t> </w:t>
      </w:r>
      <w:r>
        <w:rPr/>
        <w:t>reversal</w:t>
      </w:r>
      <w:r>
        <w:rPr>
          <w:spacing w:val="-2"/>
        </w:rPr>
        <w:t> </w:t>
      </w:r>
      <w:r>
        <w:rPr/>
        <w:t>opportunities</w:t>
      </w:r>
      <w:r>
        <w:rPr>
          <w:spacing w:val="-3"/>
        </w:rPr>
        <w:t> </w:t>
      </w:r>
      <w:r>
        <w:rPr/>
        <w:t>in</w:t>
      </w:r>
      <w:r>
        <w:rPr>
          <w:spacing w:val="-2"/>
        </w:rPr>
        <w:t> </w:t>
      </w:r>
      <w:r>
        <w:rPr/>
        <w:t>the</w:t>
      </w:r>
      <w:r>
        <w:rPr>
          <w:spacing w:val="-2"/>
        </w:rPr>
        <w:t> </w:t>
      </w:r>
      <w:r>
        <w:rPr/>
        <w:t>market, especially if these patterns are paired with key pivot levels. In traditional candlestick jargon, these particular candlesticks would have names ranging from </w:t>
      </w:r>
      <w:r>
        <w:rPr>
          <w:i/>
        </w:rPr>
        <w:t>hammer</w:t>
      </w:r>
      <w:r>
        <w:rPr/>
        <w:t>, </w:t>
      </w:r>
      <w:r>
        <w:rPr>
          <w:i/>
        </w:rPr>
        <w:t>hanging man</w:t>
      </w:r>
      <w:r>
        <w:rPr/>
        <w:t>, </w:t>
      </w:r>
      <w:r>
        <w:rPr>
          <w:i/>
        </w:rPr>
        <w:t>inverted hammer</w:t>
      </w:r>
      <w:r>
        <w:rPr/>
        <w:t>, </w:t>
      </w:r>
      <w:r>
        <w:rPr>
          <w:i/>
        </w:rPr>
        <w:t>shooting star</w:t>
      </w:r>
      <w:r>
        <w:rPr/>
        <w:t>, </w:t>
      </w:r>
      <w:r>
        <w:rPr>
          <w:i/>
        </w:rPr>
        <w:t>gravestone</w:t>
      </w:r>
      <w:r>
        <w:rPr>
          <w:i/>
          <w:spacing w:val="40"/>
        </w:rPr>
        <w:t> </w:t>
      </w:r>
      <w:r>
        <w:rPr>
          <w:i/>
        </w:rPr>
        <w:t>doji</w:t>
      </w:r>
      <w:r>
        <w:rPr/>
        <w:t>, or </w:t>
      </w:r>
      <w:r>
        <w:rPr>
          <w:i/>
        </w:rPr>
        <w:t>dragonfly doji</w:t>
      </w:r>
      <w:r>
        <w:rPr/>
        <w:t>, depending on where the candle is placed in a trend. Now you can see why I simply call these candlesticks wicks, or even tails. Instead of fumbling over the proper naming of these candlesticks, I believe it is more important to know what these patterns represent. What are they telling you?</w:t>
      </w:r>
    </w:p>
    <w:p>
      <w:pPr>
        <w:pStyle w:val="BodyText"/>
        <w:spacing w:before="2"/>
        <w:rPr>
          <w:sz w:val="20"/>
        </w:rPr>
      </w:pPr>
      <w:r>
        <w:rPr/>
        <w:pict>
          <v:group style="position:absolute;margin-left:62.685001pt;margin-top:12.85684pt;width:288.7pt;height:141.4pt;mso-position-horizontal-relative:page;mso-position-vertical-relative:paragraph;z-index:-15714816;mso-wrap-distance-left:0;mso-wrap-distance-right:0" id="docshapegroup74" coordorigin="1254,257" coordsize="5774,2828">
            <v:rect style="position:absolute;left:1261;top:264;width:5759;height:2813" id="docshape75" filled="false" stroked="true" strokeweight=".75pt" strokecolor="#000000">
              <v:stroke dashstyle="solid"/>
            </v:rect>
            <v:line style="position:absolute" from="4288,2738" to="4798,2738" stroked="true" strokeweight=".75pt" strokecolor="#000000">
              <v:stroke dashstyle="solid"/>
            </v:line>
            <v:shape style="position:absolute;left:3134;top:1151;width:2;height:1576" id="docshape76" coordorigin="3134,1151" coordsize="0,1576" path="m3134,1475l3134,2727m3134,1151l3134,1303e" filled="false" stroked="true" strokeweight=".75pt" strokecolor="#000000">
              <v:path arrowok="t"/>
              <v:stroke dashstyle="solid"/>
            </v:shape>
            <v:rect style="position:absolute;left:2934;top:1301;width:411;height:174" id="docshape77" filled="false" stroked="true" strokeweight=".75pt" strokecolor="#000000">
              <v:stroke dashstyle="solid"/>
            </v:rect>
            <v:line style="position:absolute" from="1748,2727" to="1748,1151" stroked="true" strokeweight=".75pt" strokecolor="#000000">
              <v:stroke dashstyle="solid"/>
            </v:line>
            <v:line style="position:absolute" from="1508,1151" to="2018,1151" stroked="true" strokeweight=".75pt" strokecolor="#000000">
              <v:stroke dashstyle="solid"/>
            </v:line>
            <v:shape style="position:absolute;left:2476;top:1152;width:15;height:1575" id="docshape78" coordorigin="2477,1152" coordsize="15,1575" path="m2484,1475l2484,2727m2477,1152l2492,1152e" filled="false" stroked="true" strokeweight=".75pt" strokecolor="#000000">
              <v:path arrowok="t"/>
              <v:stroke dashstyle="solid"/>
            </v:shape>
            <v:rect style="position:absolute;left:2283;top:1151;width:411;height:324" id="docshape79" filled="false" stroked="true" strokeweight=".75pt" strokecolor="#000000">
              <v:stroke dashstyle="solid"/>
            </v:rect>
            <v:line style="position:absolute" from="3784,2727" to="3784,1151" stroked="true" strokeweight=".75pt" strokecolor="#000000">
              <v:stroke dashstyle="solid"/>
            </v:line>
            <v:rect style="position:absolute;left:3584;top:1302;width:410;height:173" id="docshape80" filled="true" fillcolor="#000000" stroked="false">
              <v:fill type="solid"/>
            </v:rect>
            <v:rect style="position:absolute;left:3584;top:1301;width:410;height:174" id="docshape81" filled="false" stroked="true" strokeweight=".75pt" strokecolor="#000000">
              <v:stroke dashstyle="solid"/>
            </v:rect>
            <v:line style="position:absolute" from="5927,2727" to="5927,1151" stroked="true" strokeweight=".75pt" strokecolor="#000000">
              <v:stroke dashstyle="solid"/>
            </v:line>
            <v:rect style="position:absolute;left:5727;top:2406;width:410;height:173" id="docshape82" filled="true" fillcolor="#000000" stroked="false">
              <v:fill type="solid"/>
            </v:rect>
            <v:rect style="position:absolute;left:5726;top:2405;width:411;height:174" id="docshape83" filled="false" stroked="true" strokeweight=".75pt" strokecolor="#000000">
              <v:stroke dashstyle="solid"/>
            </v:rect>
            <v:line style="position:absolute" from="4542,2727" to="4542,1151" stroked="true" strokeweight=".75pt" strokecolor="#000000">
              <v:stroke dashstyle="solid"/>
            </v:line>
            <v:line style="position:absolute" from="5276,2727" to="5276,1151" stroked="true" strokeweight=".75pt" strokecolor="#000000">
              <v:stroke dashstyle="solid"/>
            </v:line>
            <v:rect style="position:absolute;left:5077;top:2404;width:411;height:323" id="docshape84" filled="true" fillcolor="#000000" stroked="false">
              <v:fill type="solid"/>
            </v:rect>
            <v:rect style="position:absolute;left:5077;top:2404;width:410;height:323" id="docshape85" filled="false" stroked="true" strokeweight=".75pt" strokecolor="#000000">
              <v:stroke dashstyle="solid"/>
            </v:rect>
            <v:shape style="position:absolute;left:6577;top:1151;width:2;height:1576" id="docshape86" coordorigin="6577,1151" coordsize="0,1576" path="m6577,2579l6577,2727m6577,1151l6577,2407e" filled="false" stroked="true" strokeweight=".75pt" strokecolor="#000000">
              <v:path arrowok="t"/>
              <v:stroke dashstyle="solid"/>
            </v:shape>
            <v:rect style="position:absolute;left:6376;top:2405;width:411;height:174" id="docshape87" filled="false" stroked="true" strokeweight=".75pt" strokecolor="#000000">
              <v:stroke dashstyle="solid"/>
            </v:rect>
            <v:shape style="position:absolute;left:1261;top:257;width:5765;height:530" type="#_x0000_t202" id="docshape88" filled="true" fillcolor="#000000" stroked="false">
              <v:textbox inset="0,0,0,0">
                <w:txbxContent>
                  <w:p>
                    <w:pPr>
                      <w:spacing w:before="84"/>
                      <w:ind w:left="337" w:right="0" w:firstLine="0"/>
                      <w:jc w:val="left"/>
                      <w:rPr>
                        <w:rFonts w:ascii="Verdana"/>
                        <w:color w:val="000000"/>
                        <w:sz w:val="28"/>
                      </w:rPr>
                    </w:pPr>
                    <w:r>
                      <w:rPr>
                        <w:rFonts w:ascii="Verdana"/>
                        <w:color w:val="FFFFFF"/>
                        <w:sz w:val="28"/>
                      </w:rPr>
                      <w:t>Types</w:t>
                    </w:r>
                    <w:r>
                      <w:rPr>
                        <w:rFonts w:ascii="Verdana"/>
                        <w:color w:val="FFFFFF"/>
                        <w:spacing w:val="-16"/>
                        <w:sz w:val="28"/>
                      </w:rPr>
                      <w:t> </w:t>
                    </w:r>
                    <w:r>
                      <w:rPr>
                        <w:rFonts w:ascii="Verdana"/>
                        <w:color w:val="FFFFFF"/>
                        <w:sz w:val="28"/>
                      </w:rPr>
                      <w:t>of</w:t>
                    </w:r>
                    <w:r>
                      <w:rPr>
                        <w:rFonts w:ascii="Verdana"/>
                        <w:color w:val="FFFFFF"/>
                        <w:spacing w:val="-16"/>
                        <w:sz w:val="28"/>
                      </w:rPr>
                      <w:t> </w:t>
                    </w:r>
                    <w:r>
                      <w:rPr>
                        <w:rFonts w:ascii="Verdana"/>
                        <w:color w:val="FFFFFF"/>
                        <w:sz w:val="28"/>
                      </w:rPr>
                      <w:t>Candlestick</w:t>
                    </w:r>
                    <w:r>
                      <w:rPr>
                        <w:rFonts w:ascii="Verdana"/>
                        <w:color w:val="FFFFFF"/>
                        <w:spacing w:val="-17"/>
                        <w:sz w:val="28"/>
                      </w:rPr>
                      <w:t> </w:t>
                    </w:r>
                    <w:r>
                      <w:rPr>
                        <w:rFonts w:ascii="Verdana"/>
                        <w:color w:val="FFFFFF"/>
                        <w:sz w:val="28"/>
                      </w:rPr>
                      <w:t>Reversal</w:t>
                    </w:r>
                    <w:r>
                      <w:rPr>
                        <w:rFonts w:ascii="Verdana"/>
                        <w:color w:val="FFFFFF"/>
                        <w:spacing w:val="-16"/>
                        <w:sz w:val="28"/>
                      </w:rPr>
                      <w:t> </w:t>
                    </w:r>
                    <w:r>
                      <w:rPr>
                        <w:rFonts w:ascii="Verdana"/>
                        <w:color w:val="FFFFFF"/>
                        <w:spacing w:val="-2"/>
                        <w:sz w:val="28"/>
                      </w:rPr>
                      <w:t>Wicks</w:t>
                    </w:r>
                  </w:p>
                </w:txbxContent>
              </v:textbox>
              <v:fill type="solid"/>
              <w10:wrap type="none"/>
            </v:shape>
            <w10:wrap type="topAndBottom"/>
          </v:group>
        </w:pict>
      </w:r>
    </w:p>
    <w:p>
      <w:pPr>
        <w:spacing w:before="0"/>
        <w:ind w:left="658" w:right="0" w:firstLine="0"/>
        <w:jc w:val="left"/>
        <w:rPr>
          <w:sz w:val="16"/>
        </w:rPr>
      </w:pPr>
      <w:r>
        <w:rPr>
          <w:sz w:val="16"/>
        </w:rPr>
        <w:t>FIGURE</w:t>
      </w:r>
      <w:r>
        <w:rPr>
          <w:spacing w:val="4"/>
          <w:sz w:val="16"/>
        </w:rPr>
        <w:t> </w:t>
      </w:r>
      <w:r>
        <w:rPr>
          <w:sz w:val="16"/>
        </w:rPr>
        <w:t>2.4:</w:t>
      </w:r>
      <w:r>
        <w:rPr>
          <w:spacing w:val="5"/>
          <w:sz w:val="16"/>
        </w:rPr>
        <w:t> </w:t>
      </w:r>
      <w:r>
        <w:rPr>
          <w:sz w:val="16"/>
        </w:rPr>
        <w:t>Types</w:t>
      </w:r>
      <w:r>
        <w:rPr>
          <w:spacing w:val="5"/>
          <w:sz w:val="16"/>
        </w:rPr>
        <w:t> </w:t>
      </w:r>
      <w:r>
        <w:rPr>
          <w:sz w:val="16"/>
        </w:rPr>
        <w:t>of</w:t>
      </w:r>
      <w:r>
        <w:rPr>
          <w:spacing w:val="4"/>
          <w:sz w:val="16"/>
        </w:rPr>
        <w:t> </w:t>
      </w:r>
      <w:r>
        <w:rPr>
          <w:sz w:val="16"/>
        </w:rPr>
        <w:t>candlestick</w:t>
      </w:r>
      <w:r>
        <w:rPr>
          <w:spacing w:val="4"/>
          <w:sz w:val="16"/>
        </w:rPr>
        <w:t> </w:t>
      </w:r>
      <w:r>
        <w:rPr>
          <w:sz w:val="16"/>
        </w:rPr>
        <w:t>reversal</w:t>
      </w:r>
      <w:r>
        <w:rPr>
          <w:spacing w:val="5"/>
          <w:sz w:val="16"/>
        </w:rPr>
        <w:t> </w:t>
      </w:r>
      <w:r>
        <w:rPr>
          <w:spacing w:val="-2"/>
          <w:sz w:val="16"/>
        </w:rPr>
        <w:t>wicks</w:t>
      </w:r>
    </w:p>
    <w:p>
      <w:pPr>
        <w:spacing w:after="0"/>
        <w:jc w:val="left"/>
        <w:rPr>
          <w:sz w:val="16"/>
        </w:rPr>
        <w:sectPr>
          <w:pgSz w:w="8640" w:h="12960"/>
          <w:pgMar w:header="579" w:footer="1039" w:top="760" w:bottom="1260" w:left="580" w:right="580"/>
        </w:sectPr>
      </w:pPr>
    </w:p>
    <w:p>
      <w:pPr>
        <w:pStyle w:val="BodyText"/>
        <w:spacing w:before="3"/>
      </w:pPr>
    </w:p>
    <w:p>
      <w:pPr>
        <w:pStyle w:val="BodyText"/>
        <w:spacing w:before="64"/>
        <w:ind w:left="500" w:right="137" w:firstLine="432"/>
        <w:jc w:val="both"/>
      </w:pPr>
      <w:r>
        <w:rPr/>
        <w:t>When the market has been trending lower then suddenly forms a</w:t>
      </w:r>
      <w:r>
        <w:rPr>
          <w:spacing w:val="40"/>
        </w:rPr>
        <w:t> </w:t>
      </w:r>
      <w:r>
        <w:rPr/>
        <w:t>reversal wick candlestick, the likelihood of a reversal increases since buyers have finally begun to overwhelm the sellers. Selling pressure rules the decline, but responsive buyers entered the market due to perceived undervaluation.</w:t>
      </w:r>
      <w:r>
        <w:rPr>
          <w:spacing w:val="-1"/>
        </w:rPr>
        <w:t> </w:t>
      </w:r>
      <w:r>
        <w:rPr/>
        <w:t>For</w:t>
      </w:r>
      <w:r>
        <w:rPr>
          <w:spacing w:val="-2"/>
        </w:rPr>
        <w:t> </w:t>
      </w:r>
      <w:r>
        <w:rPr/>
        <w:t>the</w:t>
      </w:r>
      <w:r>
        <w:rPr>
          <w:spacing w:val="-1"/>
        </w:rPr>
        <w:t> </w:t>
      </w:r>
      <w:r>
        <w:rPr/>
        <w:t>reversal</w:t>
      </w:r>
      <w:r>
        <w:rPr>
          <w:spacing w:val="-1"/>
        </w:rPr>
        <w:t> </w:t>
      </w:r>
      <w:r>
        <w:rPr/>
        <w:t>wick</w:t>
      </w:r>
      <w:r>
        <w:rPr>
          <w:spacing w:val="-1"/>
        </w:rPr>
        <w:t> </w:t>
      </w:r>
      <w:r>
        <w:rPr/>
        <w:t>to</w:t>
      </w:r>
      <w:r>
        <w:rPr>
          <w:spacing w:val="-1"/>
        </w:rPr>
        <w:t> </w:t>
      </w:r>
      <w:r>
        <w:rPr/>
        <w:t>open</w:t>
      </w:r>
      <w:r>
        <w:rPr>
          <w:spacing w:val="-1"/>
        </w:rPr>
        <w:t> </w:t>
      </w:r>
      <w:r>
        <w:rPr/>
        <w:t>near</w:t>
      </w:r>
      <w:r>
        <w:rPr>
          <w:spacing w:val="-1"/>
        </w:rPr>
        <w:t> </w:t>
      </w:r>
      <w:r>
        <w:rPr/>
        <w:t>the</w:t>
      </w:r>
      <w:r>
        <w:rPr>
          <w:spacing w:val="-2"/>
        </w:rPr>
        <w:t> </w:t>
      </w:r>
      <w:r>
        <w:rPr/>
        <w:t>high</w:t>
      </w:r>
      <w:r>
        <w:rPr>
          <w:spacing w:val="-2"/>
        </w:rPr>
        <w:t> </w:t>
      </w:r>
      <w:r>
        <w:rPr/>
        <w:t>of</w:t>
      </w:r>
      <w:r>
        <w:rPr>
          <w:spacing w:val="-1"/>
        </w:rPr>
        <w:t> </w:t>
      </w:r>
      <w:r>
        <w:rPr/>
        <w:t>the</w:t>
      </w:r>
      <w:r>
        <w:rPr>
          <w:spacing w:val="-1"/>
        </w:rPr>
        <w:t> </w:t>
      </w:r>
      <w:r>
        <w:rPr/>
        <w:t>candle,</w:t>
      </w:r>
      <w:r>
        <w:rPr>
          <w:spacing w:val="-1"/>
        </w:rPr>
        <w:t> </w:t>
      </w:r>
      <w:r>
        <w:rPr/>
        <w:t>sell off sharply intra-bar, and then rally back toward the open of the candle is bullish, as it signifies that the bears no longer have control since they were not able to extend the decline of the candle, or the trend. Instead, the bulls were able to rally price from the lows of the candle and close the bar near the top of its range, which is bullish – at least for one bar, which hadn’t been the case during the bearish trend (see Figure 2.5).</w:t>
      </w:r>
    </w:p>
    <w:p>
      <w:pPr>
        <w:pStyle w:val="BodyText"/>
        <w:spacing w:before="1"/>
        <w:rPr>
          <w:sz w:val="20"/>
        </w:rPr>
      </w:pPr>
      <w:r>
        <w:rPr/>
        <w:pict>
          <v:group style="position:absolute;margin-left:80.684998pt;margin-top:12.792215pt;width:288.7pt;height:171.4pt;mso-position-horizontal-relative:page;mso-position-vertical-relative:paragraph;z-index:-15714304;mso-wrap-distance-left:0;mso-wrap-distance-right:0" id="docshapegroup89" coordorigin="1614,256" coordsize="5774,3428">
            <v:rect style="position:absolute;left:1621;top:263;width:5759;height:3413" id="docshape90" filled="false" stroked="true" strokeweight=".75pt" strokecolor="#000000">
              <v:stroke dashstyle="solid"/>
            </v:rect>
            <v:line style="position:absolute" from="6240,3254" to="6240,1678" stroked="true" strokeweight=".75pt" strokecolor="#000000">
              <v:stroke dashstyle="solid"/>
            </v:line>
            <v:rect style="position:absolute;left:6039;top:1679;width:411;height:323" id="docshape91" filled="true" fillcolor="#000000" stroked="false">
              <v:fill type="solid"/>
            </v:rect>
            <v:rect style="position:absolute;left:6039;top:1678;width:411;height:324" id="docshape92" filled="false" stroked="true" strokeweight=".75pt" strokecolor="#000000">
              <v:stroke dashstyle="solid"/>
            </v:rect>
            <v:line style="position:absolute" from="4488,3254" to="4488,1678" stroked="true" strokeweight=".75pt" strokecolor="#000000">
              <v:stroke dashstyle="solid"/>
            </v:line>
            <v:rect style="position:absolute;left:4287;top:1679;width:411;height:842" id="docshape93" filled="true" fillcolor="#000000" stroked="false">
              <v:fill type="solid"/>
            </v:rect>
            <v:rect style="position:absolute;left:4287;top:1678;width:411;height:843" id="docshape94" filled="false" stroked="true" strokeweight=".75pt" strokecolor="#000000">
              <v:stroke dashstyle="solid"/>
            </v:rect>
            <v:rect style="position:absolute;left:2562;top:1679;width:411;height:1575" id="docshape95" filled="true" fillcolor="#000000" stroked="false">
              <v:fill type="solid"/>
            </v:rect>
            <v:rect style="position:absolute;left:2562;top:1678;width:411;height:1576" id="docshape96" filled="false" stroked="true" strokeweight=".75pt" strokecolor="#000000">
              <v:stroke dashstyle="solid"/>
            </v:rect>
            <v:shape style="position:absolute;left:2370;top:1137;width:825;height:240" type="#_x0000_t202" id="docshape97" filled="false" stroked="false">
              <v:textbox inset="0,0,0,0">
                <w:txbxContent>
                  <w:p>
                    <w:pPr>
                      <w:spacing w:line="239" w:lineRule="exact" w:before="0"/>
                      <w:ind w:left="0" w:right="0" w:firstLine="0"/>
                      <w:jc w:val="left"/>
                      <w:rPr>
                        <w:rFonts w:ascii="Tahoma"/>
                        <w:sz w:val="24"/>
                      </w:rPr>
                    </w:pPr>
                    <w:r>
                      <w:rPr>
                        <w:rFonts w:ascii="Tahoma"/>
                        <w:sz w:val="24"/>
                      </w:rPr>
                      <w:t>Stage</w:t>
                    </w:r>
                    <w:r>
                      <w:rPr>
                        <w:rFonts w:ascii="Tahoma"/>
                        <w:spacing w:val="-10"/>
                        <w:sz w:val="24"/>
                      </w:rPr>
                      <w:t> 1</w:t>
                    </w:r>
                  </w:p>
                </w:txbxContent>
              </v:textbox>
              <w10:wrap type="none"/>
            </v:shape>
            <v:shape style="position:absolute;left:4083;top:1137;width:825;height:240" type="#_x0000_t202" id="docshape98" filled="false" stroked="false">
              <v:textbox inset="0,0,0,0">
                <w:txbxContent>
                  <w:p>
                    <w:pPr>
                      <w:spacing w:line="239" w:lineRule="exact" w:before="0"/>
                      <w:ind w:left="0" w:right="0" w:firstLine="0"/>
                      <w:jc w:val="left"/>
                      <w:rPr>
                        <w:rFonts w:ascii="Tahoma"/>
                        <w:sz w:val="24"/>
                      </w:rPr>
                    </w:pPr>
                    <w:r>
                      <w:rPr>
                        <w:rFonts w:ascii="Tahoma"/>
                        <w:sz w:val="24"/>
                      </w:rPr>
                      <w:t>Stage</w:t>
                    </w:r>
                    <w:r>
                      <w:rPr>
                        <w:rFonts w:ascii="Tahoma"/>
                        <w:spacing w:val="-10"/>
                        <w:sz w:val="24"/>
                      </w:rPr>
                      <w:t> 2</w:t>
                    </w:r>
                  </w:p>
                </w:txbxContent>
              </v:textbox>
              <w10:wrap type="none"/>
            </v:shape>
            <v:shape style="position:absolute;left:5850;top:1138;width:825;height:240" type="#_x0000_t202" id="docshape99" filled="false" stroked="false">
              <v:textbox inset="0,0,0,0">
                <w:txbxContent>
                  <w:p>
                    <w:pPr>
                      <w:spacing w:line="239" w:lineRule="exact" w:before="0"/>
                      <w:ind w:left="0" w:right="0" w:firstLine="0"/>
                      <w:jc w:val="left"/>
                      <w:rPr>
                        <w:rFonts w:ascii="Tahoma"/>
                        <w:sz w:val="24"/>
                      </w:rPr>
                    </w:pPr>
                    <w:r>
                      <w:rPr>
                        <w:rFonts w:ascii="Tahoma"/>
                        <w:sz w:val="24"/>
                      </w:rPr>
                      <w:t>Stage</w:t>
                    </w:r>
                    <w:r>
                      <w:rPr>
                        <w:rFonts w:ascii="Tahoma"/>
                        <w:spacing w:val="-10"/>
                        <w:sz w:val="24"/>
                      </w:rPr>
                      <w:t> 3</w:t>
                    </w:r>
                  </w:p>
                </w:txbxContent>
              </v:textbox>
              <w10:wrap type="none"/>
            </v:shape>
            <v:shape style="position:absolute;left:1621;top:255;width:5765;height:530" type="#_x0000_t202" id="docshape100" filled="true" fillcolor="#000000" stroked="false">
              <v:textbox inset="0,0,0,0">
                <w:txbxContent>
                  <w:p>
                    <w:pPr>
                      <w:spacing w:before="84"/>
                      <w:ind w:left="786" w:right="781" w:firstLine="0"/>
                      <w:jc w:val="center"/>
                      <w:rPr>
                        <w:rFonts w:ascii="Verdana"/>
                        <w:color w:val="000000"/>
                        <w:sz w:val="28"/>
                      </w:rPr>
                    </w:pPr>
                    <w:r>
                      <w:rPr>
                        <w:rFonts w:ascii="Verdana"/>
                        <w:color w:val="FFFFFF"/>
                        <w:sz w:val="28"/>
                      </w:rPr>
                      <w:t>The</w:t>
                    </w:r>
                    <w:r>
                      <w:rPr>
                        <w:rFonts w:ascii="Verdana"/>
                        <w:color w:val="FFFFFF"/>
                        <w:spacing w:val="-21"/>
                        <w:sz w:val="28"/>
                      </w:rPr>
                      <w:t> </w:t>
                    </w:r>
                    <w:r>
                      <w:rPr>
                        <w:rFonts w:ascii="Verdana"/>
                        <w:color w:val="FFFFFF"/>
                        <w:sz w:val="28"/>
                      </w:rPr>
                      <w:t>Stages</w:t>
                    </w:r>
                    <w:r>
                      <w:rPr>
                        <w:rFonts w:ascii="Verdana"/>
                        <w:color w:val="FFFFFF"/>
                        <w:spacing w:val="-20"/>
                        <w:sz w:val="28"/>
                      </w:rPr>
                      <w:t> </w:t>
                    </w:r>
                    <w:r>
                      <w:rPr>
                        <w:rFonts w:ascii="Verdana"/>
                        <w:color w:val="FFFFFF"/>
                        <w:sz w:val="28"/>
                      </w:rPr>
                      <w:t>of</w:t>
                    </w:r>
                    <w:r>
                      <w:rPr>
                        <w:rFonts w:ascii="Verdana"/>
                        <w:color w:val="FFFFFF"/>
                        <w:spacing w:val="-19"/>
                        <w:sz w:val="28"/>
                      </w:rPr>
                      <w:t> </w:t>
                    </w:r>
                    <w:r>
                      <w:rPr>
                        <w:rFonts w:ascii="Verdana"/>
                        <w:color w:val="FFFFFF"/>
                        <w:sz w:val="28"/>
                      </w:rPr>
                      <w:t>a</w:t>
                    </w:r>
                    <w:r>
                      <w:rPr>
                        <w:rFonts w:ascii="Verdana"/>
                        <w:color w:val="FFFFFF"/>
                        <w:spacing w:val="-19"/>
                        <w:sz w:val="28"/>
                      </w:rPr>
                      <w:t> </w:t>
                    </w:r>
                    <w:r>
                      <w:rPr>
                        <w:rFonts w:ascii="Verdana"/>
                        <w:color w:val="FFFFFF"/>
                        <w:sz w:val="28"/>
                      </w:rPr>
                      <w:t>Reversal</w:t>
                    </w:r>
                    <w:r>
                      <w:rPr>
                        <w:rFonts w:ascii="Verdana"/>
                        <w:color w:val="FFFFFF"/>
                        <w:spacing w:val="-19"/>
                        <w:sz w:val="28"/>
                      </w:rPr>
                      <w:t> </w:t>
                    </w:r>
                    <w:r>
                      <w:rPr>
                        <w:rFonts w:ascii="Verdana"/>
                        <w:color w:val="FFFFFF"/>
                        <w:spacing w:val="-4"/>
                        <w:sz w:val="28"/>
                      </w:rPr>
                      <w:t>Wick</w:t>
                    </w:r>
                  </w:p>
                </w:txbxContent>
              </v:textbox>
              <v:fill type="solid"/>
              <w10:wrap type="none"/>
            </v:shape>
            <w10:wrap type="topAndBottom"/>
          </v:group>
        </w:pict>
      </w:r>
    </w:p>
    <w:p>
      <w:pPr>
        <w:spacing w:before="0"/>
        <w:ind w:left="1018" w:right="0" w:firstLine="0"/>
        <w:jc w:val="left"/>
        <w:rPr>
          <w:sz w:val="16"/>
        </w:rPr>
      </w:pPr>
      <w:r>
        <w:rPr>
          <w:sz w:val="16"/>
        </w:rPr>
        <w:t>FIGURE</w:t>
      </w:r>
      <w:r>
        <w:rPr>
          <w:spacing w:val="1"/>
          <w:sz w:val="16"/>
        </w:rPr>
        <w:t> </w:t>
      </w:r>
      <w:r>
        <w:rPr>
          <w:sz w:val="16"/>
        </w:rPr>
        <w:t>2.5:</w:t>
      </w:r>
      <w:r>
        <w:rPr>
          <w:spacing w:val="2"/>
          <w:sz w:val="16"/>
        </w:rPr>
        <w:t> </w:t>
      </w:r>
      <w:r>
        <w:rPr>
          <w:sz w:val="16"/>
        </w:rPr>
        <w:t>The</w:t>
      </w:r>
      <w:r>
        <w:rPr>
          <w:spacing w:val="2"/>
          <w:sz w:val="16"/>
        </w:rPr>
        <w:t> </w:t>
      </w:r>
      <w:r>
        <w:rPr>
          <w:sz w:val="16"/>
        </w:rPr>
        <w:t>developmental</w:t>
      </w:r>
      <w:r>
        <w:rPr>
          <w:spacing w:val="3"/>
          <w:sz w:val="16"/>
        </w:rPr>
        <w:t> </w:t>
      </w:r>
      <w:r>
        <w:rPr>
          <w:sz w:val="16"/>
        </w:rPr>
        <w:t>stages</w:t>
      </w:r>
      <w:r>
        <w:rPr>
          <w:spacing w:val="1"/>
          <w:sz w:val="16"/>
        </w:rPr>
        <w:t> </w:t>
      </w:r>
      <w:r>
        <w:rPr>
          <w:sz w:val="16"/>
        </w:rPr>
        <w:t>of</w:t>
      </w:r>
      <w:r>
        <w:rPr>
          <w:spacing w:val="1"/>
          <w:sz w:val="16"/>
        </w:rPr>
        <w:t> </w:t>
      </w:r>
      <w:r>
        <w:rPr>
          <w:sz w:val="16"/>
        </w:rPr>
        <w:t>a</w:t>
      </w:r>
      <w:r>
        <w:rPr>
          <w:spacing w:val="2"/>
          <w:sz w:val="16"/>
        </w:rPr>
        <w:t> </w:t>
      </w:r>
      <w:r>
        <w:rPr>
          <w:sz w:val="16"/>
        </w:rPr>
        <w:t>bullish</w:t>
      </w:r>
      <w:r>
        <w:rPr>
          <w:spacing w:val="1"/>
          <w:sz w:val="16"/>
        </w:rPr>
        <w:t> </w:t>
      </w:r>
      <w:r>
        <w:rPr>
          <w:sz w:val="16"/>
        </w:rPr>
        <w:t>reversal</w:t>
      </w:r>
      <w:r>
        <w:rPr>
          <w:spacing w:val="1"/>
          <w:sz w:val="16"/>
        </w:rPr>
        <w:t> </w:t>
      </w:r>
      <w:r>
        <w:rPr>
          <w:spacing w:val="-4"/>
          <w:sz w:val="16"/>
        </w:rPr>
        <w:t>wick</w:t>
      </w:r>
    </w:p>
    <w:p>
      <w:pPr>
        <w:pStyle w:val="BodyText"/>
        <w:spacing w:before="10"/>
        <w:rPr>
          <w:sz w:val="21"/>
        </w:rPr>
      </w:pPr>
    </w:p>
    <w:p>
      <w:pPr>
        <w:pStyle w:val="BodyText"/>
        <w:spacing w:before="1"/>
        <w:ind w:left="499" w:right="135" w:firstLine="432"/>
        <w:jc w:val="both"/>
      </w:pPr>
      <w:r>
        <w:rPr/>
        <w:t>Essentially, when a reversal wick forms at the extreme of a trend, the market is telling you that the trend either has stalled or is on the verge of a reversal. Remember, the market auctions higher in search of sellers, and lower in search of buyers. When the market over-extends itself in search of market participants, it will find itself out of value, which means responsive market</w:t>
      </w:r>
      <w:r>
        <w:rPr>
          <w:spacing w:val="-3"/>
        </w:rPr>
        <w:t> </w:t>
      </w:r>
      <w:r>
        <w:rPr/>
        <w:t>participants</w:t>
      </w:r>
      <w:r>
        <w:rPr>
          <w:spacing w:val="-3"/>
        </w:rPr>
        <w:t> </w:t>
      </w:r>
      <w:r>
        <w:rPr/>
        <w:t>will</w:t>
      </w:r>
      <w:r>
        <w:rPr>
          <w:spacing w:val="-4"/>
        </w:rPr>
        <w:t> </w:t>
      </w:r>
      <w:r>
        <w:rPr/>
        <w:t>look</w:t>
      </w:r>
      <w:r>
        <w:rPr>
          <w:spacing w:val="-3"/>
        </w:rPr>
        <w:t> </w:t>
      </w:r>
      <w:r>
        <w:rPr/>
        <w:t>to</w:t>
      </w:r>
      <w:r>
        <w:rPr>
          <w:spacing w:val="-3"/>
        </w:rPr>
        <w:t> </w:t>
      </w:r>
      <w:r>
        <w:rPr/>
        <w:t>enter</w:t>
      </w:r>
      <w:r>
        <w:rPr>
          <w:spacing w:val="-3"/>
        </w:rPr>
        <w:t> </w:t>
      </w:r>
      <w:r>
        <w:rPr/>
        <w:t>the</w:t>
      </w:r>
      <w:r>
        <w:rPr>
          <w:spacing w:val="-3"/>
        </w:rPr>
        <w:t> </w:t>
      </w:r>
      <w:r>
        <w:rPr/>
        <w:t>market</w:t>
      </w:r>
      <w:r>
        <w:rPr>
          <w:spacing w:val="-3"/>
        </w:rPr>
        <w:t> </w:t>
      </w:r>
      <w:r>
        <w:rPr/>
        <w:t>to</w:t>
      </w:r>
      <w:r>
        <w:rPr>
          <w:spacing w:val="-3"/>
        </w:rPr>
        <w:t> </w:t>
      </w:r>
      <w:r>
        <w:rPr/>
        <w:t>push</w:t>
      </w:r>
      <w:r>
        <w:rPr>
          <w:spacing w:val="-3"/>
        </w:rPr>
        <w:t> </w:t>
      </w:r>
      <w:r>
        <w:rPr/>
        <w:t>price</w:t>
      </w:r>
      <w:r>
        <w:rPr>
          <w:spacing w:val="-3"/>
        </w:rPr>
        <w:t> </w:t>
      </w:r>
      <w:r>
        <w:rPr/>
        <w:t>back</w:t>
      </w:r>
      <w:r>
        <w:rPr>
          <w:spacing w:val="-3"/>
        </w:rPr>
        <w:t> </w:t>
      </w:r>
      <w:r>
        <w:rPr/>
        <w:t>toward</w:t>
      </w:r>
      <w:r>
        <w:rPr>
          <w:spacing w:val="-3"/>
        </w:rPr>
        <w:t> </w:t>
      </w:r>
      <w:r>
        <w:rPr/>
        <w:t>an area of perceived value. This will help price find a value area for two-sided trade to take place. When the market finds itself too far out of value, responsive market participants will sometimes enter the market with force, which</w:t>
      </w:r>
      <w:r>
        <w:rPr>
          <w:spacing w:val="-3"/>
        </w:rPr>
        <w:t> </w:t>
      </w:r>
      <w:r>
        <w:rPr/>
        <w:t>aggressively</w:t>
      </w:r>
      <w:r>
        <w:rPr>
          <w:spacing w:val="-4"/>
        </w:rPr>
        <w:t> </w:t>
      </w:r>
      <w:r>
        <w:rPr/>
        <w:t>pushes</w:t>
      </w:r>
      <w:r>
        <w:rPr>
          <w:spacing w:val="-3"/>
        </w:rPr>
        <w:t> </w:t>
      </w:r>
      <w:r>
        <w:rPr/>
        <w:t>price</w:t>
      </w:r>
      <w:r>
        <w:rPr>
          <w:spacing w:val="-3"/>
        </w:rPr>
        <w:t> </w:t>
      </w:r>
      <w:r>
        <w:rPr/>
        <w:t>in</w:t>
      </w:r>
      <w:r>
        <w:rPr>
          <w:spacing w:val="-3"/>
        </w:rPr>
        <w:t> </w:t>
      </w:r>
      <w:r>
        <w:rPr/>
        <w:t>the</w:t>
      </w:r>
      <w:r>
        <w:rPr>
          <w:spacing w:val="-4"/>
        </w:rPr>
        <w:t> </w:t>
      </w:r>
      <w:r>
        <w:rPr/>
        <w:t>opposite</w:t>
      </w:r>
      <w:r>
        <w:rPr>
          <w:spacing w:val="-3"/>
        </w:rPr>
        <w:t> </w:t>
      </w:r>
      <w:r>
        <w:rPr/>
        <w:t>direction,</w:t>
      </w:r>
      <w:r>
        <w:rPr>
          <w:spacing w:val="-3"/>
        </w:rPr>
        <w:t> </w:t>
      </w:r>
      <w:r>
        <w:rPr/>
        <w:t>essentially</w:t>
      </w:r>
      <w:r>
        <w:rPr>
          <w:spacing w:val="-4"/>
        </w:rPr>
        <w:t> </w:t>
      </w:r>
      <w:r>
        <w:rPr/>
        <w:t>forming reversal wick candlesticks. This pattern is perhaps the most telling and common reversal setup, but requires steadfast confirmation in order to capitalize on its power. Understanding the psychology behind these formations</w:t>
      </w:r>
      <w:r>
        <w:rPr>
          <w:spacing w:val="43"/>
        </w:rPr>
        <w:t> </w:t>
      </w:r>
      <w:r>
        <w:rPr/>
        <w:t>and</w:t>
      </w:r>
      <w:r>
        <w:rPr>
          <w:spacing w:val="43"/>
        </w:rPr>
        <w:t> </w:t>
      </w:r>
      <w:r>
        <w:rPr/>
        <w:t>learning</w:t>
      </w:r>
      <w:r>
        <w:rPr>
          <w:spacing w:val="44"/>
        </w:rPr>
        <w:t> </w:t>
      </w:r>
      <w:r>
        <w:rPr/>
        <w:t>to</w:t>
      </w:r>
      <w:r>
        <w:rPr>
          <w:spacing w:val="43"/>
        </w:rPr>
        <w:t> </w:t>
      </w:r>
      <w:r>
        <w:rPr/>
        <w:t>identify</w:t>
      </w:r>
      <w:r>
        <w:rPr>
          <w:spacing w:val="43"/>
        </w:rPr>
        <w:t> </w:t>
      </w:r>
      <w:r>
        <w:rPr/>
        <w:t>them</w:t>
      </w:r>
      <w:r>
        <w:rPr>
          <w:spacing w:val="45"/>
        </w:rPr>
        <w:t> </w:t>
      </w:r>
      <w:r>
        <w:rPr/>
        <w:t>quickly</w:t>
      </w:r>
      <w:r>
        <w:rPr>
          <w:spacing w:val="42"/>
        </w:rPr>
        <w:t> </w:t>
      </w:r>
      <w:r>
        <w:rPr/>
        <w:t>will</w:t>
      </w:r>
      <w:r>
        <w:rPr>
          <w:spacing w:val="44"/>
        </w:rPr>
        <w:t> </w:t>
      </w:r>
      <w:r>
        <w:rPr/>
        <w:t>allow</w:t>
      </w:r>
      <w:r>
        <w:rPr>
          <w:spacing w:val="43"/>
        </w:rPr>
        <w:t> </w:t>
      </w:r>
      <w:r>
        <w:rPr/>
        <w:t>you</w:t>
      </w:r>
      <w:r>
        <w:rPr>
          <w:spacing w:val="43"/>
        </w:rPr>
        <w:t> </w:t>
      </w:r>
      <w:r>
        <w:rPr/>
        <w:t>to</w:t>
      </w:r>
      <w:r>
        <w:rPr>
          <w:spacing w:val="44"/>
        </w:rPr>
        <w:t> </w:t>
      </w:r>
      <w:r>
        <w:rPr>
          <w:spacing w:val="-2"/>
        </w:rPr>
        <w:t>enter</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519"/>
      </w:pPr>
      <w:r>
        <w:rPr/>
        <w:t>positions well ahead of the crowd, especially if you’ve spotted these patterns at potentially overvalued or undervalued areas.</w:t>
      </w:r>
    </w:p>
    <w:p>
      <w:pPr>
        <w:pStyle w:val="BodyText"/>
        <w:spacing w:before="1"/>
      </w:pPr>
    </w:p>
    <w:p>
      <w:pPr>
        <w:pStyle w:val="BodyText"/>
        <w:ind w:left="139"/>
      </w:pPr>
      <w:r>
        <w:rPr/>
        <w:t>WICK</w:t>
      </w:r>
      <w:r>
        <w:rPr>
          <w:spacing w:val="-11"/>
        </w:rPr>
        <w:t> </w:t>
      </w:r>
      <w:r>
        <w:rPr/>
        <w:t>REVERSAL</w:t>
      </w:r>
      <w:r>
        <w:rPr>
          <w:spacing w:val="-10"/>
        </w:rPr>
        <w:t> </w:t>
      </w:r>
      <w:r>
        <w:rPr>
          <w:spacing w:val="-2"/>
        </w:rPr>
        <w:t>EXAMPLES</w:t>
      </w:r>
    </w:p>
    <w:p>
      <w:pPr>
        <w:pStyle w:val="BodyText"/>
        <w:spacing w:before="10"/>
        <w:rPr>
          <w:sz w:val="21"/>
        </w:rPr>
      </w:pPr>
    </w:p>
    <w:p>
      <w:pPr>
        <w:pStyle w:val="BodyText"/>
        <w:ind w:left="139" w:right="495" w:firstLine="432"/>
        <w:jc w:val="both"/>
      </w:pPr>
      <w:r>
        <w:rPr/>
        <w:t>Before we move ahead, I would like to mention a tremendous resource that I have provided for you in Appendix B. In this section you will find the code that I have written for the wick reversal system (file name: sysWickRev), so you can quickly and easily find and trade these reversal opportunities. Along with the wick reversal system, I have also included the code for many of the systems, indicators, and stops that I have created and use in my trading. I will discuss each of these snippets of code in greater detail</w:t>
      </w:r>
      <w:r>
        <w:rPr>
          <w:spacing w:val="-1"/>
        </w:rPr>
        <w:t> </w:t>
      </w:r>
      <w:r>
        <w:rPr/>
        <w:t>as</w:t>
      </w:r>
      <w:r>
        <w:rPr>
          <w:spacing w:val="-1"/>
        </w:rPr>
        <w:t> </w:t>
      </w:r>
      <w:r>
        <w:rPr/>
        <w:t>we</w:t>
      </w:r>
      <w:r>
        <w:rPr>
          <w:spacing w:val="-1"/>
        </w:rPr>
        <w:t> </w:t>
      </w:r>
      <w:r>
        <w:rPr/>
        <w:t>progress</w:t>
      </w:r>
      <w:r>
        <w:rPr>
          <w:spacing w:val="-1"/>
        </w:rPr>
        <w:t> </w:t>
      </w:r>
      <w:r>
        <w:rPr/>
        <w:t>through</w:t>
      </w:r>
      <w:r>
        <w:rPr>
          <w:spacing w:val="-1"/>
        </w:rPr>
        <w:t> </w:t>
      </w:r>
      <w:r>
        <w:rPr/>
        <w:t>the</w:t>
      </w:r>
      <w:r>
        <w:rPr>
          <w:spacing w:val="-1"/>
        </w:rPr>
        <w:t> </w:t>
      </w:r>
      <w:r>
        <w:rPr/>
        <w:t>book</w:t>
      </w:r>
      <w:r>
        <w:rPr>
          <w:spacing w:val="-2"/>
        </w:rPr>
        <w:t> </w:t>
      </w:r>
      <w:r>
        <w:rPr/>
        <w:t>and</w:t>
      </w:r>
      <w:r>
        <w:rPr>
          <w:spacing w:val="-1"/>
        </w:rPr>
        <w:t> </w:t>
      </w:r>
      <w:r>
        <w:rPr/>
        <w:t>as</w:t>
      </w:r>
      <w:r>
        <w:rPr>
          <w:spacing w:val="-1"/>
        </w:rPr>
        <w:t> </w:t>
      </w:r>
      <w:r>
        <w:rPr/>
        <w:t>it</w:t>
      </w:r>
      <w:r>
        <w:rPr>
          <w:spacing w:val="-2"/>
        </w:rPr>
        <w:t> </w:t>
      </w:r>
      <w:r>
        <w:rPr/>
        <w:t>pertains</w:t>
      </w:r>
      <w:r>
        <w:rPr>
          <w:spacing w:val="-1"/>
        </w:rPr>
        <w:t> </w:t>
      </w:r>
      <w:r>
        <w:rPr/>
        <w:t>to</w:t>
      </w:r>
      <w:r>
        <w:rPr>
          <w:spacing w:val="-1"/>
        </w:rPr>
        <w:t> </w:t>
      </w:r>
      <w:r>
        <w:rPr/>
        <w:t>the</w:t>
      </w:r>
      <w:r>
        <w:rPr>
          <w:spacing w:val="-1"/>
        </w:rPr>
        <w:t> </w:t>
      </w:r>
      <w:r>
        <w:rPr/>
        <w:t>material.</w:t>
      </w:r>
      <w:r>
        <w:rPr>
          <w:spacing w:val="-1"/>
        </w:rPr>
        <w:t> </w:t>
      </w:r>
      <w:r>
        <w:rPr/>
        <w:t>Each of these scripts can be used to create fully mechanical trading systems, or simply provide the basis for signal-generated prospecting. This is a truly powerful resource and I hope that it helps you in your trading as much as it has helped me.</w:t>
      </w:r>
    </w:p>
    <w:p>
      <w:pPr>
        <w:pStyle w:val="BodyText"/>
        <w:spacing w:before="1"/>
        <w:ind w:left="139" w:right="497" w:firstLine="432"/>
        <w:jc w:val="both"/>
      </w:pPr>
      <w:r>
        <w:rPr/>
        <w:t>The signals on the charts (red and green triangles) are from the actual scripts of the systems that we will discuss, which provide us with visual confirmation that a specific setup has met our criteria for a long or short opportunity. However, just because a signal has fired does not mean that a trade is warranted. Instead, every signal should be scrutinized and confirmed by additional factors, which we have already been begun to learn and will continue to learn as we move forward in the text.</w:t>
      </w:r>
    </w:p>
    <w:p>
      <w:pPr>
        <w:pStyle w:val="BodyText"/>
        <w:ind w:left="139" w:right="497" w:firstLine="432"/>
        <w:jc w:val="both"/>
      </w:pPr>
      <w:r>
        <w:rPr/>
        <w:t>Let’s take a look at our first example in Figure 2.6, which is a five- minute chart of the Natural Gas futures contract. In this example, we are looking for a 3:1 wick-to-body ratio and a close percentage of 15 percent. That is, we are looking for a wick that is three times larger than the size of</w:t>
      </w:r>
      <w:r>
        <w:rPr>
          <w:spacing w:val="40"/>
        </w:rPr>
        <w:t> </w:t>
      </w:r>
      <w:r>
        <w:rPr/>
        <w:t>the body and we also want the close of the bar to be in the top (or bottom) 15 percent of the candle. In this example, there are five candles that meet these criteria, which are highlighted by the signals on the charts.</w:t>
      </w:r>
    </w:p>
    <w:p>
      <w:pPr>
        <w:pStyle w:val="BodyText"/>
        <w:ind w:left="139" w:right="496" w:firstLine="432"/>
        <w:jc w:val="both"/>
      </w:pPr>
      <w:r>
        <w:rPr/>
        <w:t>Instantly, I am drawn to the first long signal and the third short signal. Why? These signals formed while testing the outer boundaries of the day’s initial balance. As you recall, on four of the six types of trading days</w:t>
      </w:r>
      <w:r>
        <w:rPr>
          <w:spacing w:val="80"/>
        </w:rPr>
        <w:t> </w:t>
      </w:r>
      <w:r>
        <w:rPr/>
        <w:t>(Typical Day, Trading Range Day, Sideways Day, and Expanded Typical Day), the initial balance will hold the entire day, or at least throughout much of the day. Therefore, when these two wick reversal opportunities formed, there was typical market behavioral confirmation behind the tests, which paved the way for nice entry opportunities.</w:t>
      </w:r>
    </w:p>
    <w:p>
      <w:pPr>
        <w:spacing w:after="0"/>
        <w:jc w:val="both"/>
        <w:sectPr>
          <w:pgSz w:w="8640" w:h="12960"/>
          <w:pgMar w:header="579" w:footer="1039"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37" name="image20.png"/>
            <wp:cNvGraphicFramePr>
              <a:graphicFrameLocks noChangeAspect="1"/>
            </wp:cNvGraphicFramePr>
            <a:graphic>
              <a:graphicData uri="http://schemas.openxmlformats.org/drawingml/2006/picture">
                <pic:pic>
                  <pic:nvPicPr>
                    <pic:cNvPr id="38" name="image20.png"/>
                    <pic:cNvPicPr/>
                  </pic:nvPicPr>
                  <pic:blipFill>
                    <a:blip r:embed="rId40"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2.6:</w:t>
      </w:r>
      <w:r>
        <w:rPr>
          <w:spacing w:val="1"/>
          <w:sz w:val="16"/>
        </w:rPr>
        <w:t> </w:t>
      </w:r>
      <w:r>
        <w:rPr>
          <w:sz w:val="16"/>
        </w:rPr>
        <w:t>The</w:t>
      </w:r>
      <w:r>
        <w:rPr>
          <w:spacing w:val="1"/>
          <w:sz w:val="16"/>
        </w:rPr>
        <w:t> </w:t>
      </w:r>
      <w:r>
        <w:rPr>
          <w:sz w:val="16"/>
        </w:rPr>
        <w:t>wick</w:t>
      </w:r>
      <w:r>
        <w:rPr>
          <w:spacing w:val="-1"/>
          <w:sz w:val="16"/>
        </w:rPr>
        <w:t> </w:t>
      </w:r>
      <w:r>
        <w:rPr>
          <w:sz w:val="16"/>
        </w:rPr>
        <w:t>reversal setup</w:t>
      </w:r>
      <w:r>
        <w:rPr>
          <w:spacing w:val="1"/>
          <w:sz w:val="16"/>
        </w:rPr>
        <w:t> </w:t>
      </w:r>
      <w:r>
        <w:rPr>
          <w:sz w:val="16"/>
        </w:rPr>
        <w:t>marks</w:t>
      </w:r>
      <w:r>
        <w:rPr>
          <w:spacing w:val="-1"/>
          <w:sz w:val="16"/>
        </w:rPr>
        <w:t> </w:t>
      </w:r>
      <w:r>
        <w:rPr>
          <w:sz w:val="16"/>
        </w:rPr>
        <w:t>several opportunities in</w:t>
      </w:r>
      <w:r>
        <w:rPr>
          <w:spacing w:val="-1"/>
          <w:sz w:val="16"/>
        </w:rPr>
        <w:t> </w:t>
      </w:r>
      <w:r>
        <w:rPr>
          <w:sz w:val="16"/>
        </w:rPr>
        <w:t>Natural Gas</w:t>
      </w:r>
      <w:r>
        <w:rPr>
          <w:spacing w:val="1"/>
          <w:sz w:val="16"/>
        </w:rPr>
        <w:t> </w:t>
      </w:r>
      <w:r>
        <w:rPr>
          <w:spacing w:val="-2"/>
          <w:sz w:val="16"/>
        </w:rPr>
        <w:t>futures.</w:t>
      </w:r>
    </w:p>
    <w:p>
      <w:pPr>
        <w:pStyle w:val="BodyText"/>
        <w:spacing w:before="2"/>
      </w:pPr>
    </w:p>
    <w:p>
      <w:pPr>
        <w:pStyle w:val="BodyText"/>
        <w:ind w:left="499" w:right="135" w:firstLine="432"/>
        <w:jc w:val="both"/>
      </w:pPr>
      <w:r>
        <w:rPr/>
        <w:t>While the other three wick reversal signals passed our setup criteria, some</w:t>
      </w:r>
      <w:r>
        <w:rPr>
          <w:spacing w:val="-1"/>
        </w:rPr>
        <w:t> </w:t>
      </w:r>
      <w:r>
        <w:rPr/>
        <w:t>fared</w:t>
      </w:r>
      <w:r>
        <w:rPr>
          <w:spacing w:val="-1"/>
        </w:rPr>
        <w:t> </w:t>
      </w:r>
      <w:r>
        <w:rPr/>
        <w:t>better</w:t>
      </w:r>
      <w:r>
        <w:rPr>
          <w:spacing w:val="-1"/>
        </w:rPr>
        <w:t> </w:t>
      </w:r>
      <w:r>
        <w:rPr/>
        <w:t>than</w:t>
      </w:r>
      <w:r>
        <w:rPr>
          <w:spacing w:val="-1"/>
        </w:rPr>
        <w:t> </w:t>
      </w:r>
      <w:r>
        <w:rPr/>
        <w:t>others.</w:t>
      </w:r>
      <w:r>
        <w:rPr>
          <w:spacing w:val="-1"/>
        </w:rPr>
        <w:t> </w:t>
      </w:r>
      <w:r>
        <w:rPr/>
        <w:t>This</w:t>
      </w:r>
      <w:r>
        <w:rPr>
          <w:spacing w:val="-1"/>
        </w:rPr>
        <w:t> </w:t>
      </w:r>
      <w:r>
        <w:rPr/>
        <w:t>is</w:t>
      </w:r>
      <w:r>
        <w:rPr>
          <w:spacing w:val="-1"/>
        </w:rPr>
        <w:t> </w:t>
      </w:r>
      <w:r>
        <w:rPr/>
        <w:t>due</w:t>
      </w:r>
      <w:r>
        <w:rPr>
          <w:spacing w:val="-1"/>
        </w:rPr>
        <w:t> </w:t>
      </w:r>
      <w:r>
        <w:rPr/>
        <w:t>to many</w:t>
      </w:r>
      <w:r>
        <w:rPr>
          <w:spacing w:val="-1"/>
        </w:rPr>
        <w:t> </w:t>
      </w:r>
      <w:r>
        <w:rPr/>
        <w:t>different</w:t>
      </w:r>
      <w:r>
        <w:rPr>
          <w:spacing w:val="-1"/>
        </w:rPr>
        <w:t> </w:t>
      </w:r>
      <w:r>
        <w:rPr/>
        <w:t>factors,</w:t>
      </w:r>
      <w:r>
        <w:rPr>
          <w:spacing w:val="-1"/>
        </w:rPr>
        <w:t> </w:t>
      </w:r>
      <w:r>
        <w:rPr/>
        <w:t>including whether price is above or below value. With at least two of the three signals, this seemed to be the case, which could have caused us to stay away from these signals. One easy method to help further confirmation for this type of setup, which may be a necessity in your early trials with this pattern, is requiring the close price of the bar following the reversal wick candlestick to be lower than the low of the wicking candle (reverse for longs). In each of</w:t>
      </w:r>
      <w:r>
        <w:rPr>
          <w:spacing w:val="40"/>
        </w:rPr>
        <w:t> </w:t>
      </w:r>
      <w:r>
        <w:rPr/>
        <w:t>the three signals that were not ideal, this simple criterion would have kept</w:t>
      </w:r>
      <w:r>
        <w:rPr>
          <w:spacing w:val="40"/>
        </w:rPr>
        <w:t> </w:t>
      </w:r>
      <w:r>
        <w:rPr/>
        <w:t>you out of the trade, as the bar following the reversal wick did not confirm the move. Coincidentally, the two wick reversal patterns that worked out perfectly had the close confirmation of the second bar.</w:t>
      </w:r>
    </w:p>
    <w:p>
      <w:pPr>
        <w:pStyle w:val="BodyText"/>
        <w:ind w:left="499" w:right="134" w:firstLine="432"/>
        <w:jc w:val="both"/>
      </w:pPr>
      <w:r>
        <w:rPr/>
        <w:t>Our second example is a five-minute chart of Research in Motion, Ltd. (ticker: RIMM). Figure 2.7 shows that the high and low during this day was highlighted by the wick reversal setup. Moreover, each of the four wick reversal candlesticks that fired signals helped to identify moves at key points in the chart. As I mentioned before, the trick to this setup is to understand the interrelated components of the candlestick, while also having the ability to decipher when to trust what the pattern is telling you. For this example, I</w:t>
      </w:r>
      <w:r>
        <w:rPr>
          <w:spacing w:val="40"/>
        </w:rPr>
        <w:t> </w:t>
      </w:r>
      <w:r>
        <w:rPr/>
        <w:t>used</w:t>
      </w:r>
      <w:r>
        <w:rPr>
          <w:spacing w:val="28"/>
        </w:rPr>
        <w:t> </w:t>
      </w:r>
      <w:r>
        <w:rPr/>
        <w:t>a</w:t>
      </w:r>
      <w:r>
        <w:rPr>
          <w:spacing w:val="28"/>
        </w:rPr>
        <w:t> </w:t>
      </w:r>
      <w:r>
        <w:rPr/>
        <w:t>3.5:1</w:t>
      </w:r>
      <w:r>
        <w:rPr>
          <w:spacing w:val="27"/>
        </w:rPr>
        <w:t> </w:t>
      </w:r>
      <w:r>
        <w:rPr/>
        <w:t>wick-to-body</w:t>
      </w:r>
      <w:r>
        <w:rPr>
          <w:spacing w:val="27"/>
        </w:rPr>
        <w:t> </w:t>
      </w:r>
      <w:r>
        <w:rPr/>
        <w:t>ratio</w:t>
      </w:r>
      <w:r>
        <w:rPr>
          <w:spacing w:val="28"/>
        </w:rPr>
        <w:t> </w:t>
      </w:r>
      <w:r>
        <w:rPr/>
        <w:t>with</w:t>
      </w:r>
      <w:r>
        <w:rPr>
          <w:spacing w:val="28"/>
        </w:rPr>
        <w:t> </w:t>
      </w:r>
      <w:r>
        <w:rPr/>
        <w:t>a</w:t>
      </w:r>
      <w:r>
        <w:rPr>
          <w:spacing w:val="28"/>
        </w:rPr>
        <w:t> </w:t>
      </w:r>
      <w:r>
        <w:rPr/>
        <w:t>25</w:t>
      </w:r>
      <w:r>
        <w:rPr>
          <w:spacing w:val="28"/>
        </w:rPr>
        <w:t> </w:t>
      </w:r>
      <w:r>
        <w:rPr/>
        <w:t>percent</w:t>
      </w:r>
      <w:r>
        <w:rPr>
          <w:spacing w:val="28"/>
        </w:rPr>
        <w:t> </w:t>
      </w:r>
      <w:r>
        <w:rPr/>
        <w:t>close</w:t>
      </w:r>
      <w:r>
        <w:rPr>
          <w:spacing w:val="28"/>
        </w:rPr>
        <w:t> </w:t>
      </w:r>
      <w:r>
        <w:rPr/>
        <w:t>percentage,</w:t>
      </w:r>
      <w:r>
        <w:rPr>
          <w:spacing w:val="28"/>
        </w:rPr>
        <w:t> </w:t>
      </w:r>
      <w:r>
        <w:rPr/>
        <w:t>which</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7"/>
        <w:jc w:val="both"/>
      </w:pPr>
      <w:r>
        <w:rPr/>
        <w:t>brought these opportunities to the forefront. If I were to loosen the</w:t>
      </w:r>
      <w:r>
        <w:rPr>
          <w:spacing w:val="40"/>
        </w:rPr>
        <w:t> </w:t>
      </w:r>
      <w:r>
        <w:rPr/>
        <w:t>parameters to a 2:1 ratio with and a close percentage of 40 percent, my chart would become littered with meaningless signals. You must be able to</w:t>
      </w:r>
      <w:r>
        <w:rPr>
          <w:spacing w:val="80"/>
        </w:rPr>
        <w:t> </w:t>
      </w:r>
      <w:r>
        <w:rPr/>
        <w:t>identify the right setup at the right point in the chart to maximize your potential with this setup.</w:t>
      </w:r>
    </w:p>
    <w:p>
      <w:pPr>
        <w:pStyle w:val="BodyText"/>
        <w:spacing w:before="2"/>
        <w:rPr>
          <w:sz w:val="20"/>
        </w:rPr>
      </w:pPr>
      <w:r>
        <w:rPr/>
        <w:drawing>
          <wp:anchor distT="0" distB="0" distL="0" distR="0" allowOverlap="1" layoutInCell="1" locked="0" behindDoc="0" simplePos="0" relativeHeight="29">
            <wp:simplePos x="0" y="0"/>
            <wp:positionH relativeFrom="page">
              <wp:posOffset>457200</wp:posOffset>
            </wp:positionH>
            <wp:positionV relativeFrom="paragraph">
              <wp:posOffset>162618</wp:posOffset>
            </wp:positionV>
            <wp:extent cx="4341977" cy="3129057"/>
            <wp:effectExtent l="0" t="0" r="0" b="0"/>
            <wp:wrapTopAndBottom/>
            <wp:docPr id="39" name="image21.png"/>
            <wp:cNvGraphicFramePr>
              <a:graphicFrameLocks noChangeAspect="1"/>
            </wp:cNvGraphicFramePr>
            <a:graphic>
              <a:graphicData uri="http://schemas.openxmlformats.org/drawingml/2006/picture">
                <pic:pic>
                  <pic:nvPicPr>
                    <pic:cNvPr id="40" name="image21.png"/>
                    <pic:cNvPicPr/>
                  </pic:nvPicPr>
                  <pic:blipFill>
                    <a:blip r:embed="rId41" cstate="print"/>
                    <a:stretch>
                      <a:fillRect/>
                    </a:stretch>
                  </pic:blipFill>
                  <pic:spPr>
                    <a:xfrm>
                      <a:off x="0" y="0"/>
                      <a:ext cx="4341977" cy="3129057"/>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2.7:</w:t>
      </w:r>
      <w:r>
        <w:rPr>
          <w:spacing w:val="1"/>
          <w:sz w:val="16"/>
        </w:rPr>
        <w:t> </w:t>
      </w:r>
      <w:r>
        <w:rPr>
          <w:sz w:val="16"/>
        </w:rPr>
        <w:t>The</w:t>
      </w:r>
      <w:r>
        <w:rPr>
          <w:spacing w:val="1"/>
          <w:sz w:val="16"/>
        </w:rPr>
        <w:t> </w:t>
      </w:r>
      <w:r>
        <w:rPr>
          <w:sz w:val="16"/>
        </w:rPr>
        <w:t>wick reversal</w:t>
      </w:r>
      <w:r>
        <w:rPr>
          <w:spacing w:val="-1"/>
          <w:sz w:val="16"/>
        </w:rPr>
        <w:t> </w:t>
      </w:r>
      <w:r>
        <w:rPr>
          <w:sz w:val="16"/>
        </w:rPr>
        <w:t>setup</w:t>
      </w:r>
      <w:r>
        <w:rPr>
          <w:spacing w:val="1"/>
          <w:sz w:val="16"/>
        </w:rPr>
        <w:t> </w:t>
      </w:r>
      <w:r>
        <w:rPr>
          <w:sz w:val="16"/>
        </w:rPr>
        <w:t>marks the high and</w:t>
      </w:r>
      <w:r>
        <w:rPr>
          <w:spacing w:val="-1"/>
          <w:sz w:val="16"/>
        </w:rPr>
        <w:t> </w:t>
      </w:r>
      <w:r>
        <w:rPr>
          <w:sz w:val="16"/>
        </w:rPr>
        <w:t>low in RIMM</w:t>
      </w:r>
      <w:r>
        <w:rPr>
          <w:spacing w:val="1"/>
          <w:sz w:val="16"/>
        </w:rPr>
        <w:t> </w:t>
      </w:r>
      <w:r>
        <w:rPr>
          <w:sz w:val="16"/>
        </w:rPr>
        <w:t>on this</w:t>
      </w:r>
      <w:r>
        <w:rPr>
          <w:spacing w:val="-1"/>
          <w:sz w:val="16"/>
        </w:rPr>
        <w:t> </w:t>
      </w:r>
      <w:r>
        <w:rPr>
          <w:spacing w:val="-4"/>
          <w:sz w:val="16"/>
        </w:rPr>
        <w:t>day.</w:t>
      </w:r>
    </w:p>
    <w:p>
      <w:pPr>
        <w:pStyle w:val="BodyText"/>
        <w:spacing w:before="7"/>
        <w:rPr>
          <w:sz w:val="21"/>
        </w:rPr>
      </w:pPr>
    </w:p>
    <w:p>
      <w:pPr>
        <w:pStyle w:val="Heading3"/>
        <w:jc w:val="both"/>
      </w:pPr>
      <w:r>
        <w:rPr/>
        <w:pict>
          <v:shape style="position:absolute;margin-left:36.779999pt;margin-top:18.290314pt;width:341pt;height:.1pt;mso-position-horizontal-relative:page;mso-position-vertical-relative:paragraph;z-index:-15713280;mso-wrap-distance-left:0;mso-wrap-distance-right:0" id="docshape101" coordorigin="736,366" coordsize="6820,0" path="m736,366l7555,366e" filled="false" stroked="true" strokeweight=".75pt" strokecolor="#000000">
            <v:path arrowok="t"/>
            <v:stroke dashstyle="solid"/>
            <w10:wrap type="topAndBottom"/>
          </v:shape>
        </w:pict>
      </w:r>
      <w:bookmarkStart w:name="_TOC_250078" w:id="13"/>
      <w:r>
        <w:rPr>
          <w:smallCaps/>
        </w:rPr>
        <w:t>The</w:t>
      </w:r>
      <w:r>
        <w:rPr>
          <w:smallCaps/>
          <w:spacing w:val="-12"/>
        </w:rPr>
        <w:t> </w:t>
      </w:r>
      <w:r>
        <w:rPr>
          <w:smallCaps/>
        </w:rPr>
        <w:t>Extreme</w:t>
      </w:r>
      <w:r>
        <w:rPr>
          <w:smallCaps/>
          <w:spacing w:val="-9"/>
        </w:rPr>
        <w:t> </w:t>
      </w:r>
      <w:r>
        <w:rPr>
          <w:smallCaps/>
        </w:rPr>
        <w:t>Reversal</w:t>
      </w:r>
      <w:r>
        <w:rPr>
          <w:smallCaps/>
          <w:spacing w:val="-14"/>
        </w:rPr>
        <w:t> </w:t>
      </w:r>
      <w:bookmarkEnd w:id="13"/>
      <w:r>
        <w:rPr>
          <w:smallCaps/>
          <w:spacing w:val="-4"/>
        </w:rPr>
        <w:t>Setup</w:t>
      </w:r>
    </w:p>
    <w:p>
      <w:pPr>
        <w:pStyle w:val="BodyText"/>
        <w:spacing w:before="203"/>
        <w:ind w:left="140" w:right="496" w:firstLine="720"/>
        <w:jc w:val="both"/>
      </w:pPr>
      <w:r>
        <w:rPr/>
        <w:t>The </w:t>
      </w:r>
      <w:r>
        <w:rPr>
          <w:i/>
        </w:rPr>
        <w:t>extreme reversal setup </w:t>
      </w:r>
      <w:r>
        <w:rPr/>
        <w:t>is a fabulous signal that I’ve back tested over countless years of data on many instruments, different timeframes, and using various trade management methodologies. The results have always been highly favorable. Needless to say, this setup remains a key staple of my trading arsenal. The extreme reversal setup is a classic “rubber band” trade. When a rubber band is stretched to its limits and then released, it snaps back in the direction from whence it came. We are looking to trade the snapback reversal with this setup. The basic setup occurs when an extremely large candle forms that is about twice the size of the average candlestick. While this candle may indicate that a continuation will be seen, the second bar of</w:t>
      </w:r>
      <w:r>
        <w:rPr>
          <w:spacing w:val="40"/>
        </w:rPr>
        <w:t> </w:t>
      </w:r>
      <w:r>
        <w:rPr/>
        <w:t>the</w:t>
      </w:r>
      <w:r>
        <w:rPr>
          <w:spacing w:val="40"/>
        </w:rPr>
        <w:t> </w:t>
      </w:r>
      <w:r>
        <w:rPr/>
        <w:t>pattern</w:t>
      </w:r>
      <w:r>
        <w:rPr>
          <w:spacing w:val="40"/>
        </w:rPr>
        <w:t> </w:t>
      </w:r>
      <w:r>
        <w:rPr/>
        <w:t>does</w:t>
      </w:r>
      <w:r>
        <w:rPr>
          <w:spacing w:val="40"/>
        </w:rPr>
        <w:t> </w:t>
      </w:r>
      <w:r>
        <w:rPr/>
        <w:t>not</w:t>
      </w:r>
      <w:r>
        <w:rPr>
          <w:spacing w:val="40"/>
        </w:rPr>
        <w:t> </w:t>
      </w:r>
      <w:r>
        <w:rPr/>
        <w:t>confirm</w:t>
      </w:r>
      <w:r>
        <w:rPr>
          <w:spacing w:val="40"/>
        </w:rPr>
        <w:t> </w:t>
      </w:r>
      <w:r>
        <w:rPr/>
        <w:t>a</w:t>
      </w:r>
      <w:r>
        <w:rPr>
          <w:spacing w:val="40"/>
        </w:rPr>
        <w:t> </w:t>
      </w:r>
      <w:r>
        <w:rPr/>
        <w:t>continuation</w:t>
      </w:r>
      <w:r>
        <w:rPr>
          <w:spacing w:val="40"/>
        </w:rPr>
        <w:t> </w:t>
      </w:r>
      <w:r>
        <w:rPr/>
        <w:t>and,</w:t>
      </w:r>
      <w:r>
        <w:rPr>
          <w:spacing w:val="40"/>
        </w:rPr>
        <w:t> </w:t>
      </w:r>
      <w:r>
        <w:rPr/>
        <w:t>instead,</w:t>
      </w:r>
      <w:r>
        <w:rPr>
          <w:spacing w:val="40"/>
        </w:rPr>
        <w:t> </w:t>
      </w:r>
      <w:r>
        <w:rPr/>
        <w:t>is</w:t>
      </w:r>
      <w:r>
        <w:rPr>
          <w:spacing w:val="40"/>
        </w:rPr>
        <w:t> </w:t>
      </w:r>
      <w:r>
        <w:rPr/>
        <w:t>an</w:t>
      </w:r>
      <w:r>
        <w:rPr>
          <w:spacing w:val="40"/>
        </w:rPr>
        <w:t> </w:t>
      </w:r>
      <w:r>
        <w:rPr/>
        <w:t>opposing</w:t>
      </w:r>
    </w:p>
    <w:p>
      <w:pPr>
        <w:spacing w:after="0"/>
        <w:jc w:val="both"/>
        <w:sectPr>
          <w:pgSz w:w="8640" w:h="12960"/>
          <w:pgMar w:header="579" w:footer="1039" w:top="760" w:bottom="1260" w:left="580" w:right="580"/>
        </w:sectPr>
      </w:pPr>
    </w:p>
    <w:p>
      <w:pPr>
        <w:pStyle w:val="BodyText"/>
        <w:spacing w:before="3"/>
      </w:pPr>
    </w:p>
    <w:p>
      <w:pPr>
        <w:pStyle w:val="BodyText"/>
        <w:spacing w:before="64"/>
        <w:ind w:left="500"/>
      </w:pPr>
      <w:r>
        <w:rPr/>
        <w:t>candle</w:t>
      </w:r>
      <w:r>
        <w:rPr>
          <w:spacing w:val="40"/>
        </w:rPr>
        <w:t> </w:t>
      </w:r>
      <w:r>
        <w:rPr/>
        <w:t>that</w:t>
      </w:r>
      <w:r>
        <w:rPr>
          <w:spacing w:val="40"/>
        </w:rPr>
        <w:t> </w:t>
      </w:r>
      <w:r>
        <w:rPr/>
        <w:t>signals</w:t>
      </w:r>
      <w:r>
        <w:rPr>
          <w:spacing w:val="40"/>
        </w:rPr>
        <w:t> </w:t>
      </w:r>
      <w:r>
        <w:rPr/>
        <w:t>an</w:t>
      </w:r>
      <w:r>
        <w:rPr>
          <w:spacing w:val="40"/>
        </w:rPr>
        <w:t> </w:t>
      </w:r>
      <w:r>
        <w:rPr/>
        <w:t>upcoming</w:t>
      </w:r>
      <w:r>
        <w:rPr>
          <w:spacing w:val="40"/>
        </w:rPr>
        <w:t> </w:t>
      </w:r>
      <w:r>
        <w:rPr/>
        <w:t>reversal.</w:t>
      </w:r>
      <w:r>
        <w:rPr>
          <w:spacing w:val="40"/>
        </w:rPr>
        <w:t> </w:t>
      </w:r>
      <w:r>
        <w:rPr/>
        <w:t>When</w:t>
      </w:r>
      <w:r>
        <w:rPr>
          <w:spacing w:val="40"/>
        </w:rPr>
        <w:t> </w:t>
      </w:r>
      <w:r>
        <w:rPr/>
        <w:t>this</w:t>
      </w:r>
      <w:r>
        <w:rPr>
          <w:spacing w:val="40"/>
        </w:rPr>
        <w:t> </w:t>
      </w:r>
      <w:r>
        <w:rPr/>
        <w:t>occurs,</w:t>
      </w:r>
      <w:r>
        <w:rPr>
          <w:spacing w:val="40"/>
        </w:rPr>
        <w:t> </w:t>
      </w:r>
      <w:r>
        <w:rPr/>
        <w:t>you</w:t>
      </w:r>
      <w:r>
        <w:rPr>
          <w:spacing w:val="40"/>
        </w:rPr>
        <w:t> </w:t>
      </w:r>
      <w:r>
        <w:rPr/>
        <w:t>have</w:t>
      </w:r>
      <w:r>
        <w:rPr>
          <w:spacing w:val="40"/>
        </w:rPr>
        <w:t> </w:t>
      </w:r>
      <w:r>
        <w:rPr/>
        <w:t>a fantastic opportunity to buy below value, or sell at a premium.</w:t>
      </w:r>
    </w:p>
    <w:p>
      <w:pPr>
        <w:pStyle w:val="BodyText"/>
        <w:spacing w:before="2"/>
      </w:pPr>
    </w:p>
    <w:p>
      <w:pPr>
        <w:spacing w:before="0"/>
        <w:ind w:left="549" w:right="188" w:firstLine="0"/>
        <w:jc w:val="center"/>
        <w:rPr>
          <w:i/>
          <w:sz w:val="22"/>
        </w:rPr>
      </w:pPr>
      <w:r>
        <w:rPr>
          <w:i/>
          <w:sz w:val="22"/>
        </w:rPr>
        <w:t>The</w:t>
      </w:r>
      <w:r>
        <w:rPr>
          <w:i/>
          <w:spacing w:val="-4"/>
          <w:sz w:val="22"/>
        </w:rPr>
        <w:t> </w:t>
      </w:r>
      <w:r>
        <w:rPr>
          <w:i/>
          <w:sz w:val="22"/>
        </w:rPr>
        <w:t>extreme</w:t>
      </w:r>
      <w:r>
        <w:rPr>
          <w:i/>
          <w:spacing w:val="-5"/>
          <w:sz w:val="22"/>
        </w:rPr>
        <w:t> </w:t>
      </w:r>
      <w:r>
        <w:rPr>
          <w:i/>
          <w:sz w:val="22"/>
        </w:rPr>
        <w:t>reversal</w:t>
      </w:r>
      <w:r>
        <w:rPr>
          <w:i/>
          <w:spacing w:val="-5"/>
          <w:sz w:val="22"/>
        </w:rPr>
        <w:t> </w:t>
      </w:r>
      <w:r>
        <w:rPr>
          <w:i/>
          <w:sz w:val="22"/>
        </w:rPr>
        <w:t>setup</w:t>
      </w:r>
      <w:r>
        <w:rPr>
          <w:i/>
          <w:spacing w:val="-5"/>
          <w:sz w:val="22"/>
        </w:rPr>
        <w:t> </w:t>
      </w:r>
      <w:r>
        <w:rPr>
          <w:i/>
          <w:sz w:val="22"/>
        </w:rPr>
        <w:t>looks</w:t>
      </w:r>
      <w:r>
        <w:rPr>
          <w:i/>
          <w:spacing w:val="-4"/>
          <w:sz w:val="22"/>
        </w:rPr>
        <w:t> </w:t>
      </w:r>
      <w:r>
        <w:rPr>
          <w:i/>
          <w:sz w:val="22"/>
        </w:rPr>
        <w:t>to</w:t>
      </w:r>
      <w:r>
        <w:rPr>
          <w:i/>
          <w:spacing w:val="-4"/>
          <w:sz w:val="22"/>
        </w:rPr>
        <w:t> </w:t>
      </w:r>
      <w:r>
        <w:rPr>
          <w:i/>
          <w:sz w:val="22"/>
        </w:rPr>
        <w:t>capitalize</w:t>
      </w:r>
      <w:r>
        <w:rPr>
          <w:i/>
          <w:spacing w:val="-4"/>
          <w:sz w:val="22"/>
        </w:rPr>
        <w:t> </w:t>
      </w:r>
      <w:r>
        <w:rPr>
          <w:i/>
          <w:sz w:val="22"/>
        </w:rPr>
        <w:t>on</w:t>
      </w:r>
      <w:r>
        <w:rPr>
          <w:i/>
          <w:spacing w:val="-4"/>
          <w:sz w:val="22"/>
        </w:rPr>
        <w:t> </w:t>
      </w:r>
      <w:r>
        <w:rPr>
          <w:i/>
          <w:sz w:val="22"/>
        </w:rPr>
        <w:t>over-extended</w:t>
      </w:r>
      <w:r>
        <w:rPr>
          <w:i/>
          <w:spacing w:val="-4"/>
          <w:sz w:val="22"/>
        </w:rPr>
        <w:t> </w:t>
      </w:r>
      <w:r>
        <w:rPr>
          <w:i/>
          <w:sz w:val="22"/>
        </w:rPr>
        <w:t>situations</w:t>
      </w:r>
      <w:r>
        <w:rPr>
          <w:i/>
          <w:spacing w:val="-5"/>
          <w:sz w:val="22"/>
        </w:rPr>
        <w:t> </w:t>
      </w:r>
      <w:r>
        <w:rPr>
          <w:i/>
          <w:sz w:val="22"/>
        </w:rPr>
        <w:t>in</w:t>
      </w:r>
      <w:r>
        <w:rPr>
          <w:i/>
          <w:sz w:val="22"/>
        </w:rPr>
        <w:t> the market, as responsive buyers and sellers will enter the market to push price back in the opposite direction.</w:t>
      </w:r>
    </w:p>
    <w:p>
      <w:pPr>
        <w:pStyle w:val="BodyText"/>
        <w:spacing w:before="10"/>
        <w:rPr>
          <w:i/>
          <w:sz w:val="21"/>
        </w:rPr>
      </w:pPr>
    </w:p>
    <w:p>
      <w:pPr>
        <w:pStyle w:val="BodyText"/>
        <w:ind w:left="499"/>
      </w:pPr>
      <w:r>
        <w:rPr/>
        <w:t>PATTERN</w:t>
      </w:r>
      <w:r>
        <w:rPr>
          <w:spacing w:val="-10"/>
        </w:rPr>
        <w:t> </w:t>
      </w:r>
      <w:r>
        <w:rPr>
          <w:spacing w:val="-2"/>
        </w:rPr>
        <w:t>STRUCTURE</w:t>
      </w:r>
    </w:p>
    <w:p>
      <w:pPr>
        <w:pStyle w:val="BodyText"/>
        <w:spacing w:before="10"/>
        <w:rPr>
          <w:sz w:val="21"/>
        </w:rPr>
      </w:pPr>
    </w:p>
    <w:p>
      <w:pPr>
        <w:pStyle w:val="BodyText"/>
        <w:spacing w:before="1"/>
        <w:ind w:left="499" w:right="136" w:firstLine="432"/>
        <w:jc w:val="both"/>
      </w:pPr>
      <w:r>
        <w:rPr/>
        <w:t>Let’s take a closer look at the structure of the extreme reversal setup. Figure 2.8 illustrates bullish and bearish extreme reversal examples. The first bar of the two-bar setup is the extreme bar, which is the basis for the setup. This bar can</w:t>
      </w:r>
      <w:r>
        <w:rPr>
          <w:spacing w:val="-1"/>
        </w:rPr>
        <w:t> </w:t>
      </w:r>
      <w:r>
        <w:rPr/>
        <w:t>be anywhere from 50 to 100 percent larger than the average size of the candles in the lookback period. This figure will vary, however, depending on the volatility of the given market that you are trading. If you</w:t>
      </w:r>
      <w:r>
        <w:rPr>
          <w:spacing w:val="40"/>
        </w:rPr>
        <w:t> </w:t>
      </w:r>
      <w:r>
        <w:rPr/>
        <w:t>are trading a market with extremely low volatility, then you will likely need to see a larger extreme candlestick to properly qualify this candle. Conversely, in markets with high volatility, you may need to downward adjust the size of the extreme bar.</w:t>
      </w:r>
    </w:p>
    <w:p>
      <w:pPr>
        <w:pStyle w:val="BodyText"/>
        <w:spacing w:before="1"/>
        <w:rPr>
          <w:sz w:val="20"/>
        </w:rPr>
      </w:pPr>
      <w:r>
        <w:rPr/>
        <w:pict>
          <v:group style="position:absolute;margin-left:76.125pt;margin-top:12.820711pt;width:297.75pt;height:196.2pt;mso-position-horizontal-relative:page;mso-position-vertical-relative:paragraph;z-index:-15712768;mso-wrap-distance-left:0;mso-wrap-distance-right:0" id="docshapegroup102" coordorigin="1523,256" coordsize="5955,3924">
            <v:shape style="position:absolute;left:1530;top:263;width:5940;height:3909" id="docshape103" coordorigin="1530,264" coordsize="5940,3909" path="m7470,264l1530,264,1530,4172,7470,4172,7470,264xm7470,277l1530,277,1530,785,7470,785,7470,277xm3398,1142l2732,1142,2732,3773,3398,3773,3398,1142xe" filled="false" stroked="true" strokeweight=".75pt" strokecolor="#000000">
              <v:path arrowok="t"/>
              <v:stroke dashstyle="solid"/>
            </v:shape>
            <v:shape style="position:absolute;left:6085;top:3553;width:143;height:143" id="docshape104" coordorigin="6085,3553" coordsize="143,143" path="m6156,3553l6085,3696,6228,3696,6156,3553xe" filled="false" stroked="true" strokeweight=".75pt" strokecolor="#000000">
              <v:path arrowok="t"/>
              <v:stroke dashstyle="solid"/>
            </v:shape>
            <v:shape style="position:absolute;left:3166;top:1313;width:143;height:143" id="docshape105" coordorigin="3167,1314" coordsize="143,143" path="m3167,1314l3310,1314,3239,1457,3167,1314xe" filled="false" stroked="true" strokeweight=".75pt" strokecolor="#000000">
              <v:path arrowok="t"/>
              <v:stroke dashstyle="solid"/>
            </v:shape>
            <v:line style="position:absolute" from="1916,3685" to="1916,3204" stroked="true" strokeweight=".75pt" strokecolor="#000000">
              <v:stroke dashstyle="solid"/>
            </v:line>
            <v:rect style="position:absolute;left:1801;top:3315;width:226;height:164" id="docshape106" filled="true" fillcolor="#000000" stroked="false">
              <v:fill type="solid"/>
            </v:rect>
            <v:rect style="position:absolute;left:1801;top:3314;width:226;height:165" id="docshape107" filled="false" stroked="true" strokeweight=".75pt" strokecolor="#000000">
              <v:stroke dashstyle="solid"/>
            </v:rect>
            <v:shape style="position:absolute;left:2231;top:3137;width:2;height:474" id="docshape108" coordorigin="2231,3138" coordsize="0,474" path="m2231,3508l2231,3611m2231,3138l2231,3271e" filled="false" stroked="true" strokeweight=".81pt" strokecolor="#000000">
              <v:path arrowok="t"/>
              <v:stroke dashstyle="solid"/>
            </v:shape>
            <v:rect style="position:absolute;left:2115;top:3271;width:227;height:237" id="docshape109" filled="false" stroked="true" strokeweight=".75pt" strokecolor="#000000">
              <v:stroke dashstyle="solid"/>
            </v:rect>
            <v:line style="position:absolute" from="2558,3793" to="2558,3113" stroked="true" strokeweight=".75pt" strokecolor="#000000">
              <v:stroke dashstyle="solid"/>
            </v:line>
            <v:rect style="position:absolute;left:2444;top:3269;width:226;height:232" id="docshape110" filled="true" fillcolor="#000000" stroked="false">
              <v:fill type="solid"/>
            </v:rect>
            <v:rect style="position:absolute;left:2444;top:3269;width:226;height:232" id="docshape111" filled="false" stroked="true" strokeweight=".75pt" strokecolor="#000000">
              <v:stroke dashstyle="solid"/>
            </v:rect>
            <v:line style="position:absolute" from="3234,2022" to="3235,1553" stroked="true" strokeweight=".75pt" strokecolor="#000000">
              <v:stroke dashstyle="solid"/>
            </v:line>
            <v:rect style="position:absolute;left:3118;top:1682;width:227;height:242" id="docshape112" filled="true" fillcolor="#000000" stroked="false">
              <v:fill type="solid"/>
            </v:rect>
            <v:rect style="position:absolute;left:3118;top:1682;width:226;height:242" id="docshape113" filled="false" stroked="true" strokeweight=".75pt" strokecolor="#000000">
              <v:stroke dashstyle="solid"/>
            </v:rect>
            <v:line style="position:absolute" from="3883,2840" to="3884,2368" stroked="true" strokeweight=".75pt" strokecolor="#000000">
              <v:stroke dashstyle="solid"/>
            </v:line>
            <v:rect style="position:absolute;left:3768;top:2413;width:226;height:472" id="docshape114" filled="true" fillcolor="#000000" stroked="false">
              <v:fill type="solid"/>
            </v:rect>
            <v:rect style="position:absolute;left:3768;top:2413;width:226;height:472" id="docshape115" filled="false" stroked="true" strokeweight=".75pt" strokecolor="#000000">
              <v:stroke dashstyle="solid"/>
            </v:rect>
            <v:line style="position:absolute" from="4200,3332" to="4201,2860" stroked="true" strokeweight=".75pt" strokecolor="#000000">
              <v:stroke dashstyle="solid"/>
            </v:line>
            <v:rect style="position:absolute;left:4084;top:2905;width:227;height:472" id="docshape116" filled="true" fillcolor="#000000" stroked="false">
              <v:fill type="solid"/>
            </v:rect>
            <v:rect style="position:absolute;left:4084;top:2905;width:226;height:472" id="docshape117" filled="false" stroked="true" strokeweight=".75pt" strokecolor="#000000">
              <v:stroke dashstyle="solid"/>
            </v:rect>
            <v:line style="position:absolute" from="3570,2333" to="3571,1860" stroked="true" strokeweight=".75pt" strokecolor="#000000">
              <v:stroke dashstyle="solid"/>
            </v:line>
            <v:rect style="position:absolute;left:3454;top:1905;width:227;height:472" id="docshape118" filled="true" fillcolor="#000000" stroked="false">
              <v:fill type="solid"/>
            </v:rect>
            <v:rect style="position:absolute;left:3454;top:1904;width:226;height:473" id="docshape119" filled="false" stroked="true" strokeweight=".75pt" strokecolor="#000000">
              <v:stroke dashstyle="solid"/>
            </v:rect>
            <v:line style="position:absolute" from="4840,1967" to="4840,1486" stroked="true" strokeweight=".75pt" strokecolor="#000000">
              <v:stroke dashstyle="solid"/>
            </v:line>
            <v:rect style="position:absolute;left:4725;top:1597;width:226;height:165" id="docshape120" filled="true" fillcolor="#000000" stroked="false">
              <v:fill type="solid"/>
            </v:rect>
            <v:rect style="position:absolute;left:4724;top:1597;width:227;height:164" id="docshape121" filled="false" stroked="true" strokeweight=".75pt" strokecolor="#000000">
              <v:stroke dashstyle="solid"/>
            </v:rect>
            <v:shape style="position:absolute;left:5155;top:1188;width:2;height:728" id="docshape122" coordorigin="5156,1189" coordsize="0,728" path="m5156,1760l5156,1917m5156,1189l5156,1392e" filled="false" stroked="true" strokeweight=".81pt" strokecolor="#000000">
              <v:path arrowok="t"/>
              <v:stroke dashstyle="solid"/>
            </v:shape>
            <v:rect style="position:absolute;left:5040;top:1391;width:226;height:369" id="docshape123" filled="false" stroked="true" strokeweight=".75pt" strokecolor="#000000">
              <v:stroke dashstyle="solid"/>
            </v:rect>
            <v:line style="position:absolute" from="5483,1890" to="5483,1210" stroked="true" strokeweight=".75pt" strokecolor="#000000">
              <v:stroke dashstyle="solid"/>
            </v:line>
            <v:rect style="position:absolute;left:5367;top:1366;width:227;height:233" id="docshape124" filled="true" fillcolor="#000000" stroked="false">
              <v:fill type="solid"/>
            </v:rect>
            <v:rect style="position:absolute;left:5367;top:1366;width:227;height:232" id="docshape125" filled="false" stroked="true" strokeweight=".75pt" strokecolor="#000000">
              <v:stroke dashstyle="solid"/>
            </v:rect>
            <v:shape style="position:absolute;left:6158;top:3015;width:2;height:470" id="docshape126" coordorigin="6158,3016" coordsize="0,470" path="m6158,3388l6158,3485m6158,3016l6158,3145e" filled="false" stroked="true" strokeweight=".75pt" strokecolor="#000000">
              <v:path arrowok="t"/>
              <v:stroke dashstyle="solid"/>
            </v:shape>
            <v:rect style="position:absolute;left:6043;top:3145;width:226;height:242" id="docshape127" filled="false" stroked="true" strokeweight=".75pt" strokecolor="#000000">
              <v:stroke dashstyle="solid"/>
            </v:rect>
            <v:line style="position:absolute" from="6494,3173" to="6494,3227" stroked="true" strokeweight=".75pt" strokecolor="#000000">
              <v:stroke dashstyle="solid"/>
            </v:line>
            <v:rect style="position:absolute;left:6379;top:2701;width:226;height:472" id="docshape128" filled="false" stroked="true" strokeweight=".75pt" strokecolor="#000000">
              <v:stroke dashstyle="solid"/>
            </v:rect>
            <v:line style="position:absolute" from="6799,2704" to="6799,2764" stroked="true" strokeweight=".81pt" strokecolor="#000000">
              <v:stroke dashstyle="solid"/>
            </v:line>
            <v:rect style="position:absolute;left:6682;top:2230;width:226;height:472" id="docshape129" filled="false" stroked="true" strokeweight=".75pt" strokecolor="#000000">
              <v:stroke dashstyle="solid"/>
            </v:rect>
            <v:line style="position:absolute" from="7111,2214" to="7111,2275" stroked="true" strokeweight=".81pt" strokecolor="#000000">
              <v:stroke dashstyle="solid"/>
            </v:line>
            <v:shape style="position:absolute;left:5656;top:1391;width:1564;height:2526" id="docshape130" coordorigin="5657,1392" coordsize="1564,2526" path="m7220,1742l6995,1742,6995,2214,7220,2214,7220,1742xm6322,1392l5657,1392,5657,3918,6322,3918,6322,1392xe" filled="false" stroked="true" strokeweight=".75pt" strokecolor="#000000">
              <v:path arrowok="t"/>
              <v:stroke dashstyle="solid"/>
            </v:shape>
            <v:shape style="position:absolute;left:2914;top:1240;width:2;height:2445" id="docshape131" coordorigin="2915,1241" coordsize="0,2445" path="m2915,3540l2915,3685m2915,1241l2915,1739e" filled="false" stroked="true" strokeweight=".75pt" strokecolor="#000000">
              <v:path arrowok="t"/>
              <v:stroke dashstyle="solid"/>
            </v:shape>
            <v:rect style="position:absolute;left:2799;top:1738;width:227;height:1802" id="docshape132" filled="false" stroked="true" strokeweight=".75pt" strokecolor="#000000">
              <v:stroke dashstyle="solid"/>
            </v:rect>
            <v:line style="position:absolute" from="5840,3838" to="5840,1462" stroked="true" strokeweight=".75pt" strokecolor="#000000">
              <v:stroke dashstyle="solid"/>
            </v:line>
            <v:rect style="position:absolute;left:5724;top:1557;width:226;height:1800" id="docshape133" filled="true" fillcolor="#000000" stroked="false">
              <v:fill type="solid"/>
            </v:rect>
            <v:rect style="position:absolute;left:5724;top:1556;width:226;height:1802" id="docshape134" filled="false" stroked="true" strokeweight=".75pt" strokecolor="#000000">
              <v:stroke dashstyle="solid"/>
            </v:rect>
            <v:shape style="position:absolute;left:1522;top:256;width:5955;height:536" type="#_x0000_t202" id="docshape135" filled="true" fillcolor="#000000" stroked="false">
              <v:textbox inset="0,0,0,0">
                <w:txbxContent>
                  <w:p>
                    <w:pPr>
                      <w:spacing w:before="98"/>
                      <w:ind w:left="1291" w:right="0" w:firstLine="0"/>
                      <w:jc w:val="left"/>
                      <w:rPr>
                        <w:rFonts w:ascii="Verdana"/>
                        <w:color w:val="000000"/>
                        <w:sz w:val="28"/>
                      </w:rPr>
                    </w:pPr>
                    <w:r>
                      <w:rPr>
                        <w:rFonts w:ascii="Verdana"/>
                        <w:color w:val="FFFFFF"/>
                        <w:sz w:val="28"/>
                      </w:rPr>
                      <w:t>Extreme</w:t>
                    </w:r>
                    <w:r>
                      <w:rPr>
                        <w:rFonts w:ascii="Verdana"/>
                        <w:color w:val="FFFFFF"/>
                        <w:spacing w:val="-23"/>
                        <w:sz w:val="28"/>
                      </w:rPr>
                      <w:t> </w:t>
                    </w:r>
                    <w:r>
                      <w:rPr>
                        <w:rFonts w:ascii="Verdana"/>
                        <w:color w:val="FFFFFF"/>
                        <w:sz w:val="28"/>
                      </w:rPr>
                      <w:t>Reversal</w:t>
                    </w:r>
                    <w:r>
                      <w:rPr>
                        <w:rFonts w:ascii="Verdana"/>
                        <w:color w:val="FFFFFF"/>
                        <w:spacing w:val="-23"/>
                        <w:sz w:val="28"/>
                      </w:rPr>
                      <w:t> </w:t>
                    </w:r>
                    <w:r>
                      <w:rPr>
                        <w:rFonts w:ascii="Verdana"/>
                        <w:color w:val="FFFFFF"/>
                        <w:spacing w:val="-2"/>
                        <w:sz w:val="28"/>
                      </w:rPr>
                      <w:t>Setup</w:t>
                    </w:r>
                  </w:p>
                </w:txbxContent>
              </v:textbox>
              <v:fill type="solid"/>
              <w10:wrap type="none"/>
            </v:shape>
            <w10:wrap type="topAndBottom"/>
          </v:group>
        </w:pict>
      </w:r>
    </w:p>
    <w:p>
      <w:pPr>
        <w:spacing w:before="0"/>
        <w:ind w:left="931" w:right="0" w:firstLine="0"/>
        <w:jc w:val="left"/>
        <w:rPr>
          <w:sz w:val="16"/>
        </w:rPr>
      </w:pPr>
      <w:r>
        <w:rPr>
          <w:sz w:val="16"/>
        </w:rPr>
        <w:t>FIGURE</w:t>
      </w:r>
      <w:r>
        <w:rPr>
          <w:spacing w:val="2"/>
          <w:sz w:val="16"/>
        </w:rPr>
        <w:t> </w:t>
      </w:r>
      <w:r>
        <w:rPr>
          <w:sz w:val="16"/>
        </w:rPr>
        <w:t>2.8:</w:t>
      </w:r>
      <w:r>
        <w:rPr>
          <w:spacing w:val="3"/>
          <w:sz w:val="16"/>
        </w:rPr>
        <w:t> </w:t>
      </w:r>
      <w:r>
        <w:rPr>
          <w:sz w:val="16"/>
        </w:rPr>
        <w:t>Diagram</w:t>
      </w:r>
      <w:r>
        <w:rPr>
          <w:spacing w:val="3"/>
          <w:sz w:val="16"/>
        </w:rPr>
        <w:t> </w:t>
      </w:r>
      <w:r>
        <w:rPr>
          <w:sz w:val="16"/>
        </w:rPr>
        <w:t>of</w:t>
      </w:r>
      <w:r>
        <w:rPr>
          <w:spacing w:val="3"/>
          <w:sz w:val="16"/>
        </w:rPr>
        <w:t> </w:t>
      </w:r>
      <w:r>
        <w:rPr>
          <w:sz w:val="16"/>
        </w:rPr>
        <w:t>the</w:t>
      </w:r>
      <w:r>
        <w:rPr>
          <w:spacing w:val="2"/>
          <w:sz w:val="16"/>
        </w:rPr>
        <w:t> </w:t>
      </w:r>
      <w:r>
        <w:rPr>
          <w:sz w:val="16"/>
        </w:rPr>
        <w:t>extreme</w:t>
      </w:r>
      <w:r>
        <w:rPr>
          <w:spacing w:val="2"/>
          <w:sz w:val="16"/>
        </w:rPr>
        <w:t> </w:t>
      </w:r>
      <w:r>
        <w:rPr>
          <w:sz w:val="16"/>
        </w:rPr>
        <w:t>reversal</w:t>
      </w:r>
      <w:r>
        <w:rPr>
          <w:spacing w:val="4"/>
          <w:sz w:val="16"/>
        </w:rPr>
        <w:t> </w:t>
      </w:r>
      <w:r>
        <w:rPr>
          <w:spacing w:val="-2"/>
          <w:sz w:val="16"/>
        </w:rPr>
        <w:t>setup</w:t>
      </w:r>
    </w:p>
    <w:p>
      <w:pPr>
        <w:pStyle w:val="BodyText"/>
        <w:spacing w:before="8"/>
        <w:rPr>
          <w:sz w:val="21"/>
        </w:rPr>
      </w:pPr>
    </w:p>
    <w:p>
      <w:pPr>
        <w:pStyle w:val="BodyText"/>
        <w:ind w:left="500" w:right="135" w:firstLine="432"/>
        <w:jc w:val="both"/>
      </w:pPr>
      <w:r>
        <w:rPr/>
        <w:t>The second characteristic to consider when judging the extreme bar of the pattern is the percentage of the total bar that is the body of the</w:t>
      </w:r>
      <w:r>
        <w:rPr>
          <w:spacing w:val="40"/>
        </w:rPr>
        <w:t> </w:t>
      </w:r>
      <w:r>
        <w:rPr/>
        <w:t>candlestick.</w:t>
      </w:r>
      <w:r>
        <w:rPr/>
        <w:t> That is, what percentage of the total range of the bar does the body of the candle encompass? This is a little tricky because you would like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5"/>
        <w:jc w:val="both"/>
      </w:pPr>
      <w:r>
        <w:rPr/>
        <w:t>to</w:t>
      </w:r>
      <w:r>
        <w:rPr>
          <w:spacing w:val="-1"/>
        </w:rPr>
        <w:t> </w:t>
      </w:r>
      <w:r>
        <w:rPr/>
        <w:t>see a</w:t>
      </w:r>
      <w:r>
        <w:rPr>
          <w:spacing w:val="-1"/>
        </w:rPr>
        <w:t> </w:t>
      </w:r>
      <w:r>
        <w:rPr/>
        <w:t>high</w:t>
      </w:r>
      <w:r>
        <w:rPr>
          <w:spacing w:val="-1"/>
        </w:rPr>
        <w:t> </w:t>
      </w:r>
      <w:r>
        <w:rPr/>
        <w:t>percentage</w:t>
      </w:r>
      <w:r>
        <w:rPr>
          <w:spacing w:val="-1"/>
        </w:rPr>
        <w:t> </w:t>
      </w:r>
      <w:r>
        <w:rPr/>
        <w:t>of the</w:t>
      </w:r>
      <w:r>
        <w:rPr>
          <w:spacing w:val="-1"/>
        </w:rPr>
        <w:t> </w:t>
      </w:r>
      <w:r>
        <w:rPr/>
        <w:t>candle covered</w:t>
      </w:r>
      <w:r>
        <w:rPr>
          <w:spacing w:val="-1"/>
        </w:rPr>
        <w:t> </w:t>
      </w:r>
      <w:r>
        <w:rPr/>
        <w:t>by</w:t>
      </w:r>
      <w:r>
        <w:rPr>
          <w:spacing w:val="-1"/>
        </w:rPr>
        <w:t> </w:t>
      </w:r>
      <w:r>
        <w:rPr/>
        <w:t>the</w:t>
      </w:r>
      <w:r>
        <w:rPr>
          <w:spacing w:val="-2"/>
        </w:rPr>
        <w:t> </w:t>
      </w:r>
      <w:r>
        <w:rPr/>
        <w:t>body,</w:t>
      </w:r>
      <w:r>
        <w:rPr>
          <w:spacing w:val="-1"/>
        </w:rPr>
        <w:t> </w:t>
      </w:r>
      <w:r>
        <w:rPr/>
        <w:t>but</w:t>
      </w:r>
      <w:r>
        <w:rPr>
          <w:spacing w:val="-1"/>
        </w:rPr>
        <w:t> </w:t>
      </w:r>
      <w:r>
        <w:rPr/>
        <w:t>not</w:t>
      </w:r>
      <w:r>
        <w:rPr>
          <w:spacing w:val="-2"/>
        </w:rPr>
        <w:t> </w:t>
      </w:r>
      <w:r>
        <w:rPr/>
        <w:t>so</w:t>
      </w:r>
      <w:r>
        <w:rPr>
          <w:spacing w:val="-1"/>
        </w:rPr>
        <w:t> </w:t>
      </w:r>
      <w:r>
        <w:rPr/>
        <w:t>high</w:t>
      </w:r>
      <w:r>
        <w:rPr>
          <w:spacing w:val="-1"/>
        </w:rPr>
        <w:t> </w:t>
      </w:r>
      <w:r>
        <w:rPr/>
        <w:t>as to discourage a potential reversal. I will typically allow any signal to pass</w:t>
      </w:r>
      <w:r>
        <w:rPr>
          <w:spacing w:val="40"/>
        </w:rPr>
        <w:t> </w:t>
      </w:r>
      <w:r>
        <w:rPr/>
        <w:t>that has a simple majority of coverage by the body. In other words, any percentage over 50 percent will usually suffice, but I will keep a close eye on any percentage that is above 85 percent. Why? Think about it for a moment, if the extreme bar has a close percentage of over 90 percent, there is a good chance that this bar could indeed lead to a continuation in the current direction. Therefore, you may be entering the market during a “resting” period ahead of a continuation. However, if the extreme bar has 60 percent coverage by the body, this is a better indication that a reversal may indeed occur, as a reversal may have already begun intrabar, especially if the wick portion of the candlestick has formed at the end of the candle where the reversal is to occur.</w:t>
      </w:r>
    </w:p>
    <w:p>
      <w:pPr>
        <w:pStyle w:val="BodyText"/>
        <w:spacing w:before="1"/>
        <w:ind w:left="140" w:right="497" w:firstLine="432"/>
        <w:jc w:val="both"/>
      </w:pPr>
      <w:r>
        <w:rPr/>
        <w:t>The second bar of the extreme reversal setup should be the opposite color of the first candle of the pattern. That is, if the first bar of the pattern is bullish (green or white), then the second bar of the pattern should be bearish (red or black). Obviously, the colors of the bars will depend on the charting software</w:t>
      </w:r>
      <w:r>
        <w:rPr>
          <w:spacing w:val="-2"/>
        </w:rPr>
        <w:t> </w:t>
      </w:r>
      <w:r>
        <w:rPr/>
        <w:t>you</w:t>
      </w:r>
      <w:r>
        <w:rPr>
          <w:spacing w:val="-4"/>
        </w:rPr>
        <w:t> </w:t>
      </w:r>
      <w:r>
        <w:rPr/>
        <w:t>use,</w:t>
      </w:r>
      <w:r>
        <w:rPr>
          <w:spacing w:val="-2"/>
        </w:rPr>
        <w:t> </w:t>
      </w:r>
      <w:r>
        <w:rPr/>
        <w:t>but</w:t>
      </w:r>
      <w:r>
        <w:rPr>
          <w:spacing w:val="-3"/>
        </w:rPr>
        <w:t> </w:t>
      </w:r>
      <w:r>
        <w:rPr/>
        <w:t>you</w:t>
      </w:r>
      <w:r>
        <w:rPr>
          <w:spacing w:val="-3"/>
        </w:rPr>
        <w:t> </w:t>
      </w:r>
      <w:r>
        <w:rPr/>
        <w:t>get</w:t>
      </w:r>
      <w:r>
        <w:rPr>
          <w:spacing w:val="-2"/>
        </w:rPr>
        <w:t> </w:t>
      </w:r>
      <w:r>
        <w:rPr/>
        <w:t>the</w:t>
      </w:r>
      <w:r>
        <w:rPr>
          <w:spacing w:val="-2"/>
        </w:rPr>
        <w:t> </w:t>
      </w:r>
      <w:r>
        <w:rPr/>
        <w:t>point.</w:t>
      </w:r>
      <w:r>
        <w:rPr>
          <w:spacing w:val="-3"/>
        </w:rPr>
        <w:t> </w:t>
      </w:r>
      <w:r>
        <w:rPr/>
        <w:t>The</w:t>
      </w:r>
      <w:r>
        <w:rPr>
          <w:spacing w:val="-2"/>
        </w:rPr>
        <w:t> </w:t>
      </w:r>
      <w:r>
        <w:rPr/>
        <w:t>second</w:t>
      </w:r>
      <w:r>
        <w:rPr>
          <w:spacing w:val="-2"/>
        </w:rPr>
        <w:t> </w:t>
      </w:r>
      <w:r>
        <w:rPr/>
        <w:t>candle</w:t>
      </w:r>
      <w:r>
        <w:rPr>
          <w:spacing w:val="-2"/>
        </w:rPr>
        <w:t> </w:t>
      </w:r>
      <w:r>
        <w:rPr/>
        <w:t>of</w:t>
      </w:r>
      <w:r>
        <w:rPr>
          <w:spacing w:val="-2"/>
        </w:rPr>
        <w:t> </w:t>
      </w:r>
      <w:r>
        <w:rPr/>
        <w:t>the</w:t>
      </w:r>
      <w:r>
        <w:rPr>
          <w:spacing w:val="-2"/>
        </w:rPr>
        <w:t> </w:t>
      </w:r>
      <w:r>
        <w:rPr/>
        <w:t>setup</w:t>
      </w:r>
      <w:r>
        <w:rPr>
          <w:spacing w:val="-2"/>
        </w:rPr>
        <w:t> </w:t>
      </w:r>
      <w:r>
        <w:rPr/>
        <w:t>is</w:t>
      </w:r>
      <w:r>
        <w:rPr>
          <w:spacing w:val="-2"/>
        </w:rPr>
        <w:t> </w:t>
      </w:r>
      <w:r>
        <w:rPr/>
        <w:t>just as important as the first, as this candle will either lead to a continuation or signal a reversal. Many times, this candle will be rather small compared to prior price activity, however, this is not always the case. As a matter of fact, if the bar strongly opposses the first, the odds of a reversal increase. That is,</w:t>
      </w:r>
      <w:r>
        <w:rPr>
          <w:spacing w:val="40"/>
        </w:rPr>
        <w:t> </w:t>
      </w:r>
      <w:r>
        <w:rPr/>
        <w:t>if the second bar of the pattern is a big, full-bodied candle that opposses the first, the market may be well on its way to a clear reversal opportunity.</w:t>
      </w:r>
    </w:p>
    <w:p>
      <w:pPr>
        <w:pStyle w:val="BodyText"/>
        <w:spacing w:before="10"/>
        <w:rPr>
          <w:sz w:val="21"/>
        </w:rPr>
      </w:pPr>
    </w:p>
    <w:p>
      <w:pPr>
        <w:pStyle w:val="BodyText"/>
        <w:ind w:left="140"/>
        <w:jc w:val="both"/>
      </w:pPr>
      <w:r>
        <w:rPr/>
        <w:t>PATTERN</w:t>
      </w:r>
      <w:r>
        <w:rPr>
          <w:spacing w:val="-10"/>
        </w:rPr>
        <w:t> </w:t>
      </w:r>
      <w:r>
        <w:rPr>
          <w:spacing w:val="-2"/>
        </w:rPr>
        <w:t>SUMMARY</w:t>
      </w:r>
    </w:p>
    <w:p>
      <w:pPr>
        <w:pStyle w:val="BodyText"/>
      </w:pPr>
    </w:p>
    <w:p>
      <w:pPr>
        <w:pStyle w:val="ListParagraph"/>
        <w:numPr>
          <w:ilvl w:val="0"/>
          <w:numId w:val="2"/>
        </w:numPr>
        <w:tabs>
          <w:tab w:pos="860" w:val="left" w:leader="none"/>
        </w:tabs>
        <w:spacing w:line="276" w:lineRule="auto" w:before="1" w:after="0"/>
        <w:ind w:left="859" w:right="499" w:hanging="360"/>
        <w:jc w:val="both"/>
        <w:rPr>
          <w:sz w:val="22"/>
        </w:rPr>
      </w:pPr>
      <w:r>
        <w:rPr>
          <w:sz w:val="22"/>
        </w:rPr>
        <w:t>The first bar of the pattern is about two times larger than the average size of the candles in the lookback period.</w:t>
      </w:r>
    </w:p>
    <w:p>
      <w:pPr>
        <w:pStyle w:val="ListParagraph"/>
        <w:numPr>
          <w:ilvl w:val="0"/>
          <w:numId w:val="2"/>
        </w:numPr>
        <w:tabs>
          <w:tab w:pos="860" w:val="left" w:leader="none"/>
        </w:tabs>
        <w:spacing w:line="276" w:lineRule="auto" w:before="0" w:after="0"/>
        <w:ind w:left="859" w:right="497" w:hanging="360"/>
        <w:jc w:val="both"/>
        <w:rPr>
          <w:sz w:val="22"/>
        </w:rPr>
      </w:pPr>
      <w:r>
        <w:rPr>
          <w:sz w:val="22"/>
        </w:rPr>
        <w:t>The body of the first bar of the pattern should encompass more than 50 percent of the bar’s total range, but usually not more than 85 </w:t>
      </w:r>
      <w:r>
        <w:rPr>
          <w:spacing w:val="-2"/>
          <w:sz w:val="22"/>
        </w:rPr>
        <w:t>percent.</w:t>
      </w:r>
    </w:p>
    <w:p>
      <w:pPr>
        <w:pStyle w:val="ListParagraph"/>
        <w:numPr>
          <w:ilvl w:val="0"/>
          <w:numId w:val="2"/>
        </w:numPr>
        <w:tabs>
          <w:tab w:pos="860" w:val="left" w:leader="none"/>
        </w:tabs>
        <w:spacing w:line="276" w:lineRule="auto" w:before="0" w:after="0"/>
        <w:ind w:left="859" w:right="499" w:hanging="360"/>
        <w:jc w:val="both"/>
        <w:rPr>
          <w:sz w:val="22"/>
        </w:rPr>
      </w:pPr>
      <w:r>
        <w:rPr>
          <w:sz w:val="22"/>
        </w:rPr>
        <w:t>The second bar of the pattern opposes the first. If the first bar of the pattern is bullish (C &gt; O), then the second bar must be bearish (C &lt; O). If the first bar is bearish (C &lt; O), then the second bar must be bullish (C &gt; O).</w:t>
      </w:r>
    </w:p>
    <w:p>
      <w:pPr>
        <w:spacing w:after="0" w:line="276" w:lineRule="auto"/>
        <w:jc w:val="both"/>
        <w:rPr>
          <w:sz w:val="22"/>
        </w:rPr>
        <w:sectPr>
          <w:pgSz w:w="8640" w:h="12960"/>
          <w:pgMar w:header="579" w:footer="1039" w:top="760" w:bottom="1260" w:left="580" w:right="580"/>
        </w:sectPr>
      </w:pPr>
    </w:p>
    <w:p>
      <w:pPr>
        <w:pStyle w:val="BodyText"/>
        <w:spacing w:before="3"/>
      </w:pPr>
    </w:p>
    <w:p>
      <w:pPr>
        <w:pStyle w:val="BodyText"/>
        <w:spacing w:before="64"/>
        <w:ind w:left="500"/>
      </w:pPr>
      <w:r>
        <w:rPr/>
        <w:t>PATTERN</w:t>
      </w:r>
      <w:r>
        <w:rPr>
          <w:spacing w:val="-10"/>
        </w:rPr>
        <w:t> </w:t>
      </w:r>
      <w:r>
        <w:rPr>
          <w:spacing w:val="-2"/>
        </w:rPr>
        <w:t>PSYCHOLOGY</w:t>
      </w:r>
    </w:p>
    <w:p>
      <w:pPr>
        <w:pStyle w:val="BodyText"/>
      </w:pPr>
    </w:p>
    <w:p>
      <w:pPr>
        <w:pStyle w:val="BodyText"/>
        <w:ind w:left="499" w:right="135" w:firstLine="432"/>
        <w:jc w:val="both"/>
      </w:pPr>
      <w:r>
        <w:rPr/>
        <w:t>The extreme reversal setup is a clever pattern that capitalizes on the ongoing psychological patterns of investors, traders, and institutions. Basically, the setup looks for an extreme pattern of selling pressure and then looks to fade this behavior to capture a bullish move higher (reverse for shorts). In essence, this setup is visually pointing out oversold and overbought</w:t>
      </w:r>
      <w:r>
        <w:rPr>
          <w:spacing w:val="-1"/>
        </w:rPr>
        <w:t> </w:t>
      </w:r>
      <w:r>
        <w:rPr/>
        <w:t>scenarios</w:t>
      </w:r>
      <w:r>
        <w:rPr>
          <w:spacing w:val="-1"/>
        </w:rPr>
        <w:t> </w:t>
      </w:r>
      <w:r>
        <w:rPr/>
        <w:t>that forces</w:t>
      </w:r>
      <w:r>
        <w:rPr>
          <w:spacing w:val="-1"/>
        </w:rPr>
        <w:t> </w:t>
      </w:r>
      <w:r>
        <w:rPr/>
        <w:t>responsive</w:t>
      </w:r>
      <w:r>
        <w:rPr>
          <w:spacing w:val="-1"/>
        </w:rPr>
        <w:t> </w:t>
      </w:r>
      <w:r>
        <w:rPr/>
        <w:t>buyers</w:t>
      </w:r>
      <w:r>
        <w:rPr>
          <w:spacing w:val="-1"/>
        </w:rPr>
        <w:t> </w:t>
      </w:r>
      <w:r>
        <w:rPr/>
        <w:t>and</w:t>
      </w:r>
      <w:r>
        <w:rPr>
          <w:spacing w:val="-1"/>
        </w:rPr>
        <w:t> </w:t>
      </w:r>
      <w:r>
        <w:rPr/>
        <w:t>sellers</w:t>
      </w:r>
      <w:r>
        <w:rPr>
          <w:spacing w:val="-1"/>
        </w:rPr>
        <w:t> </w:t>
      </w:r>
      <w:r>
        <w:rPr/>
        <w:t>to</w:t>
      </w:r>
      <w:r>
        <w:rPr>
          <w:spacing w:val="-1"/>
        </w:rPr>
        <w:t> </w:t>
      </w:r>
      <w:r>
        <w:rPr/>
        <w:t>come</w:t>
      </w:r>
      <w:r>
        <w:rPr>
          <w:spacing w:val="-1"/>
        </w:rPr>
        <w:t> </w:t>
      </w:r>
      <w:r>
        <w:rPr/>
        <w:t>out</w:t>
      </w:r>
      <w:r>
        <w:rPr>
          <w:spacing w:val="-1"/>
        </w:rPr>
        <w:t> </w:t>
      </w:r>
      <w:r>
        <w:rPr/>
        <w:t>of the dark and put their money to work—price has been over-extended and must be pushed back toward a fair area of value so two-sided trade can take </w:t>
      </w:r>
      <w:r>
        <w:rPr>
          <w:spacing w:val="-2"/>
        </w:rPr>
        <w:t>place.</w:t>
      </w:r>
    </w:p>
    <w:p>
      <w:pPr>
        <w:pStyle w:val="BodyText"/>
        <w:ind w:left="499" w:right="136" w:firstLine="432"/>
        <w:jc w:val="both"/>
      </w:pPr>
      <w:r>
        <w:rPr/>
        <w:t>This</w:t>
      </w:r>
      <w:r>
        <w:rPr>
          <w:spacing w:val="-3"/>
        </w:rPr>
        <w:t> </w:t>
      </w:r>
      <w:r>
        <w:rPr/>
        <w:t>setup</w:t>
      </w:r>
      <w:r>
        <w:rPr>
          <w:spacing w:val="-4"/>
        </w:rPr>
        <w:t> </w:t>
      </w:r>
      <w:r>
        <w:rPr/>
        <w:t>works</w:t>
      </w:r>
      <w:r>
        <w:rPr>
          <w:spacing w:val="-3"/>
        </w:rPr>
        <w:t> </w:t>
      </w:r>
      <w:r>
        <w:rPr/>
        <w:t>because</w:t>
      </w:r>
      <w:r>
        <w:rPr>
          <w:spacing w:val="-3"/>
        </w:rPr>
        <w:t> </w:t>
      </w:r>
      <w:r>
        <w:rPr/>
        <w:t>many</w:t>
      </w:r>
      <w:r>
        <w:rPr>
          <w:spacing w:val="-3"/>
        </w:rPr>
        <w:t> </w:t>
      </w:r>
      <w:r>
        <w:rPr/>
        <w:t>normal</w:t>
      </w:r>
      <w:r>
        <w:rPr>
          <w:spacing w:val="-3"/>
        </w:rPr>
        <w:t> </w:t>
      </w:r>
      <w:r>
        <w:rPr/>
        <w:t>investors,</w:t>
      </w:r>
      <w:r>
        <w:rPr>
          <w:spacing w:val="-3"/>
        </w:rPr>
        <w:t> </w:t>
      </w:r>
      <w:r>
        <w:rPr/>
        <w:t>or</w:t>
      </w:r>
      <w:r>
        <w:rPr>
          <w:spacing w:val="-3"/>
        </w:rPr>
        <w:t> </w:t>
      </w:r>
      <w:r>
        <w:rPr/>
        <w:t>casual</w:t>
      </w:r>
      <w:r>
        <w:rPr>
          <w:spacing w:val="-3"/>
        </w:rPr>
        <w:t> </w:t>
      </w:r>
      <w:r>
        <w:rPr/>
        <w:t>traders,</w:t>
      </w:r>
      <w:r>
        <w:rPr>
          <w:spacing w:val="-4"/>
        </w:rPr>
        <w:t> </w:t>
      </w:r>
      <w:r>
        <w:rPr/>
        <w:t>head for the exits once their trade begins to move sharply against them. When this happens, price becomes extremely overbought or</w:t>
      </w:r>
      <w:r>
        <w:rPr>
          <w:spacing w:val="-1"/>
        </w:rPr>
        <w:t> </w:t>
      </w:r>
      <w:r>
        <w:rPr/>
        <w:t>oversold, creating value for responsive buyers and sellers. Therefore, savvy professionals will see that price</w:t>
      </w:r>
      <w:r>
        <w:rPr>
          <w:spacing w:val="-2"/>
        </w:rPr>
        <w:t> </w:t>
      </w:r>
      <w:r>
        <w:rPr/>
        <w:t>is</w:t>
      </w:r>
      <w:r>
        <w:rPr>
          <w:spacing w:val="-2"/>
        </w:rPr>
        <w:t> </w:t>
      </w:r>
      <w:r>
        <w:rPr/>
        <w:t>above</w:t>
      </w:r>
      <w:r>
        <w:rPr>
          <w:spacing w:val="-2"/>
        </w:rPr>
        <w:t> </w:t>
      </w:r>
      <w:r>
        <w:rPr/>
        <w:t>or</w:t>
      </w:r>
      <w:r>
        <w:rPr>
          <w:spacing w:val="-2"/>
        </w:rPr>
        <w:t> </w:t>
      </w:r>
      <w:r>
        <w:rPr/>
        <w:t>below</w:t>
      </w:r>
      <w:r>
        <w:rPr>
          <w:spacing w:val="-3"/>
        </w:rPr>
        <w:t> </w:t>
      </w:r>
      <w:r>
        <w:rPr/>
        <w:t>value</w:t>
      </w:r>
      <w:r>
        <w:rPr>
          <w:spacing w:val="-2"/>
        </w:rPr>
        <w:t> </w:t>
      </w:r>
      <w:r>
        <w:rPr/>
        <w:t>and</w:t>
      </w:r>
      <w:r>
        <w:rPr>
          <w:spacing w:val="-2"/>
        </w:rPr>
        <w:t> </w:t>
      </w:r>
      <w:r>
        <w:rPr/>
        <w:t>will</w:t>
      </w:r>
      <w:r>
        <w:rPr>
          <w:spacing w:val="-2"/>
        </w:rPr>
        <w:t> </w:t>
      </w:r>
      <w:r>
        <w:rPr/>
        <w:t>seize</w:t>
      </w:r>
      <w:r>
        <w:rPr>
          <w:spacing w:val="-2"/>
        </w:rPr>
        <w:t> </w:t>
      </w:r>
      <w:r>
        <w:rPr/>
        <w:t>the</w:t>
      </w:r>
      <w:r>
        <w:rPr>
          <w:spacing w:val="-2"/>
        </w:rPr>
        <w:t> </w:t>
      </w:r>
      <w:r>
        <w:rPr/>
        <w:t>opportunity.</w:t>
      </w:r>
      <w:r>
        <w:rPr>
          <w:spacing w:val="-3"/>
        </w:rPr>
        <w:t> </w:t>
      </w:r>
      <w:r>
        <w:rPr/>
        <w:t>When</w:t>
      </w:r>
      <w:r>
        <w:rPr>
          <w:spacing w:val="-3"/>
        </w:rPr>
        <w:t> </w:t>
      </w:r>
      <w:r>
        <w:rPr/>
        <w:t>the</w:t>
      </w:r>
      <w:r>
        <w:rPr>
          <w:spacing w:val="-2"/>
        </w:rPr>
        <w:t> </w:t>
      </w:r>
      <w:r>
        <w:rPr/>
        <w:t>scared money is selling, the smart money begins to buy, and vice versa.</w:t>
      </w:r>
    </w:p>
    <w:p>
      <w:pPr>
        <w:pStyle w:val="BodyText"/>
        <w:ind w:left="499" w:right="137" w:firstLine="432"/>
        <w:jc w:val="both"/>
      </w:pPr>
      <w:r>
        <w:rPr/>
        <w:t>Look at it this way, when the market sells off sharply in one giant candlestick,</w:t>
      </w:r>
      <w:r>
        <w:rPr/>
        <w:t> traders that were short during the drop begin to cover their profitable positions by buying. Likewise, the traders that were on the sidelines during the sell-off now see value in lower prices and begin to buy, thus doubling up on the buying pressure. This helps to spark a sharp v- bottom reversal that pushes price in the opposite direction back toward fair </w:t>
      </w:r>
      <w:r>
        <w:rPr>
          <w:spacing w:val="-2"/>
        </w:rPr>
        <w:t>value.</w:t>
      </w:r>
    </w:p>
    <w:p>
      <w:pPr>
        <w:pStyle w:val="BodyText"/>
        <w:spacing w:before="11"/>
        <w:rPr>
          <w:sz w:val="21"/>
        </w:rPr>
      </w:pPr>
    </w:p>
    <w:p>
      <w:pPr>
        <w:pStyle w:val="BodyText"/>
        <w:ind w:left="499"/>
      </w:pPr>
      <w:r>
        <w:rPr/>
        <w:t>EXTREME</w:t>
      </w:r>
      <w:r>
        <w:rPr>
          <w:spacing w:val="-11"/>
        </w:rPr>
        <w:t> </w:t>
      </w:r>
      <w:r>
        <w:rPr/>
        <w:t>REVERSAL</w:t>
      </w:r>
      <w:r>
        <w:rPr>
          <w:spacing w:val="-10"/>
        </w:rPr>
        <w:t> </w:t>
      </w:r>
      <w:r>
        <w:rPr>
          <w:spacing w:val="-2"/>
        </w:rPr>
        <w:t>EXAMPLES</w:t>
      </w:r>
    </w:p>
    <w:p>
      <w:pPr>
        <w:pStyle w:val="BodyText"/>
      </w:pPr>
    </w:p>
    <w:p>
      <w:pPr>
        <w:pStyle w:val="BodyText"/>
        <w:ind w:left="499" w:right="135" w:firstLine="432"/>
        <w:jc w:val="right"/>
      </w:pPr>
      <w:r>
        <w:rPr/>
        <w:t>The extreme reversal setup is a very powerful pattern that recurs in the market due to basic trader psychology. As such, it is extremely important to know when this pattern is developing. I’ve written code to help me quickly identify</w:t>
      </w:r>
      <w:r>
        <w:rPr>
          <w:spacing w:val="74"/>
        </w:rPr>
        <w:t> </w:t>
      </w:r>
      <w:r>
        <w:rPr/>
        <w:t>this</w:t>
      </w:r>
      <w:r>
        <w:rPr>
          <w:spacing w:val="74"/>
        </w:rPr>
        <w:t> </w:t>
      </w:r>
      <w:r>
        <w:rPr/>
        <w:t>pattern</w:t>
      </w:r>
      <w:r>
        <w:rPr>
          <w:spacing w:val="74"/>
        </w:rPr>
        <w:t> </w:t>
      </w:r>
      <w:r>
        <w:rPr/>
        <w:t>in</w:t>
      </w:r>
      <w:r>
        <w:rPr>
          <w:spacing w:val="73"/>
        </w:rPr>
        <w:t> </w:t>
      </w:r>
      <w:r>
        <w:rPr/>
        <w:t>the</w:t>
      </w:r>
      <w:r>
        <w:rPr>
          <w:spacing w:val="74"/>
        </w:rPr>
        <w:t> </w:t>
      </w:r>
      <w:r>
        <w:rPr/>
        <w:t>market,</w:t>
      </w:r>
      <w:r>
        <w:rPr>
          <w:spacing w:val="72"/>
        </w:rPr>
        <w:t> </w:t>
      </w:r>
      <w:r>
        <w:rPr/>
        <w:t>which</w:t>
      </w:r>
      <w:r>
        <w:rPr>
          <w:spacing w:val="74"/>
        </w:rPr>
        <w:t> </w:t>
      </w:r>
      <w:r>
        <w:rPr/>
        <w:t>I</w:t>
      </w:r>
      <w:r>
        <w:rPr>
          <w:spacing w:val="74"/>
        </w:rPr>
        <w:t> </w:t>
      </w:r>
      <w:r>
        <w:rPr/>
        <w:t>have</w:t>
      </w:r>
      <w:r>
        <w:rPr>
          <w:spacing w:val="74"/>
        </w:rPr>
        <w:t> </w:t>
      </w:r>
      <w:r>
        <w:rPr/>
        <w:t>included</w:t>
      </w:r>
      <w:r>
        <w:rPr>
          <w:spacing w:val="74"/>
        </w:rPr>
        <w:t> </w:t>
      </w:r>
      <w:r>
        <w:rPr/>
        <w:t>for</w:t>
      </w:r>
      <w:r>
        <w:rPr>
          <w:spacing w:val="73"/>
        </w:rPr>
        <w:t> </w:t>
      </w:r>
      <w:r>
        <w:rPr/>
        <w:t>you</w:t>
      </w:r>
      <w:r>
        <w:rPr>
          <w:spacing w:val="74"/>
        </w:rPr>
        <w:t> </w:t>
      </w:r>
      <w:r>
        <w:rPr/>
        <w:t>in Appendix</w:t>
      </w:r>
      <w:r>
        <w:rPr>
          <w:spacing w:val="-1"/>
        </w:rPr>
        <w:t> </w:t>
      </w:r>
      <w:r>
        <w:rPr/>
        <w:t>B.</w:t>
      </w:r>
      <w:r>
        <w:rPr>
          <w:spacing w:val="-1"/>
        </w:rPr>
        <w:t> </w:t>
      </w:r>
      <w:r>
        <w:rPr/>
        <w:t>Let’s</w:t>
      </w:r>
      <w:r>
        <w:rPr>
          <w:spacing w:val="-1"/>
        </w:rPr>
        <w:t> </w:t>
      </w:r>
      <w:r>
        <w:rPr/>
        <w:t>take</w:t>
      </w:r>
      <w:r>
        <w:rPr>
          <w:spacing w:val="-1"/>
        </w:rPr>
        <w:t> </w:t>
      </w:r>
      <w:r>
        <w:rPr/>
        <w:t>a</w:t>
      </w:r>
      <w:r>
        <w:rPr>
          <w:spacing w:val="-1"/>
        </w:rPr>
        <w:t> </w:t>
      </w:r>
      <w:r>
        <w:rPr/>
        <w:t>look</w:t>
      </w:r>
      <w:r>
        <w:rPr>
          <w:spacing w:val="-1"/>
        </w:rPr>
        <w:t> </w:t>
      </w:r>
      <w:r>
        <w:rPr/>
        <w:t>at</w:t>
      </w:r>
      <w:r>
        <w:rPr>
          <w:spacing w:val="-1"/>
        </w:rPr>
        <w:t> </w:t>
      </w:r>
      <w:r>
        <w:rPr/>
        <w:t>how</w:t>
      </w:r>
      <w:r>
        <w:rPr>
          <w:spacing w:val="-1"/>
        </w:rPr>
        <w:t> </w:t>
      </w:r>
      <w:r>
        <w:rPr/>
        <w:t>the</w:t>
      </w:r>
      <w:r>
        <w:rPr>
          <w:spacing w:val="-1"/>
        </w:rPr>
        <w:t> </w:t>
      </w:r>
      <w:r>
        <w:rPr/>
        <w:t>extreme</w:t>
      </w:r>
      <w:r>
        <w:rPr>
          <w:spacing w:val="-1"/>
        </w:rPr>
        <w:t> </w:t>
      </w:r>
      <w:r>
        <w:rPr/>
        <w:t>reversal</w:t>
      </w:r>
      <w:r>
        <w:rPr>
          <w:spacing w:val="-1"/>
        </w:rPr>
        <w:t> </w:t>
      </w:r>
      <w:r>
        <w:rPr/>
        <w:t>system</w:t>
      </w:r>
      <w:r>
        <w:rPr>
          <w:spacing w:val="-1"/>
        </w:rPr>
        <w:t> </w:t>
      </w:r>
      <w:r>
        <w:rPr/>
        <w:t>(file</w:t>
      </w:r>
      <w:r>
        <w:rPr>
          <w:spacing w:val="-1"/>
        </w:rPr>
        <w:t> </w:t>
      </w:r>
      <w:r>
        <w:rPr/>
        <w:t>name: sysExtremeRev) helped to highlight key reversal opportunities in the market. Figure 2.9 shows a fifteen-minute chart of Sears Holdings Corporation (ticker: SHLD). The stock opened the day with a gap up, but quickly filled</w:t>
      </w:r>
      <w:r>
        <w:rPr>
          <w:spacing w:val="40"/>
        </w:rPr>
        <w:t> </w:t>
      </w:r>
      <w:r>
        <w:rPr/>
        <w:t>the gap in the first fifteen-minute bar of the day, forming a giant bar that is</w:t>
      </w:r>
      <w:r>
        <w:rPr>
          <w:spacing w:val="40"/>
        </w:rPr>
        <w:t> </w:t>
      </w:r>
      <w:r>
        <w:rPr/>
        <w:t>easily</w:t>
      </w:r>
      <w:r>
        <w:rPr>
          <w:spacing w:val="-3"/>
        </w:rPr>
        <w:t> </w:t>
      </w:r>
      <w:r>
        <w:rPr/>
        <w:t>two</w:t>
      </w:r>
      <w:r>
        <w:rPr>
          <w:spacing w:val="-3"/>
        </w:rPr>
        <w:t> </w:t>
      </w:r>
      <w:r>
        <w:rPr/>
        <w:t>to</w:t>
      </w:r>
      <w:r>
        <w:rPr>
          <w:spacing w:val="-2"/>
        </w:rPr>
        <w:t> </w:t>
      </w:r>
      <w:r>
        <w:rPr/>
        <w:t>three</w:t>
      </w:r>
      <w:r>
        <w:rPr>
          <w:spacing w:val="-3"/>
        </w:rPr>
        <w:t> </w:t>
      </w:r>
      <w:r>
        <w:rPr/>
        <w:t>times</w:t>
      </w:r>
      <w:r>
        <w:rPr>
          <w:spacing w:val="-2"/>
        </w:rPr>
        <w:t> </w:t>
      </w:r>
      <w:r>
        <w:rPr/>
        <w:t>larger</w:t>
      </w:r>
      <w:r>
        <w:rPr>
          <w:spacing w:val="-4"/>
        </w:rPr>
        <w:t> </w:t>
      </w:r>
      <w:r>
        <w:rPr/>
        <w:t>than</w:t>
      </w:r>
      <w:r>
        <w:rPr>
          <w:spacing w:val="-3"/>
        </w:rPr>
        <w:t> </w:t>
      </w:r>
      <w:r>
        <w:rPr/>
        <w:t>the</w:t>
      </w:r>
      <w:r>
        <w:rPr>
          <w:spacing w:val="-2"/>
        </w:rPr>
        <w:t> </w:t>
      </w:r>
      <w:r>
        <w:rPr/>
        <w:t>average</w:t>
      </w:r>
      <w:r>
        <w:rPr>
          <w:spacing w:val="-2"/>
        </w:rPr>
        <w:t> </w:t>
      </w:r>
      <w:r>
        <w:rPr/>
        <w:t>size</w:t>
      </w:r>
      <w:r>
        <w:rPr>
          <w:spacing w:val="-1"/>
        </w:rPr>
        <w:t> </w:t>
      </w:r>
      <w:r>
        <w:rPr/>
        <w:t>of</w:t>
      </w:r>
      <w:r>
        <w:rPr>
          <w:spacing w:val="-3"/>
        </w:rPr>
        <w:t> </w:t>
      </w:r>
      <w:r>
        <w:rPr/>
        <w:t>the</w:t>
      </w:r>
      <w:r>
        <w:rPr>
          <w:spacing w:val="-3"/>
        </w:rPr>
        <w:t> </w:t>
      </w:r>
      <w:r>
        <w:rPr/>
        <w:t>bars</w:t>
      </w:r>
      <w:r>
        <w:rPr>
          <w:spacing w:val="-2"/>
        </w:rPr>
        <w:t> </w:t>
      </w:r>
      <w:r>
        <w:rPr/>
        <w:t>that</w:t>
      </w:r>
      <w:r>
        <w:rPr>
          <w:spacing w:val="-3"/>
        </w:rPr>
        <w:t> </w:t>
      </w:r>
      <w:r>
        <w:rPr/>
        <w:t>preceded it. However, despite the bearish nature of this candlestick, the second fifteen- minute</w:t>
      </w:r>
      <w:r>
        <w:rPr>
          <w:spacing w:val="38"/>
        </w:rPr>
        <w:t> </w:t>
      </w:r>
      <w:r>
        <w:rPr/>
        <w:t>bar</w:t>
      </w:r>
      <w:r>
        <w:rPr>
          <w:spacing w:val="39"/>
        </w:rPr>
        <w:t> </w:t>
      </w:r>
      <w:r>
        <w:rPr/>
        <w:t>does</w:t>
      </w:r>
      <w:r>
        <w:rPr>
          <w:spacing w:val="38"/>
        </w:rPr>
        <w:t> </w:t>
      </w:r>
      <w:r>
        <w:rPr/>
        <w:t>not</w:t>
      </w:r>
      <w:r>
        <w:rPr>
          <w:spacing w:val="39"/>
        </w:rPr>
        <w:t> </w:t>
      </w:r>
      <w:r>
        <w:rPr/>
        <w:t>confirm</w:t>
      </w:r>
      <w:r>
        <w:rPr>
          <w:spacing w:val="38"/>
        </w:rPr>
        <w:t> </w:t>
      </w:r>
      <w:r>
        <w:rPr/>
        <w:t>a</w:t>
      </w:r>
      <w:r>
        <w:rPr>
          <w:spacing w:val="40"/>
        </w:rPr>
        <w:t> </w:t>
      </w:r>
      <w:r>
        <w:rPr/>
        <w:t>continuation</w:t>
      </w:r>
      <w:r>
        <w:rPr>
          <w:spacing w:val="38"/>
        </w:rPr>
        <w:t> </w:t>
      </w:r>
      <w:r>
        <w:rPr/>
        <w:t>lower.</w:t>
      </w:r>
      <w:r>
        <w:rPr>
          <w:spacing w:val="39"/>
        </w:rPr>
        <w:t> </w:t>
      </w:r>
      <w:r>
        <w:rPr/>
        <w:t>Instead,</w:t>
      </w:r>
      <w:r>
        <w:rPr>
          <w:spacing w:val="38"/>
        </w:rPr>
        <w:t> </w:t>
      </w:r>
      <w:r>
        <w:rPr/>
        <w:t>this</w:t>
      </w:r>
      <w:r>
        <w:rPr>
          <w:spacing w:val="39"/>
        </w:rPr>
        <w:t> </w:t>
      </w:r>
      <w:r>
        <w:rPr/>
        <w:t>candle</w:t>
      </w:r>
      <w:r>
        <w:rPr>
          <w:spacing w:val="38"/>
        </w:rPr>
        <w:t> </w:t>
      </w:r>
      <w:r>
        <w:rPr>
          <w:spacing w:val="-5"/>
        </w:rPr>
        <w:t>is</w:t>
      </w:r>
    </w:p>
    <w:p>
      <w:pPr>
        <w:pStyle w:val="BodyText"/>
        <w:spacing w:before="1"/>
        <w:ind w:left="499"/>
      </w:pPr>
      <w:r>
        <w:rPr/>
        <w:t>bullish</w:t>
      </w:r>
      <w:r>
        <w:rPr>
          <w:spacing w:val="-4"/>
        </w:rPr>
        <w:t> </w:t>
      </w:r>
      <w:r>
        <w:rPr/>
        <w:t>(C</w:t>
      </w:r>
      <w:r>
        <w:rPr>
          <w:spacing w:val="-4"/>
        </w:rPr>
        <w:t> </w:t>
      </w:r>
      <w:r>
        <w:rPr/>
        <w:t>&gt;</w:t>
      </w:r>
      <w:r>
        <w:rPr>
          <w:spacing w:val="-5"/>
        </w:rPr>
        <w:t> </w:t>
      </w:r>
      <w:r>
        <w:rPr/>
        <w:t>O)</w:t>
      </w:r>
      <w:r>
        <w:rPr>
          <w:spacing w:val="-4"/>
        </w:rPr>
        <w:t> </w:t>
      </w:r>
      <w:r>
        <w:rPr/>
        <w:t>and</w:t>
      </w:r>
      <w:r>
        <w:rPr>
          <w:spacing w:val="-4"/>
        </w:rPr>
        <w:t> </w:t>
      </w:r>
      <w:r>
        <w:rPr/>
        <w:t>eventually</w:t>
      </w:r>
      <w:r>
        <w:rPr>
          <w:spacing w:val="-5"/>
        </w:rPr>
        <w:t> </w:t>
      </w:r>
      <w:r>
        <w:rPr/>
        <w:t>leads</w:t>
      </w:r>
      <w:r>
        <w:rPr>
          <w:spacing w:val="-3"/>
        </w:rPr>
        <w:t> </w:t>
      </w:r>
      <w:r>
        <w:rPr/>
        <w:t>the</w:t>
      </w:r>
      <w:r>
        <w:rPr>
          <w:spacing w:val="-3"/>
        </w:rPr>
        <w:t> </w:t>
      </w:r>
      <w:r>
        <w:rPr/>
        <w:t>stock</w:t>
      </w:r>
      <w:r>
        <w:rPr>
          <w:spacing w:val="-4"/>
        </w:rPr>
        <w:t> </w:t>
      </w:r>
      <w:r>
        <w:rPr/>
        <w:t>higher</w:t>
      </w:r>
      <w:r>
        <w:rPr>
          <w:spacing w:val="-5"/>
        </w:rPr>
        <w:t> </w:t>
      </w:r>
      <w:r>
        <w:rPr/>
        <w:t>the</w:t>
      </w:r>
      <w:r>
        <w:rPr>
          <w:spacing w:val="-3"/>
        </w:rPr>
        <w:t> </w:t>
      </w:r>
      <w:r>
        <w:rPr/>
        <w:t>rest</w:t>
      </w:r>
      <w:r>
        <w:rPr>
          <w:spacing w:val="-4"/>
        </w:rPr>
        <w:t> </w:t>
      </w:r>
      <w:r>
        <w:rPr/>
        <w:t>of</w:t>
      </w:r>
      <w:r>
        <w:rPr>
          <w:spacing w:val="-3"/>
        </w:rPr>
        <w:t> </w:t>
      </w:r>
      <w:r>
        <w:rPr/>
        <w:t>the</w:t>
      </w:r>
      <w:r>
        <w:rPr>
          <w:spacing w:val="-4"/>
        </w:rPr>
        <w:t> day.</w:t>
      </w:r>
    </w:p>
    <w:p>
      <w:pPr>
        <w:spacing w:after="0"/>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317" cy="2983229"/>
            <wp:effectExtent l="0" t="0" r="0" b="0"/>
            <wp:docPr id="41" name="image22.png"/>
            <wp:cNvGraphicFramePr>
              <a:graphicFrameLocks noChangeAspect="1"/>
            </wp:cNvGraphicFramePr>
            <a:graphic>
              <a:graphicData uri="http://schemas.openxmlformats.org/drawingml/2006/picture">
                <pic:pic>
                  <pic:nvPicPr>
                    <pic:cNvPr id="42" name="image22.png"/>
                    <pic:cNvPicPr/>
                  </pic:nvPicPr>
                  <pic:blipFill>
                    <a:blip r:embed="rId42" cstate="print"/>
                    <a:stretch>
                      <a:fillRect/>
                    </a:stretch>
                  </pic:blipFill>
                  <pic:spPr>
                    <a:xfrm>
                      <a:off x="0" y="0"/>
                      <a:ext cx="4304317" cy="2983229"/>
                    </a:xfrm>
                    <a:prstGeom prst="rect">
                      <a:avLst/>
                    </a:prstGeom>
                  </pic:spPr>
                </pic:pic>
              </a:graphicData>
            </a:graphic>
          </wp:inline>
        </w:drawing>
      </w:r>
      <w:r>
        <w:rPr>
          <w:sz w:val="20"/>
        </w:rPr>
      </w:r>
    </w:p>
    <w:p>
      <w:pPr>
        <w:spacing w:before="48"/>
        <w:ind w:left="140" w:right="0" w:firstLine="0"/>
        <w:jc w:val="left"/>
        <w:rPr>
          <w:sz w:val="16"/>
        </w:rPr>
      </w:pPr>
      <w:r>
        <w:rPr>
          <w:sz w:val="16"/>
        </w:rPr>
        <w:t>FIGURE</w:t>
      </w:r>
      <w:r>
        <w:rPr>
          <w:spacing w:val="2"/>
          <w:sz w:val="16"/>
        </w:rPr>
        <w:t> </w:t>
      </w:r>
      <w:r>
        <w:rPr>
          <w:sz w:val="16"/>
        </w:rPr>
        <w:t>2.9:</w:t>
      </w:r>
      <w:r>
        <w:rPr>
          <w:spacing w:val="3"/>
          <w:sz w:val="16"/>
        </w:rPr>
        <w:t> </w:t>
      </w:r>
      <w:r>
        <w:rPr>
          <w:sz w:val="16"/>
        </w:rPr>
        <w:t>The</w:t>
      </w:r>
      <w:r>
        <w:rPr>
          <w:spacing w:val="3"/>
          <w:sz w:val="16"/>
        </w:rPr>
        <w:t> </w:t>
      </w:r>
      <w:r>
        <w:rPr>
          <w:sz w:val="16"/>
        </w:rPr>
        <w:t>extreme</w:t>
      </w:r>
      <w:r>
        <w:rPr>
          <w:spacing w:val="3"/>
          <w:sz w:val="16"/>
        </w:rPr>
        <w:t> </w:t>
      </w:r>
      <w:r>
        <w:rPr>
          <w:sz w:val="16"/>
        </w:rPr>
        <w:t>reversal</w:t>
      </w:r>
      <w:r>
        <w:rPr>
          <w:spacing w:val="2"/>
          <w:sz w:val="16"/>
        </w:rPr>
        <w:t> </w:t>
      </w:r>
      <w:r>
        <w:rPr>
          <w:sz w:val="16"/>
        </w:rPr>
        <w:t>setup</w:t>
      </w:r>
      <w:r>
        <w:rPr>
          <w:spacing w:val="2"/>
          <w:sz w:val="16"/>
        </w:rPr>
        <w:t> </w:t>
      </w:r>
      <w:r>
        <w:rPr>
          <w:sz w:val="16"/>
        </w:rPr>
        <w:t>leads</w:t>
      </w:r>
      <w:r>
        <w:rPr>
          <w:spacing w:val="2"/>
          <w:sz w:val="16"/>
        </w:rPr>
        <w:t> </w:t>
      </w:r>
      <w:r>
        <w:rPr>
          <w:sz w:val="16"/>
        </w:rPr>
        <w:t>to</w:t>
      </w:r>
      <w:r>
        <w:rPr>
          <w:spacing w:val="2"/>
          <w:sz w:val="16"/>
        </w:rPr>
        <w:t> </w:t>
      </w:r>
      <w:r>
        <w:rPr>
          <w:sz w:val="16"/>
        </w:rPr>
        <w:t>a</w:t>
      </w:r>
      <w:r>
        <w:rPr>
          <w:spacing w:val="2"/>
          <w:sz w:val="16"/>
        </w:rPr>
        <w:t> </w:t>
      </w:r>
      <w:r>
        <w:rPr>
          <w:spacing w:val="-2"/>
          <w:sz w:val="16"/>
        </w:rPr>
        <w:t>rally.</w:t>
      </w:r>
    </w:p>
    <w:p>
      <w:pPr>
        <w:pStyle w:val="BodyText"/>
        <w:spacing w:before="2"/>
      </w:pPr>
    </w:p>
    <w:p>
      <w:pPr>
        <w:pStyle w:val="BodyText"/>
        <w:ind w:left="140" w:right="496" w:firstLine="432"/>
        <w:jc w:val="both"/>
      </w:pPr>
      <w:r>
        <w:rPr/>
        <w:t>In this example, Sears Holdings opened the day with early weakness, as responsive sellers pushed price back toward a perceived area of fair value. However, once price reached the $53.25 zone, responsive buyers entered the market, which pushed price back toward the top of the day’s initial balance. When the upper boundary of the initial balance was broken, initiative buyers entered the market and continued to push price higher. This entire process was sparked by the extreme reversal setup that formed in the first thirty minutes of the day.</w:t>
      </w:r>
    </w:p>
    <w:p>
      <w:pPr>
        <w:pStyle w:val="BodyText"/>
        <w:ind w:left="140" w:right="497" w:firstLine="432"/>
        <w:jc w:val="both"/>
      </w:pPr>
      <w:r>
        <w:rPr/>
        <w:t>One interesting fact about this pattern is the way that it consistently forms at the beginning of the day, especially in the first thirty minutes of the session. Many times, the market will open the day with a great deal of</w:t>
      </w:r>
      <w:r>
        <w:rPr>
          <w:spacing w:val="40"/>
        </w:rPr>
        <w:t> </w:t>
      </w:r>
      <w:r>
        <w:rPr/>
        <w:t>energy, but the move fizzles within thirty minutes, creating a reversal opportunity. As you recall, the first thirty to sixty minutes of the day is when the market establishes the session’s initial boundaries. Part of this process may involve developing an extreme reversal pattern that shoots price in the opposite direction. It is no surprise that major economic reports are oftentimes released at 10:00 </w:t>
      </w:r>
      <w:r>
        <w:rPr>
          <w:sz w:val="18"/>
        </w:rPr>
        <w:t>A</w:t>
      </w:r>
      <w:r>
        <w:rPr/>
        <w:t>.</w:t>
      </w:r>
      <w:r>
        <w:rPr>
          <w:sz w:val="18"/>
        </w:rPr>
        <w:t>M</w:t>
      </w:r>
      <w:r>
        <w:rPr/>
        <w:t>. ET, which coincides perfectly with the development of this pattern.</w:t>
      </w:r>
    </w:p>
    <w:p>
      <w:pPr>
        <w:pStyle w:val="BodyText"/>
        <w:ind w:left="140" w:right="496" w:firstLine="432"/>
        <w:jc w:val="both"/>
      </w:pPr>
      <w:r>
        <w:rPr/>
        <w:t>Take a look at Figure 2.10, which shows a fifteen-minute chart of Amazon.com (ticker: AMZN). In this example, you see that the extreme reversal</w:t>
      </w:r>
      <w:r>
        <w:rPr>
          <w:spacing w:val="40"/>
        </w:rPr>
        <w:t> </w:t>
      </w:r>
      <w:r>
        <w:rPr/>
        <w:t>setup</w:t>
      </w:r>
      <w:r>
        <w:rPr>
          <w:spacing w:val="40"/>
        </w:rPr>
        <w:t> </w:t>
      </w:r>
      <w:r>
        <w:rPr/>
        <w:t>occurred</w:t>
      </w:r>
      <w:r>
        <w:rPr>
          <w:spacing w:val="40"/>
        </w:rPr>
        <w:t> </w:t>
      </w:r>
      <w:r>
        <w:rPr/>
        <w:t>three</w:t>
      </w:r>
      <w:r>
        <w:rPr>
          <w:spacing w:val="40"/>
        </w:rPr>
        <w:t> </w:t>
      </w:r>
      <w:r>
        <w:rPr/>
        <w:t>days</w:t>
      </w:r>
      <w:r>
        <w:rPr>
          <w:spacing w:val="40"/>
        </w:rPr>
        <w:t> </w:t>
      </w:r>
      <w:r>
        <w:rPr/>
        <w:t>in</w:t>
      </w:r>
      <w:r>
        <w:rPr>
          <w:spacing w:val="40"/>
        </w:rPr>
        <w:t> </w:t>
      </w:r>
      <w:r>
        <w:rPr/>
        <w:t>a</w:t>
      </w:r>
      <w:r>
        <w:rPr>
          <w:spacing w:val="40"/>
        </w:rPr>
        <w:t> </w:t>
      </w:r>
      <w:r>
        <w:rPr/>
        <w:t>row,</w:t>
      </w:r>
      <w:r>
        <w:rPr>
          <w:spacing w:val="40"/>
        </w:rPr>
        <w:t> </w:t>
      </w:r>
      <w:r>
        <w:rPr/>
        <w:t>with</w:t>
      </w:r>
      <w:r>
        <w:rPr>
          <w:spacing w:val="40"/>
        </w:rPr>
        <w:t> </w:t>
      </w:r>
      <w:r>
        <w:rPr/>
        <w:t>two</w:t>
      </w:r>
      <w:r>
        <w:rPr>
          <w:spacing w:val="40"/>
        </w:rPr>
        <w:t> </w:t>
      </w:r>
      <w:r>
        <w:rPr/>
        <w:t>of</w:t>
      </w:r>
      <w:r>
        <w:rPr>
          <w:spacing w:val="40"/>
        </w:rPr>
        <w:t> </w:t>
      </w:r>
      <w:r>
        <w:rPr/>
        <w:t>those</w:t>
      </w:r>
      <w:r>
        <w:rPr>
          <w:spacing w:val="40"/>
        </w:rPr>
        <w:t> </w:t>
      </w:r>
      <w:r>
        <w:rPr/>
        <w:t>instances</w:t>
      </w:r>
    </w:p>
    <w:p>
      <w:pPr>
        <w:spacing w:after="0"/>
        <w:jc w:val="both"/>
        <w:sectPr>
          <w:pgSz w:w="8640" w:h="12960"/>
          <w:pgMar w:header="579" w:footer="1039" w:top="760" w:bottom="1260" w:left="580" w:right="580"/>
        </w:sectPr>
      </w:pPr>
    </w:p>
    <w:p>
      <w:pPr>
        <w:pStyle w:val="BodyText"/>
        <w:spacing w:before="3"/>
      </w:pPr>
    </w:p>
    <w:p>
      <w:pPr>
        <w:pStyle w:val="BodyText"/>
        <w:spacing w:before="64"/>
        <w:ind w:left="500" w:right="138"/>
        <w:jc w:val="both"/>
      </w:pPr>
      <w:r>
        <w:rPr/>
        <w:t>occurring</w:t>
      </w:r>
      <w:r>
        <w:rPr>
          <w:spacing w:val="-1"/>
        </w:rPr>
        <w:t> </w:t>
      </w:r>
      <w:r>
        <w:rPr/>
        <w:t>within</w:t>
      </w:r>
      <w:r>
        <w:rPr>
          <w:spacing w:val="-1"/>
        </w:rPr>
        <w:t> </w:t>
      </w:r>
      <w:r>
        <w:rPr/>
        <w:t>the</w:t>
      </w:r>
      <w:r>
        <w:rPr>
          <w:spacing w:val="-1"/>
        </w:rPr>
        <w:t> </w:t>
      </w:r>
      <w:r>
        <w:rPr/>
        <w:t>first</w:t>
      </w:r>
      <w:r>
        <w:rPr>
          <w:spacing w:val="-1"/>
        </w:rPr>
        <w:t> </w:t>
      </w:r>
      <w:r>
        <w:rPr/>
        <w:t>thirty</w:t>
      </w:r>
      <w:r>
        <w:rPr>
          <w:spacing w:val="-1"/>
        </w:rPr>
        <w:t> </w:t>
      </w:r>
      <w:r>
        <w:rPr/>
        <w:t>minutes of</w:t>
      </w:r>
      <w:r>
        <w:rPr>
          <w:spacing w:val="-1"/>
        </w:rPr>
        <w:t> </w:t>
      </w:r>
      <w:r>
        <w:rPr/>
        <w:t>the</w:t>
      </w:r>
      <w:r>
        <w:rPr>
          <w:spacing w:val="-1"/>
        </w:rPr>
        <w:t> </w:t>
      </w:r>
      <w:r>
        <w:rPr/>
        <w:t>session.</w:t>
      </w:r>
      <w:r>
        <w:rPr>
          <w:spacing w:val="-1"/>
        </w:rPr>
        <w:t> </w:t>
      </w:r>
      <w:r>
        <w:rPr/>
        <w:t>In</w:t>
      </w:r>
      <w:r>
        <w:rPr>
          <w:spacing w:val="-1"/>
        </w:rPr>
        <w:t> </w:t>
      </w:r>
      <w:r>
        <w:rPr/>
        <w:t>each</w:t>
      </w:r>
      <w:r>
        <w:rPr>
          <w:spacing w:val="-1"/>
        </w:rPr>
        <w:t> </w:t>
      </w:r>
      <w:r>
        <w:rPr/>
        <w:t>instance,</w:t>
      </w:r>
      <w:r>
        <w:rPr>
          <w:spacing w:val="-1"/>
        </w:rPr>
        <w:t> </w:t>
      </w:r>
      <w:r>
        <w:rPr/>
        <w:t>price over-extended itself, causing responsive participants to enter the market in order</w:t>
      </w:r>
      <w:r>
        <w:rPr>
          <w:spacing w:val="-1"/>
        </w:rPr>
        <w:t> </w:t>
      </w:r>
      <w:r>
        <w:rPr/>
        <w:t>to</w:t>
      </w:r>
      <w:r>
        <w:rPr>
          <w:spacing w:val="-1"/>
        </w:rPr>
        <w:t> </w:t>
      </w:r>
      <w:r>
        <w:rPr/>
        <w:t>regulate</w:t>
      </w:r>
      <w:r>
        <w:rPr>
          <w:spacing w:val="-1"/>
        </w:rPr>
        <w:t> </w:t>
      </w:r>
      <w:r>
        <w:rPr/>
        <w:t>price.</w:t>
      </w:r>
      <w:r>
        <w:rPr>
          <w:spacing w:val="-1"/>
        </w:rPr>
        <w:t> </w:t>
      </w:r>
      <w:r>
        <w:rPr/>
        <w:t>This</w:t>
      </w:r>
      <w:r>
        <w:rPr>
          <w:spacing w:val="-1"/>
        </w:rPr>
        <w:t> </w:t>
      </w:r>
      <w:r>
        <w:rPr/>
        <w:t>setup</w:t>
      </w:r>
      <w:r>
        <w:rPr>
          <w:spacing w:val="-1"/>
        </w:rPr>
        <w:t> </w:t>
      </w:r>
      <w:r>
        <w:rPr/>
        <w:t>was not</w:t>
      </w:r>
      <w:r>
        <w:rPr>
          <w:spacing w:val="-1"/>
        </w:rPr>
        <w:t> </w:t>
      </w:r>
      <w:r>
        <w:rPr/>
        <w:t>found</w:t>
      </w:r>
      <w:r>
        <w:rPr>
          <w:spacing w:val="-1"/>
        </w:rPr>
        <w:t> </w:t>
      </w:r>
      <w:r>
        <w:rPr/>
        <w:t>at</w:t>
      </w:r>
      <w:r>
        <w:rPr>
          <w:spacing w:val="-1"/>
        </w:rPr>
        <w:t> </w:t>
      </w:r>
      <w:r>
        <w:rPr/>
        <w:t>any</w:t>
      </w:r>
      <w:r>
        <w:rPr>
          <w:spacing w:val="-1"/>
        </w:rPr>
        <w:t> </w:t>
      </w:r>
      <w:r>
        <w:rPr/>
        <w:t>other</w:t>
      </w:r>
      <w:r>
        <w:rPr>
          <w:spacing w:val="-1"/>
        </w:rPr>
        <w:t> </w:t>
      </w:r>
      <w:r>
        <w:rPr/>
        <w:t>time during</w:t>
      </w:r>
      <w:r>
        <w:rPr>
          <w:spacing w:val="-1"/>
        </w:rPr>
        <w:t> </w:t>
      </w:r>
      <w:r>
        <w:rPr/>
        <w:t>this three-day stretch, which paves the way to the theory of trading this pattern </w:t>
      </w:r>
      <w:r>
        <w:rPr>
          <w:i/>
        </w:rPr>
        <w:t>only </w:t>
      </w:r>
      <w:r>
        <w:rPr/>
        <w:t>at the beginning of the day.</w:t>
      </w:r>
    </w:p>
    <w:p>
      <w:pPr>
        <w:pStyle w:val="BodyText"/>
        <w:rPr>
          <w:sz w:val="20"/>
        </w:rPr>
      </w:pPr>
      <w:r>
        <w:rPr/>
        <w:drawing>
          <wp:anchor distT="0" distB="0" distL="0" distR="0" allowOverlap="1" layoutInCell="1" locked="0" behindDoc="0" simplePos="0" relativeHeight="32">
            <wp:simplePos x="0" y="0"/>
            <wp:positionH relativeFrom="page">
              <wp:posOffset>685800</wp:posOffset>
            </wp:positionH>
            <wp:positionV relativeFrom="paragraph">
              <wp:posOffset>161807</wp:posOffset>
            </wp:positionV>
            <wp:extent cx="4342089" cy="3016377"/>
            <wp:effectExtent l="0" t="0" r="0" b="0"/>
            <wp:wrapTopAndBottom/>
            <wp:docPr id="43" name="image23.png"/>
            <wp:cNvGraphicFramePr>
              <a:graphicFrameLocks noChangeAspect="1"/>
            </wp:cNvGraphicFramePr>
            <a:graphic>
              <a:graphicData uri="http://schemas.openxmlformats.org/drawingml/2006/picture">
                <pic:pic>
                  <pic:nvPicPr>
                    <pic:cNvPr id="44" name="image23.png"/>
                    <pic:cNvPicPr/>
                  </pic:nvPicPr>
                  <pic:blipFill>
                    <a:blip r:embed="rId43" cstate="print"/>
                    <a:stretch>
                      <a:fillRect/>
                    </a:stretch>
                  </pic:blipFill>
                  <pic:spPr>
                    <a:xfrm>
                      <a:off x="0" y="0"/>
                      <a:ext cx="4342089" cy="3016377"/>
                    </a:xfrm>
                    <a:prstGeom prst="rect">
                      <a:avLst/>
                    </a:prstGeom>
                  </pic:spPr>
                </pic:pic>
              </a:graphicData>
            </a:graphic>
          </wp:anchor>
        </w:drawing>
      </w:r>
    </w:p>
    <w:p>
      <w:pPr>
        <w:spacing w:before="0"/>
        <w:ind w:left="500" w:right="0" w:firstLine="0"/>
        <w:jc w:val="both"/>
        <w:rPr>
          <w:sz w:val="16"/>
        </w:rPr>
      </w:pPr>
      <w:r>
        <w:rPr>
          <w:sz w:val="16"/>
        </w:rPr>
        <w:t>FIGURE 2.10:</w:t>
      </w:r>
      <w:r>
        <w:rPr>
          <w:spacing w:val="1"/>
          <w:sz w:val="16"/>
        </w:rPr>
        <w:t> </w:t>
      </w:r>
      <w:r>
        <w:rPr>
          <w:sz w:val="16"/>
        </w:rPr>
        <w:t>The</w:t>
      </w:r>
      <w:r>
        <w:rPr>
          <w:spacing w:val="1"/>
          <w:sz w:val="16"/>
        </w:rPr>
        <w:t> </w:t>
      </w:r>
      <w:r>
        <w:rPr>
          <w:sz w:val="16"/>
        </w:rPr>
        <w:t>extreme</w:t>
      </w:r>
      <w:r>
        <w:rPr>
          <w:spacing w:val="2"/>
          <w:sz w:val="16"/>
        </w:rPr>
        <w:t> </w:t>
      </w:r>
      <w:r>
        <w:rPr>
          <w:sz w:val="16"/>
        </w:rPr>
        <w:t>reversal</w:t>
      </w:r>
      <w:r>
        <w:rPr>
          <w:spacing w:val="2"/>
          <w:sz w:val="16"/>
        </w:rPr>
        <w:t> </w:t>
      </w:r>
      <w:r>
        <w:rPr>
          <w:sz w:val="16"/>
        </w:rPr>
        <w:t>setup</w:t>
      </w:r>
      <w:r>
        <w:rPr>
          <w:spacing w:val="1"/>
          <w:sz w:val="16"/>
        </w:rPr>
        <w:t> </w:t>
      </w:r>
      <w:r>
        <w:rPr>
          <w:sz w:val="16"/>
        </w:rPr>
        <w:t>developed</w:t>
      </w:r>
      <w:r>
        <w:rPr>
          <w:spacing w:val="1"/>
          <w:sz w:val="16"/>
        </w:rPr>
        <w:t> </w:t>
      </w:r>
      <w:r>
        <w:rPr>
          <w:sz w:val="16"/>
        </w:rPr>
        <w:t>three</w:t>
      </w:r>
      <w:r>
        <w:rPr>
          <w:spacing w:val="1"/>
          <w:sz w:val="16"/>
        </w:rPr>
        <w:t> </w:t>
      </w:r>
      <w:r>
        <w:rPr>
          <w:sz w:val="16"/>
        </w:rPr>
        <w:t>consecutive</w:t>
      </w:r>
      <w:r>
        <w:rPr>
          <w:spacing w:val="1"/>
          <w:sz w:val="16"/>
        </w:rPr>
        <w:t> </w:t>
      </w:r>
      <w:r>
        <w:rPr>
          <w:spacing w:val="-2"/>
          <w:sz w:val="16"/>
        </w:rPr>
        <w:t>sessions.</w:t>
      </w:r>
    </w:p>
    <w:p>
      <w:pPr>
        <w:pStyle w:val="BodyText"/>
        <w:spacing w:before="10"/>
        <w:rPr>
          <w:sz w:val="21"/>
        </w:rPr>
      </w:pPr>
    </w:p>
    <w:p>
      <w:pPr>
        <w:pStyle w:val="BodyText"/>
        <w:ind w:left="500" w:right="136" w:firstLine="719"/>
        <w:jc w:val="both"/>
      </w:pPr>
      <w:r>
        <w:rPr/>
        <w:t>The extreme reversal setup shines when it has developed in the direction of an existing trend. When a market is trending, this pattern can form during the “pull-back phase” of a trend, thereby allowing you to enter the market at a better value alongside the smart money. To illustrate this point, take a look at Figure 2.11, which is a fifteen-minute chart of</w:t>
      </w:r>
      <w:r>
        <w:rPr>
          <w:spacing w:val="40"/>
        </w:rPr>
        <w:t> </w:t>
      </w:r>
      <w:r>
        <w:rPr/>
        <w:t>Avalonbay Communities, Inc. (ticker: AVB). The extreme reversal setup formed two consecutive days during the retracement phase of a bullish trend. Each pull-back was highlighted by the extreme reversal pattern, which allowed us to easily enter the market in the direction of the existing trend at a better value. The important part of this scenario is the fact that the pattern</w:t>
      </w:r>
      <w:r>
        <w:rPr>
          <w:spacing w:val="40"/>
        </w:rPr>
        <w:t> </w:t>
      </w:r>
      <w:r>
        <w:rPr/>
        <w:t>was able to signal us to a profitable entry point that was </w:t>
      </w:r>
      <w:r>
        <w:rPr>
          <w:i/>
        </w:rPr>
        <w:t>below </w:t>
      </w:r>
      <w:r>
        <w:rPr/>
        <w:t>value, thus allowing us to enter the market alongside responsive buyers. When a stock is in a clear trend, responsive participants will be looking to enter the market at a favorable entry point. Using this pattern to buy the dips in an uptrend and sell</w:t>
      </w:r>
      <w:r>
        <w:rPr>
          <w:spacing w:val="26"/>
        </w:rPr>
        <w:t> </w:t>
      </w:r>
      <w:r>
        <w:rPr/>
        <w:t>the</w:t>
      </w:r>
      <w:r>
        <w:rPr>
          <w:spacing w:val="26"/>
        </w:rPr>
        <w:t> </w:t>
      </w:r>
      <w:r>
        <w:rPr/>
        <w:t>rips</w:t>
      </w:r>
      <w:r>
        <w:rPr>
          <w:spacing w:val="27"/>
        </w:rPr>
        <w:t> </w:t>
      </w:r>
      <w:r>
        <w:rPr/>
        <w:t>in</w:t>
      </w:r>
      <w:r>
        <w:rPr>
          <w:spacing w:val="26"/>
        </w:rPr>
        <w:t> </w:t>
      </w:r>
      <w:r>
        <w:rPr/>
        <w:t>a</w:t>
      </w:r>
      <w:r>
        <w:rPr>
          <w:spacing w:val="26"/>
        </w:rPr>
        <w:t> </w:t>
      </w:r>
      <w:r>
        <w:rPr/>
        <w:t>downtrend</w:t>
      </w:r>
      <w:r>
        <w:rPr>
          <w:spacing w:val="26"/>
        </w:rPr>
        <w:t> </w:t>
      </w:r>
      <w:r>
        <w:rPr/>
        <w:t>will</w:t>
      </w:r>
      <w:r>
        <w:rPr>
          <w:spacing w:val="26"/>
        </w:rPr>
        <w:t> </w:t>
      </w:r>
      <w:r>
        <w:rPr/>
        <w:t>allow</w:t>
      </w:r>
      <w:r>
        <w:rPr>
          <w:spacing w:val="28"/>
        </w:rPr>
        <w:t> </w:t>
      </w:r>
      <w:r>
        <w:rPr/>
        <w:t>you</w:t>
      </w:r>
      <w:r>
        <w:rPr>
          <w:spacing w:val="26"/>
        </w:rPr>
        <w:t> </w:t>
      </w:r>
      <w:r>
        <w:rPr/>
        <w:t>to</w:t>
      </w:r>
      <w:r>
        <w:rPr>
          <w:spacing w:val="26"/>
        </w:rPr>
        <w:t> </w:t>
      </w:r>
      <w:r>
        <w:rPr/>
        <w:t>align</w:t>
      </w:r>
      <w:r>
        <w:rPr>
          <w:spacing w:val="25"/>
        </w:rPr>
        <w:t> </w:t>
      </w:r>
      <w:r>
        <w:rPr/>
        <w:t>your</w:t>
      </w:r>
      <w:r>
        <w:rPr>
          <w:spacing w:val="26"/>
        </w:rPr>
        <w:t> </w:t>
      </w:r>
      <w:r>
        <w:rPr/>
        <w:t>position</w:t>
      </w:r>
      <w:r>
        <w:rPr>
          <w:spacing w:val="25"/>
        </w:rPr>
        <w:t> </w:t>
      </w:r>
      <w:r>
        <w:rPr/>
        <w:t>with</w:t>
      </w:r>
      <w:r>
        <w:rPr>
          <w:spacing w:val="26"/>
        </w:rPr>
        <w:t> </w:t>
      </w:r>
      <w:r>
        <w:rPr>
          <w:spacing w:val="-5"/>
        </w:rPr>
        <w:t>the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7"/>
        <w:jc w:val="both"/>
      </w:pPr>
      <w:r>
        <w:rPr/>
        <w:t>right side of the market. It is important to note, however, that while trading this pattern can be highly advantageous within a trend, it can also lead to</w:t>
      </w:r>
      <w:r>
        <w:rPr>
          <w:spacing w:val="40"/>
        </w:rPr>
        <w:t> </w:t>
      </w:r>
      <w:r>
        <w:rPr/>
        <w:t>false signals when it fires against an aggressive trend. Be smart and trade when the right circumstances present themselves.</w:t>
      </w:r>
    </w:p>
    <w:p>
      <w:pPr>
        <w:pStyle w:val="BodyText"/>
        <w:spacing w:before="1"/>
        <w:rPr>
          <w:sz w:val="20"/>
        </w:rPr>
      </w:pPr>
      <w:r>
        <w:rPr/>
        <w:drawing>
          <wp:anchor distT="0" distB="0" distL="0" distR="0" allowOverlap="1" layoutInCell="1" locked="0" behindDoc="0" simplePos="0" relativeHeight="33">
            <wp:simplePos x="0" y="0"/>
            <wp:positionH relativeFrom="page">
              <wp:posOffset>457200</wp:posOffset>
            </wp:positionH>
            <wp:positionV relativeFrom="paragraph">
              <wp:posOffset>162478</wp:posOffset>
            </wp:positionV>
            <wp:extent cx="4342089" cy="3016377"/>
            <wp:effectExtent l="0" t="0" r="0" b="0"/>
            <wp:wrapTopAndBottom/>
            <wp:docPr id="45" name="image24.png"/>
            <wp:cNvGraphicFramePr>
              <a:graphicFrameLocks noChangeAspect="1"/>
            </wp:cNvGraphicFramePr>
            <a:graphic>
              <a:graphicData uri="http://schemas.openxmlformats.org/drawingml/2006/picture">
                <pic:pic>
                  <pic:nvPicPr>
                    <pic:cNvPr id="46" name="image24.png"/>
                    <pic:cNvPicPr/>
                  </pic:nvPicPr>
                  <pic:blipFill>
                    <a:blip r:embed="rId44" cstate="print"/>
                    <a:stretch>
                      <a:fillRect/>
                    </a:stretch>
                  </pic:blipFill>
                  <pic:spPr>
                    <a:xfrm>
                      <a:off x="0" y="0"/>
                      <a:ext cx="4342089" cy="3016377"/>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2.11:</w:t>
      </w:r>
      <w:r>
        <w:rPr>
          <w:spacing w:val="1"/>
          <w:sz w:val="16"/>
        </w:rPr>
        <w:t> </w:t>
      </w:r>
      <w:r>
        <w:rPr>
          <w:sz w:val="16"/>
        </w:rPr>
        <w:t>The</w:t>
      </w:r>
      <w:r>
        <w:rPr>
          <w:spacing w:val="1"/>
          <w:sz w:val="16"/>
        </w:rPr>
        <w:t> </w:t>
      </w:r>
      <w:r>
        <w:rPr>
          <w:sz w:val="16"/>
        </w:rPr>
        <w:t>extreme</w:t>
      </w:r>
      <w:r>
        <w:rPr>
          <w:spacing w:val="2"/>
          <w:sz w:val="16"/>
        </w:rPr>
        <w:t> </w:t>
      </w:r>
      <w:r>
        <w:rPr>
          <w:sz w:val="16"/>
        </w:rPr>
        <w:t>reversal</w:t>
      </w:r>
      <w:r>
        <w:rPr>
          <w:spacing w:val="2"/>
          <w:sz w:val="16"/>
        </w:rPr>
        <w:t> </w:t>
      </w:r>
      <w:r>
        <w:rPr>
          <w:sz w:val="16"/>
        </w:rPr>
        <w:t>setup</w:t>
      </w:r>
      <w:r>
        <w:rPr>
          <w:spacing w:val="1"/>
          <w:sz w:val="16"/>
        </w:rPr>
        <w:t> </w:t>
      </w:r>
      <w:r>
        <w:rPr>
          <w:sz w:val="16"/>
        </w:rPr>
        <w:t>shines</w:t>
      </w:r>
      <w:r>
        <w:rPr>
          <w:spacing w:val="1"/>
          <w:sz w:val="16"/>
        </w:rPr>
        <w:t> </w:t>
      </w:r>
      <w:r>
        <w:rPr>
          <w:sz w:val="16"/>
        </w:rPr>
        <w:t>within a</w:t>
      </w:r>
      <w:r>
        <w:rPr>
          <w:spacing w:val="1"/>
          <w:sz w:val="16"/>
        </w:rPr>
        <w:t> </w:t>
      </w:r>
      <w:r>
        <w:rPr>
          <w:spacing w:val="-2"/>
          <w:sz w:val="16"/>
        </w:rPr>
        <w:t>trend.</w:t>
      </w:r>
    </w:p>
    <w:p>
      <w:pPr>
        <w:pStyle w:val="BodyText"/>
        <w:spacing w:before="8"/>
        <w:rPr>
          <w:sz w:val="21"/>
        </w:rPr>
      </w:pPr>
    </w:p>
    <w:p>
      <w:pPr>
        <w:pStyle w:val="Heading3"/>
        <w:jc w:val="both"/>
      </w:pPr>
      <w:r>
        <w:rPr/>
        <w:pict>
          <v:shape style="position:absolute;margin-left:36.779999pt;margin-top:18.290310pt;width:341pt;height:.1pt;mso-position-horizontal-relative:page;mso-position-vertical-relative:paragraph;z-index:-15711232;mso-wrap-distance-left:0;mso-wrap-distance-right:0" id="docshape136" coordorigin="736,366" coordsize="6820,0" path="m736,366l7555,366e" filled="false" stroked="true" strokeweight=".75pt" strokecolor="#000000">
            <v:path arrowok="t"/>
            <v:stroke dashstyle="solid"/>
            <w10:wrap type="topAndBottom"/>
          </v:shape>
        </w:pict>
      </w:r>
      <w:bookmarkStart w:name="_TOC_250077" w:id="14"/>
      <w:r>
        <w:rPr>
          <w:smallCaps/>
        </w:rPr>
        <w:t>The</w:t>
      </w:r>
      <w:r>
        <w:rPr>
          <w:smallCaps/>
          <w:spacing w:val="-14"/>
        </w:rPr>
        <w:t> </w:t>
      </w:r>
      <w:r>
        <w:rPr>
          <w:smallCaps/>
        </w:rPr>
        <w:t>Outside</w:t>
      </w:r>
      <w:r>
        <w:rPr>
          <w:smallCaps/>
          <w:spacing w:val="-10"/>
        </w:rPr>
        <w:t> </w:t>
      </w:r>
      <w:r>
        <w:rPr>
          <w:smallCaps/>
        </w:rPr>
        <w:t>Reversal</w:t>
      </w:r>
      <w:r>
        <w:rPr>
          <w:smallCaps/>
          <w:spacing w:val="-14"/>
        </w:rPr>
        <w:t> </w:t>
      </w:r>
      <w:bookmarkEnd w:id="14"/>
      <w:r>
        <w:rPr>
          <w:smallCaps/>
          <w:spacing w:val="-2"/>
        </w:rPr>
        <w:t>Setup</w:t>
      </w:r>
    </w:p>
    <w:p>
      <w:pPr>
        <w:pStyle w:val="BodyText"/>
        <w:spacing w:before="202"/>
        <w:ind w:left="140" w:right="497" w:firstLine="719"/>
        <w:jc w:val="both"/>
      </w:pPr>
      <w:r>
        <w:rPr/>
        <w:t>Out of all the setups in this chapter, the </w:t>
      </w:r>
      <w:r>
        <w:rPr>
          <w:i/>
        </w:rPr>
        <w:t>outside reversal </w:t>
      </w:r>
      <w:r>
        <w:rPr/>
        <w:t>setup is probably</w:t>
      </w:r>
      <w:r>
        <w:rPr>
          <w:spacing w:val="-2"/>
        </w:rPr>
        <w:t> </w:t>
      </w:r>
      <w:r>
        <w:rPr/>
        <w:t>the</w:t>
      </w:r>
      <w:r>
        <w:rPr>
          <w:spacing w:val="-2"/>
        </w:rPr>
        <w:t> </w:t>
      </w:r>
      <w:r>
        <w:rPr/>
        <w:t>most</w:t>
      </w:r>
      <w:r>
        <w:rPr>
          <w:spacing w:val="-2"/>
        </w:rPr>
        <w:t> </w:t>
      </w:r>
      <w:r>
        <w:rPr/>
        <w:t>fun</w:t>
      </w:r>
      <w:r>
        <w:rPr>
          <w:spacing w:val="-2"/>
        </w:rPr>
        <w:t> </w:t>
      </w:r>
      <w:r>
        <w:rPr/>
        <w:t>to</w:t>
      </w:r>
      <w:r>
        <w:rPr>
          <w:spacing w:val="-2"/>
        </w:rPr>
        <w:t> </w:t>
      </w:r>
      <w:r>
        <w:rPr/>
        <w:t>trade.</w:t>
      </w:r>
      <w:r>
        <w:rPr>
          <w:spacing w:val="-2"/>
        </w:rPr>
        <w:t> </w:t>
      </w:r>
      <w:r>
        <w:rPr/>
        <w:t>When</w:t>
      </w:r>
      <w:r>
        <w:rPr>
          <w:spacing w:val="-2"/>
        </w:rPr>
        <w:t> </w:t>
      </w:r>
      <w:r>
        <w:rPr/>
        <w:t>I</w:t>
      </w:r>
      <w:r>
        <w:rPr>
          <w:spacing w:val="-2"/>
        </w:rPr>
        <w:t> </w:t>
      </w:r>
      <w:r>
        <w:rPr/>
        <w:t>see</w:t>
      </w:r>
      <w:r>
        <w:rPr>
          <w:spacing w:val="-2"/>
        </w:rPr>
        <w:t> </w:t>
      </w:r>
      <w:r>
        <w:rPr/>
        <w:t>this</w:t>
      </w:r>
      <w:r>
        <w:rPr>
          <w:spacing w:val="-2"/>
        </w:rPr>
        <w:t> </w:t>
      </w:r>
      <w:r>
        <w:rPr/>
        <w:t>setup</w:t>
      </w:r>
      <w:r>
        <w:rPr>
          <w:spacing w:val="-2"/>
        </w:rPr>
        <w:t> </w:t>
      </w:r>
      <w:r>
        <w:rPr/>
        <w:t>developing,</w:t>
      </w:r>
      <w:r>
        <w:rPr>
          <w:spacing w:val="-2"/>
        </w:rPr>
        <w:t> </w:t>
      </w:r>
      <w:r>
        <w:rPr/>
        <w:t>I</w:t>
      </w:r>
      <w:r>
        <w:rPr>
          <w:spacing w:val="-2"/>
        </w:rPr>
        <w:t> </w:t>
      </w:r>
      <w:r>
        <w:rPr/>
        <w:t>envision</w:t>
      </w:r>
      <w:r>
        <w:rPr>
          <w:spacing w:val="-2"/>
        </w:rPr>
        <w:t> </w:t>
      </w:r>
      <w:r>
        <w:rPr/>
        <w:t>a child on a trampoline, which is probably the reason I associate fun with this setup. For a child to spring high into the air, he must first force the trampoline’s bounce mat to go down. The farther the child forces the mat to go down, the higher he will spring into the air. This analogy perfectly embodies the outside reversal setup. Essentially, the market will push price lower before shooting higher, and will push price higher before selling off.</w:t>
      </w:r>
    </w:p>
    <w:p>
      <w:pPr>
        <w:pStyle w:val="BodyText"/>
        <w:spacing w:before="1"/>
      </w:pPr>
    </w:p>
    <w:p>
      <w:pPr>
        <w:spacing w:before="0"/>
        <w:ind w:left="257" w:right="616" w:firstLine="0"/>
        <w:jc w:val="center"/>
        <w:rPr>
          <w:i/>
          <w:sz w:val="22"/>
        </w:rPr>
      </w:pPr>
      <w:r>
        <w:rPr>
          <w:i/>
          <w:sz w:val="22"/>
        </w:rPr>
        <w:t>The</w:t>
      </w:r>
      <w:r>
        <w:rPr>
          <w:i/>
          <w:spacing w:val="-3"/>
          <w:sz w:val="22"/>
        </w:rPr>
        <w:t> </w:t>
      </w:r>
      <w:r>
        <w:rPr>
          <w:i/>
          <w:sz w:val="22"/>
        </w:rPr>
        <w:t>outside</w:t>
      </w:r>
      <w:r>
        <w:rPr>
          <w:i/>
          <w:spacing w:val="-3"/>
          <w:sz w:val="22"/>
        </w:rPr>
        <w:t> </w:t>
      </w:r>
      <w:r>
        <w:rPr>
          <w:i/>
          <w:sz w:val="22"/>
        </w:rPr>
        <w:t>reversal</w:t>
      </w:r>
      <w:r>
        <w:rPr>
          <w:i/>
          <w:spacing w:val="-4"/>
          <w:sz w:val="22"/>
        </w:rPr>
        <w:t> </w:t>
      </w:r>
      <w:r>
        <w:rPr>
          <w:i/>
          <w:sz w:val="22"/>
        </w:rPr>
        <w:t>setup</w:t>
      </w:r>
      <w:r>
        <w:rPr>
          <w:i/>
          <w:spacing w:val="-4"/>
          <w:sz w:val="22"/>
        </w:rPr>
        <w:t> </w:t>
      </w:r>
      <w:r>
        <w:rPr>
          <w:i/>
          <w:sz w:val="22"/>
        </w:rPr>
        <w:t>takes</w:t>
      </w:r>
      <w:r>
        <w:rPr>
          <w:i/>
          <w:spacing w:val="-3"/>
          <w:sz w:val="22"/>
        </w:rPr>
        <w:t> </w:t>
      </w:r>
      <w:r>
        <w:rPr>
          <w:i/>
          <w:sz w:val="22"/>
        </w:rPr>
        <w:t>advantage</w:t>
      </w:r>
      <w:r>
        <w:rPr>
          <w:i/>
          <w:spacing w:val="-3"/>
          <w:sz w:val="22"/>
        </w:rPr>
        <w:t> </w:t>
      </w:r>
      <w:r>
        <w:rPr>
          <w:i/>
          <w:sz w:val="22"/>
        </w:rPr>
        <w:t>of</w:t>
      </w:r>
      <w:r>
        <w:rPr>
          <w:i/>
          <w:spacing w:val="-3"/>
          <w:sz w:val="22"/>
        </w:rPr>
        <w:t> </w:t>
      </w:r>
      <w:r>
        <w:rPr>
          <w:i/>
          <w:sz w:val="22"/>
        </w:rPr>
        <w:t>a</w:t>
      </w:r>
      <w:r>
        <w:rPr>
          <w:i/>
          <w:spacing w:val="-5"/>
          <w:sz w:val="22"/>
        </w:rPr>
        <w:t> </w:t>
      </w:r>
      <w:r>
        <w:rPr>
          <w:i/>
          <w:sz w:val="22"/>
        </w:rPr>
        <w:t>basic</w:t>
      </w:r>
      <w:r>
        <w:rPr>
          <w:i/>
          <w:spacing w:val="-3"/>
          <w:sz w:val="22"/>
        </w:rPr>
        <w:t> </w:t>
      </w:r>
      <w:r>
        <w:rPr>
          <w:i/>
          <w:sz w:val="22"/>
        </w:rPr>
        <w:t>market</w:t>
      </w:r>
      <w:r>
        <w:rPr>
          <w:i/>
          <w:spacing w:val="-4"/>
          <w:sz w:val="22"/>
        </w:rPr>
        <w:t> </w:t>
      </w:r>
      <w:r>
        <w:rPr>
          <w:i/>
          <w:sz w:val="22"/>
        </w:rPr>
        <w:t>tendency</w:t>
      </w:r>
      <w:r>
        <w:rPr>
          <w:i/>
          <w:spacing w:val="-3"/>
          <w:sz w:val="22"/>
        </w:rPr>
        <w:t> </w:t>
      </w:r>
      <w:r>
        <w:rPr>
          <w:i/>
          <w:sz w:val="22"/>
        </w:rPr>
        <w:t>that</w:t>
      </w:r>
      <w:r>
        <w:rPr>
          <w:i/>
          <w:sz w:val="22"/>
        </w:rPr>
        <w:t> calls for a test of price levels beyond current value before a reversal can </w:t>
      </w:r>
      <w:r>
        <w:rPr>
          <w:i/>
          <w:spacing w:val="-2"/>
          <w:sz w:val="22"/>
        </w:rPr>
        <w:t>occur.</w:t>
      </w:r>
    </w:p>
    <w:p>
      <w:pPr>
        <w:spacing w:after="0"/>
        <w:jc w:val="center"/>
        <w:rPr>
          <w:sz w:val="22"/>
        </w:rPr>
        <w:sectPr>
          <w:pgSz w:w="8640" w:h="12960"/>
          <w:pgMar w:header="579" w:footer="1039" w:top="760" w:bottom="1260" w:left="580" w:right="580"/>
        </w:sectPr>
      </w:pPr>
    </w:p>
    <w:p>
      <w:pPr>
        <w:pStyle w:val="BodyText"/>
        <w:spacing w:before="3"/>
        <w:rPr>
          <w:i/>
        </w:rPr>
      </w:pPr>
    </w:p>
    <w:p>
      <w:pPr>
        <w:pStyle w:val="BodyText"/>
        <w:spacing w:before="64"/>
        <w:ind w:left="500"/>
      </w:pPr>
      <w:r>
        <w:rPr/>
        <w:t>PATTERN</w:t>
      </w:r>
      <w:r>
        <w:rPr>
          <w:spacing w:val="-10"/>
        </w:rPr>
        <w:t> </w:t>
      </w:r>
      <w:r>
        <w:rPr>
          <w:spacing w:val="-2"/>
        </w:rPr>
        <w:t>STRUCTURE</w:t>
      </w:r>
    </w:p>
    <w:p>
      <w:pPr>
        <w:pStyle w:val="BodyText"/>
      </w:pPr>
    </w:p>
    <w:p>
      <w:pPr>
        <w:pStyle w:val="BodyText"/>
        <w:ind w:left="499" w:right="135" w:firstLine="432"/>
        <w:jc w:val="both"/>
      </w:pPr>
      <w:r>
        <w:rPr/>
        <w:t>The outside reversal setup is basically a hybrid between the engulfing pattern and the traditional outside day pattern. However, unlike the engulfing and outside day patterns, I am not concerned about the current candle’s body engulfing the prior candle’s body. Instead, I am more concerned with the highs, lows, and closes of the two-bar setup. More precisely, for a bullish outside reversal condition to exist, the current bar’s low must be lower than the prior bar’s low </w:t>
      </w:r>
      <w:r>
        <w:rPr>
          <w:i/>
        </w:rPr>
        <w:t>and </w:t>
      </w:r>
      <w:r>
        <w:rPr/>
        <w:t>the current bar’s close must be higher than the prior bar’s high (L &lt; L[1] </w:t>
      </w:r>
      <w:r>
        <w:rPr>
          <w:i/>
        </w:rPr>
        <w:t>and </w:t>
      </w:r>
      <w:r>
        <w:rPr/>
        <w:t>C &gt; H[1]). Along the same lines, for a bearish outside reversal setup to exist, the current bar’s high must be greater than the prior bar’s high </w:t>
      </w:r>
      <w:r>
        <w:rPr>
          <w:i/>
        </w:rPr>
        <w:t>and </w:t>
      </w:r>
      <w:r>
        <w:rPr/>
        <w:t>the current bar’s close must be lower than the prior bar’s low (H &gt; H[1] </w:t>
      </w:r>
      <w:r>
        <w:rPr>
          <w:i/>
        </w:rPr>
        <w:t>and </w:t>
      </w:r>
      <w:r>
        <w:rPr/>
        <w:t>C &lt; L[1]). There are several variations of this type of setup, but this is the one that I find to be particularly useful and predictive when</w:t>
      </w:r>
      <w:r>
        <w:rPr/>
        <w:t> playing key reversal situations. Figure 2.12 illustrates the outside reversal setup.</w:t>
      </w:r>
    </w:p>
    <w:p>
      <w:pPr>
        <w:pStyle w:val="BodyText"/>
        <w:spacing w:before="1"/>
        <w:rPr>
          <w:sz w:val="20"/>
        </w:rPr>
      </w:pPr>
      <w:r>
        <w:rPr/>
        <w:pict>
          <v:group style="position:absolute;margin-left:76.125pt;margin-top:12.787586pt;width:297.75pt;height:196.25pt;mso-position-horizontal-relative:page;mso-position-vertical-relative:paragraph;z-index:-15710720;mso-wrap-distance-left:0;mso-wrap-distance-right:0" id="docshapegroup137" coordorigin="1523,256" coordsize="5955,3925">
            <v:shape style="position:absolute;left:1530;top:263;width:5940;height:3910" id="docshape138" coordorigin="1530,263" coordsize="5940,3910" path="m7470,263l1530,263,1530,4173,7470,4173,7470,263xm7470,276l1530,276,1530,785,7470,785,7470,276xm3266,2488l2612,2488,2612,3839,3266,3839,3266,2488xe" filled="false" stroked="true" strokeweight=".75pt" strokecolor="#000000">
              <v:path arrowok="t"/>
              <v:stroke dashstyle="solid"/>
            </v:shape>
            <v:shape style="position:absolute;left:3030;top:3641;width:143;height:144" id="docshape139" coordorigin="3030,3641" coordsize="143,144" path="m3102,3641l3030,3785,3173,3785,3102,3641xe" filled="false" stroked="true" strokeweight=".75pt" strokecolor="#000000">
              <v:path arrowok="t"/>
              <v:stroke dashstyle="solid"/>
            </v:shape>
            <v:shape style="position:absolute;left:5864;top:1151;width:144;height:143" id="docshape140" coordorigin="5864,1151" coordsize="144,143" path="m5864,1151l6008,1151,5936,1294,5864,1151xe" filled="false" stroked="true" strokeweight=".75pt" strokecolor="#000000">
              <v:path arrowok="t"/>
              <v:stroke dashstyle="solid"/>
            </v:shape>
            <v:line style="position:absolute" from="2105,3382" to="2105,2602" stroked="true" strokeweight=".75pt" strokecolor="#000000">
              <v:stroke dashstyle="solid"/>
            </v:line>
            <v:rect style="position:absolute;left:1989;top:2782;width:227;height:267" id="docshape141" filled="true" fillcolor="#000000" stroked="false">
              <v:fill type="solid"/>
            </v:rect>
            <v:rect style="position:absolute;left:1989;top:2782;width:227;height:266" id="docshape142" filled="false" stroked="true" strokeweight=".75pt" strokecolor="#000000">
              <v:stroke dashstyle="solid"/>
            </v:rect>
            <v:shape style="position:absolute;left:2420;top:2689;width:2;height:605" id="docshape143" coordorigin="2420,2690" coordsize="0,605" path="m2420,3168l2420,3294m2420,2690l2420,2856e" filled="false" stroked="true" strokeweight=".75pt" strokecolor="#000000">
              <v:path arrowok="t"/>
              <v:stroke dashstyle="solid"/>
            </v:shape>
            <v:rect style="position:absolute;left:2305;top:2855;width:226;height:314" id="docshape144" filled="false" stroked="true" strokeweight=".75pt" strokecolor="#000000">
              <v:stroke dashstyle="solid"/>
            </v:rect>
            <v:line style="position:absolute" from="2782,3435" to="2782,2892" stroked="true" strokeweight=".75pt" strokecolor="#000000">
              <v:stroke dashstyle="solid"/>
            </v:line>
            <v:rect style="position:absolute;left:2667;top:3018;width:226;height:185" id="docshape145" filled="true" fillcolor="#000000" stroked="false">
              <v:fill type="solid"/>
            </v:rect>
            <v:rect style="position:absolute;left:2666;top:3017;width:227;height:186" id="docshape146" filled="false" stroked="true" strokeweight=".75pt" strokecolor="#000000">
              <v:stroke dashstyle="solid"/>
            </v:rect>
            <v:shape style="position:absolute;left:4938;top:1641;width:2;height:422" id="docshape147" coordorigin="4939,1642" coordsize="0,422" path="m4939,1971l4939,2064m4939,1642l4939,1761e" filled="false" stroked="true" strokeweight=".81pt" strokecolor="#000000">
              <v:path arrowok="t"/>
              <v:stroke dashstyle="solid"/>
            </v:shape>
            <v:rect style="position:absolute;left:4822;top:1760;width:226;height:210" id="docshape148" filled="false" stroked="true" strokeweight=".75pt" strokecolor="#000000">
              <v:stroke dashstyle="solid"/>
            </v:rect>
            <v:line style="position:absolute" from="6875,3820" to="6876,3347" stroked="true" strokeweight=".75pt" strokecolor="#000000">
              <v:stroke dashstyle="solid"/>
            </v:line>
            <v:rect style="position:absolute;left:6759;top:3391;width:227;height:473" id="docshape149" filled="true" fillcolor="#000000" stroked="false">
              <v:fill type="solid"/>
            </v:rect>
            <v:rect style="position:absolute;left:6759;top:3391;width:227;height:472" id="docshape150" filled="false" stroked="true" strokeweight=".75pt" strokecolor="#000000">
              <v:stroke dashstyle="solid"/>
            </v:rect>
            <v:line style="position:absolute" from="6274,2873" to="6275,2400" stroked="true" strokeweight=".75pt" strokecolor="#000000">
              <v:stroke dashstyle="solid"/>
            </v:line>
            <v:rect style="position:absolute;left:6159;top:2446;width:226;height:472" id="docshape151" filled="true" fillcolor="#000000" stroked="false">
              <v:fill type="solid"/>
            </v:rect>
            <v:rect style="position:absolute;left:6158;top:2446;width:227;height:472" id="docshape152" filled="false" stroked="true" strokeweight=".75pt" strokecolor="#000000">
              <v:stroke dashstyle="solid"/>
            </v:rect>
            <v:line style="position:absolute" from="6577,3347" to="6578,2873" stroked="true" strokeweight=".75pt" strokecolor="#000000">
              <v:stroke dashstyle="solid"/>
            </v:line>
            <v:rect style="position:absolute;left:6462;top:2918;width:226;height:472" id="docshape153" filled="true" fillcolor="#000000" stroked="false">
              <v:fill type="solid"/>
            </v:rect>
            <v:rect style="position:absolute;left:6462;top:2918;width:226;height:472" id="docshape154" filled="false" stroked="true" strokeweight=".75pt" strokecolor="#000000">
              <v:stroke dashstyle="solid"/>
            </v:rect>
            <v:line style="position:absolute" from="5252,1835" to="5254,1389" stroked="true" strokeweight=".75pt" strokecolor="#000000">
              <v:stroke dashstyle="solid"/>
            </v:line>
            <v:rect style="position:absolute;left:5138;top:1512;width:226;height:231" id="docshape155" filled="true" fillcolor="#000000" stroked="false">
              <v:fill type="solid"/>
            </v:rect>
            <v:rect style="position:absolute;left:5138;top:1511;width:226;height:232" id="docshape156" filled="false" stroked="true" strokeweight=".75pt" strokecolor="#000000">
              <v:stroke dashstyle="solid"/>
            </v:rect>
            <v:shape style="position:absolute;left:5588;top:1538;width:2;height:681" id="docshape157" coordorigin="5588,1539" coordsize="0,681" path="m5588,1928l5588,2219m5588,1539l5588,1696e" filled="false" stroked="true" strokeweight=".75pt" strokecolor="#000000">
              <v:path arrowok="t"/>
              <v:stroke dashstyle="solid"/>
            </v:shape>
            <v:rect style="position:absolute;left:5473;top:1696;width:226;height:232" id="docshape158" filled="false" stroked="true" strokeweight=".75pt" strokecolor="#000000">
              <v:stroke dashstyle="solid"/>
            </v:rect>
            <v:line style="position:absolute" from="3434,2622" to="3434,2676" stroked="true" strokeweight=".75pt" strokecolor="#000000">
              <v:stroke dashstyle="solid"/>
            </v:line>
            <v:rect style="position:absolute;left:3319;top:2150;width:226;height:472" id="docshape159" filled="false" stroked="true" strokeweight=".75pt" strokecolor="#000000">
              <v:stroke dashstyle="solid"/>
            </v:rect>
            <v:line style="position:absolute" from="3739,2153" to="3739,2215" stroked="true" strokeweight=".81pt" strokecolor="#000000">
              <v:stroke dashstyle="solid"/>
            </v:line>
            <v:rect style="position:absolute;left:3622;top:1680;width:226;height:473" id="docshape160" filled="false" stroked="true" strokeweight=".75pt" strokecolor="#000000">
              <v:stroke dashstyle="solid"/>
            </v:rect>
            <v:line style="position:absolute" from="4051,1664" to="4051,1725" stroked="true" strokeweight=".81pt" strokecolor="#000000">
              <v:stroke dashstyle="solid"/>
            </v:line>
            <v:shape style="position:absolute;left:3934;top:1092;width:2170;height:1497" id="docshape161" coordorigin="3935,1092" coordsize="2170,1497" path="m4160,1192l3935,1192,3935,1664,4160,1664,4160,1192xm6104,1092l5420,1092,5420,2589,6104,2589,6104,1092xe" filled="false" stroked="true" strokeweight=".75pt" strokecolor="#000000">
              <v:path arrowok="t"/>
              <v:stroke dashstyle="solid"/>
            </v:shape>
            <v:line style="position:absolute" from="3104,3254" to="3104,3590" stroked="true" strokeweight=".75pt" strokecolor="#000000">
              <v:stroke dashstyle="solid"/>
            </v:line>
            <v:rect style="position:absolute;left:2989;top:2602;width:226;height:652" id="docshape162" filled="false" stroked="true" strokeweight=".75pt" strokecolor="#000000">
              <v:stroke dashstyle="solid"/>
            </v:rect>
            <v:line style="position:absolute" from="5936,1703" to="5938,1355" stroked="true" strokeweight=".75pt" strokecolor="#000000">
              <v:stroke dashstyle="solid"/>
            </v:line>
            <v:rect style="position:absolute;left:5822;top:1672;width:226;height:792" id="docshape163" filled="true" fillcolor="#000000" stroked="false">
              <v:fill type="solid"/>
            </v:rect>
            <v:rect style="position:absolute;left:5822;top:1672;width:226;height:792" id="docshape164" filled="false" stroked="true" strokeweight=".75pt" strokecolor="#000000">
              <v:stroke dashstyle="solid"/>
            </v:rect>
            <v:shape style="position:absolute;left:1522;top:255;width:5955;height:537" type="#_x0000_t202" id="docshape165" filled="true" fillcolor="#000000" stroked="false">
              <v:textbox inset="0,0,0,0">
                <w:txbxContent>
                  <w:p>
                    <w:pPr>
                      <w:spacing w:before="99"/>
                      <w:ind w:left="1339" w:right="0" w:firstLine="0"/>
                      <w:jc w:val="left"/>
                      <w:rPr>
                        <w:rFonts w:ascii="Verdana"/>
                        <w:color w:val="000000"/>
                        <w:sz w:val="28"/>
                      </w:rPr>
                    </w:pPr>
                    <w:r>
                      <w:rPr>
                        <w:rFonts w:ascii="Verdana"/>
                        <w:color w:val="FFFFFF"/>
                        <w:sz w:val="28"/>
                      </w:rPr>
                      <w:t>Outside</w:t>
                    </w:r>
                    <w:r>
                      <w:rPr>
                        <w:rFonts w:ascii="Verdana"/>
                        <w:color w:val="FFFFFF"/>
                        <w:spacing w:val="-16"/>
                        <w:sz w:val="28"/>
                      </w:rPr>
                      <w:t> </w:t>
                    </w:r>
                    <w:r>
                      <w:rPr>
                        <w:rFonts w:ascii="Verdana"/>
                        <w:color w:val="FFFFFF"/>
                        <w:sz w:val="28"/>
                      </w:rPr>
                      <w:t>Reversal</w:t>
                    </w:r>
                    <w:r>
                      <w:rPr>
                        <w:rFonts w:ascii="Verdana"/>
                        <w:color w:val="FFFFFF"/>
                        <w:spacing w:val="-16"/>
                        <w:sz w:val="28"/>
                      </w:rPr>
                      <w:t> </w:t>
                    </w:r>
                    <w:r>
                      <w:rPr>
                        <w:rFonts w:ascii="Verdana"/>
                        <w:color w:val="FFFFFF"/>
                        <w:spacing w:val="-2"/>
                        <w:sz w:val="28"/>
                      </w:rPr>
                      <w:t>Setup</w:t>
                    </w:r>
                  </w:p>
                </w:txbxContent>
              </v:textbox>
              <v:fill type="solid"/>
              <w10:wrap type="none"/>
            </v:shape>
            <w10:wrap type="topAndBottom"/>
          </v:group>
        </w:pict>
      </w:r>
    </w:p>
    <w:p>
      <w:pPr>
        <w:spacing w:before="0"/>
        <w:ind w:left="931" w:right="0" w:firstLine="0"/>
        <w:jc w:val="left"/>
        <w:rPr>
          <w:sz w:val="16"/>
        </w:rPr>
      </w:pPr>
      <w:r>
        <w:rPr>
          <w:sz w:val="16"/>
        </w:rPr>
        <w:t>FIGURE</w:t>
      </w:r>
      <w:r>
        <w:rPr>
          <w:spacing w:val="2"/>
          <w:sz w:val="16"/>
        </w:rPr>
        <w:t> </w:t>
      </w:r>
      <w:r>
        <w:rPr>
          <w:sz w:val="16"/>
        </w:rPr>
        <w:t>2.12:</w:t>
      </w:r>
      <w:r>
        <w:rPr>
          <w:spacing w:val="3"/>
          <w:sz w:val="16"/>
        </w:rPr>
        <w:t> </w:t>
      </w:r>
      <w:r>
        <w:rPr>
          <w:sz w:val="16"/>
        </w:rPr>
        <w:t>Diagram</w:t>
      </w:r>
      <w:r>
        <w:rPr>
          <w:spacing w:val="4"/>
          <w:sz w:val="16"/>
        </w:rPr>
        <w:t> </w:t>
      </w:r>
      <w:r>
        <w:rPr>
          <w:sz w:val="16"/>
        </w:rPr>
        <w:t>of</w:t>
      </w:r>
      <w:r>
        <w:rPr>
          <w:spacing w:val="2"/>
          <w:sz w:val="16"/>
        </w:rPr>
        <w:t> </w:t>
      </w:r>
      <w:r>
        <w:rPr>
          <w:sz w:val="16"/>
        </w:rPr>
        <w:t>the</w:t>
      </w:r>
      <w:r>
        <w:rPr>
          <w:spacing w:val="3"/>
          <w:sz w:val="16"/>
        </w:rPr>
        <w:t> </w:t>
      </w:r>
      <w:r>
        <w:rPr>
          <w:sz w:val="16"/>
        </w:rPr>
        <w:t>outside</w:t>
      </w:r>
      <w:r>
        <w:rPr>
          <w:spacing w:val="3"/>
          <w:sz w:val="16"/>
        </w:rPr>
        <w:t> </w:t>
      </w:r>
      <w:r>
        <w:rPr>
          <w:sz w:val="16"/>
        </w:rPr>
        <w:t>reversal</w:t>
      </w:r>
      <w:r>
        <w:rPr>
          <w:spacing w:val="3"/>
          <w:sz w:val="16"/>
        </w:rPr>
        <w:t> </w:t>
      </w:r>
      <w:r>
        <w:rPr>
          <w:spacing w:val="-2"/>
          <w:sz w:val="16"/>
        </w:rPr>
        <w:t>setup</w:t>
      </w:r>
    </w:p>
    <w:p>
      <w:pPr>
        <w:pStyle w:val="BodyText"/>
        <w:spacing w:before="8"/>
        <w:rPr>
          <w:sz w:val="21"/>
        </w:rPr>
      </w:pPr>
    </w:p>
    <w:p>
      <w:pPr>
        <w:pStyle w:val="BodyText"/>
        <w:ind w:left="499" w:right="135" w:firstLine="432"/>
        <w:jc w:val="both"/>
      </w:pPr>
      <w:r>
        <w:rPr/>
        <w:t>An additional requirement I like to include is a bar size qualifier, which requires the engulfing bar be a certain percentage larger than the average size of the bars in the lookback period. This criterion allows me to further qualify the pattern as a viable reversal candidate. Depending on the volatility of the market I am trading, I like the engulfing bar to be between 5 and 25 percent larger than the average size of the bars in the lookback period. Additional criteria can be added to this setup to qualify</w:t>
      </w:r>
      <w:r>
        <w:rPr>
          <w:spacing w:val="-1"/>
        </w:rPr>
        <w:t> </w:t>
      </w:r>
      <w:r>
        <w:rPr/>
        <w:t>its validity</w:t>
      </w:r>
      <w:r>
        <w:rPr>
          <w:spacing w:val="-1"/>
        </w:rPr>
        <w:t> </w:t>
      </w:r>
      <w:r>
        <w:rPr/>
        <w:t>further,</w:t>
      </w:r>
      <w:r>
        <w:rPr>
          <w:spacing w:val="-1"/>
        </w:rPr>
        <w:t> </w:t>
      </w:r>
      <w:r>
        <w:rPr/>
        <w:t>but</w:t>
      </w:r>
      <w:r>
        <w:rPr>
          <w:spacing w:val="-1"/>
        </w:rPr>
        <w:t> </w:t>
      </w:r>
      <w:r>
        <w:rPr/>
        <w:t>I find that</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7"/>
        <w:jc w:val="both"/>
      </w:pPr>
      <w:r>
        <w:rPr/>
        <w:t>this usually dilutes my field of candidates. A qualifier that takes into account increased volume, while powerful, would fall under this category.</w:t>
      </w:r>
    </w:p>
    <w:p>
      <w:pPr>
        <w:pStyle w:val="BodyText"/>
        <w:spacing w:before="1"/>
      </w:pPr>
    </w:p>
    <w:p>
      <w:pPr>
        <w:pStyle w:val="BodyText"/>
        <w:ind w:left="139"/>
        <w:jc w:val="both"/>
      </w:pPr>
      <w:r>
        <w:rPr/>
        <w:t>PATTERN</w:t>
      </w:r>
      <w:r>
        <w:rPr>
          <w:spacing w:val="-10"/>
        </w:rPr>
        <w:t> </w:t>
      </w:r>
      <w:r>
        <w:rPr>
          <w:spacing w:val="-2"/>
        </w:rPr>
        <w:t>SUMMARY</w:t>
      </w:r>
    </w:p>
    <w:p>
      <w:pPr>
        <w:pStyle w:val="BodyText"/>
        <w:spacing w:before="10"/>
        <w:rPr>
          <w:sz w:val="21"/>
        </w:rPr>
      </w:pPr>
    </w:p>
    <w:p>
      <w:pPr>
        <w:pStyle w:val="ListParagraph"/>
        <w:numPr>
          <w:ilvl w:val="0"/>
          <w:numId w:val="3"/>
        </w:numPr>
        <w:tabs>
          <w:tab w:pos="860" w:val="left" w:leader="none"/>
        </w:tabs>
        <w:spacing w:line="276" w:lineRule="auto" w:before="0" w:after="0"/>
        <w:ind w:left="859" w:right="498" w:hanging="360"/>
        <w:jc w:val="both"/>
        <w:rPr>
          <w:sz w:val="22"/>
        </w:rPr>
      </w:pPr>
      <w:r>
        <w:rPr>
          <w:sz w:val="22"/>
        </w:rPr>
        <w:t>The engulfing bar of a bullish outside reversal setup has a low that is below the prior bar’s low (L &lt; L[1]) and a close that is above the prior bar’s high (C &gt; H[1]).</w:t>
      </w:r>
    </w:p>
    <w:p>
      <w:pPr>
        <w:pStyle w:val="ListParagraph"/>
        <w:numPr>
          <w:ilvl w:val="0"/>
          <w:numId w:val="3"/>
        </w:numPr>
        <w:tabs>
          <w:tab w:pos="860" w:val="left" w:leader="none"/>
        </w:tabs>
        <w:spacing w:line="276" w:lineRule="auto" w:before="0" w:after="0"/>
        <w:ind w:left="859" w:right="499" w:hanging="360"/>
        <w:jc w:val="both"/>
        <w:rPr>
          <w:sz w:val="22"/>
        </w:rPr>
      </w:pPr>
      <w:r>
        <w:rPr>
          <w:sz w:val="22"/>
        </w:rPr>
        <w:t>The engulfing bar of a bearish outside reversal setup has a high that</w:t>
      </w:r>
      <w:r>
        <w:rPr>
          <w:spacing w:val="40"/>
          <w:sz w:val="22"/>
        </w:rPr>
        <w:t> </w:t>
      </w:r>
      <w:r>
        <w:rPr>
          <w:sz w:val="22"/>
        </w:rPr>
        <w:t>is above the prior bar’s high (H &gt; H[1]) and a close that is below the prior bar’s low (C &lt; L[1]).</w:t>
      </w:r>
    </w:p>
    <w:p>
      <w:pPr>
        <w:pStyle w:val="ListParagraph"/>
        <w:numPr>
          <w:ilvl w:val="0"/>
          <w:numId w:val="3"/>
        </w:numPr>
        <w:tabs>
          <w:tab w:pos="860" w:val="left" w:leader="none"/>
        </w:tabs>
        <w:spacing w:line="276" w:lineRule="auto" w:before="1" w:after="0"/>
        <w:ind w:left="859" w:right="497" w:hanging="360"/>
        <w:jc w:val="both"/>
        <w:rPr>
          <w:sz w:val="22"/>
        </w:rPr>
      </w:pPr>
      <w:r>
        <w:rPr>
          <w:sz w:val="22"/>
        </w:rPr>
        <w:t>The engulfing bar is usually 5 to 25 percent larger than the size of</w:t>
      </w:r>
      <w:r>
        <w:rPr>
          <w:spacing w:val="80"/>
          <w:sz w:val="22"/>
        </w:rPr>
        <w:t> </w:t>
      </w:r>
      <w:r>
        <w:rPr>
          <w:sz w:val="22"/>
        </w:rPr>
        <w:t>the average bar in the lookback period.</w:t>
      </w:r>
    </w:p>
    <w:p>
      <w:pPr>
        <w:pStyle w:val="BodyText"/>
        <w:spacing w:before="10"/>
        <w:rPr>
          <w:sz w:val="21"/>
        </w:rPr>
      </w:pPr>
    </w:p>
    <w:p>
      <w:pPr>
        <w:pStyle w:val="BodyText"/>
        <w:spacing w:before="1"/>
        <w:ind w:left="139"/>
        <w:jc w:val="both"/>
      </w:pPr>
      <w:r>
        <w:rPr/>
        <w:t>PATTERN</w:t>
      </w:r>
      <w:r>
        <w:rPr>
          <w:spacing w:val="-10"/>
        </w:rPr>
        <w:t> </w:t>
      </w:r>
      <w:r>
        <w:rPr>
          <w:spacing w:val="-2"/>
        </w:rPr>
        <w:t>PSYCHOLOGY</w:t>
      </w:r>
    </w:p>
    <w:p>
      <w:pPr>
        <w:pStyle w:val="BodyText"/>
      </w:pPr>
    </w:p>
    <w:p>
      <w:pPr>
        <w:pStyle w:val="BodyText"/>
        <w:ind w:left="139" w:right="497" w:firstLine="432"/>
        <w:jc w:val="both"/>
      </w:pPr>
      <w:r>
        <w:rPr/>
        <w:t>The power behind this pattern lies in the psychology behind the traders involved in this setup. If you have ever participated in a breakout at support or resistance only to have the market reverse sharply against you, then you are familiar with the market dynamics of this setup.</w:t>
      </w:r>
      <w:r>
        <w:rPr>
          <w:spacing w:val="-1"/>
        </w:rPr>
        <w:t> </w:t>
      </w:r>
      <w:r>
        <w:rPr/>
        <w:t>What exactly</w:t>
      </w:r>
      <w:r>
        <w:rPr>
          <w:spacing w:val="-1"/>
        </w:rPr>
        <w:t> </w:t>
      </w:r>
      <w:r>
        <w:rPr/>
        <w:t>is going on at these levels? To understand this concept is to understand the outside reversal pattern. Basically, market participants are testing the waters above resistance or below support to make sure there is no new business to be done at these levels. When no initiative buyers or sellers participate in range extension, responsive participants have all the information they need to reverse price back toward a new area of perceived value.</w:t>
      </w:r>
    </w:p>
    <w:p>
      <w:pPr>
        <w:pStyle w:val="BodyText"/>
        <w:ind w:left="139" w:right="497" w:firstLine="432"/>
        <w:jc w:val="both"/>
      </w:pPr>
      <w:r>
        <w:rPr/>
        <w:t>As you look at a bullish outside reversal pattern, you will notice that the current bar’s low is lower than the prior bar’s low. Essentially, the market is testing the waters below recently established lows to see if a downside follow-through will occur. When no additional selling pressure enters the market,</w:t>
      </w:r>
      <w:r>
        <w:rPr/>
        <w:t> the result is a flood of buying pressure that causes a springboard effect, thereby shooting price above the prior bar’s highs and creating the beginning of a bullish advance.</w:t>
      </w:r>
    </w:p>
    <w:p>
      <w:pPr>
        <w:pStyle w:val="BodyText"/>
        <w:ind w:left="139" w:right="496" w:firstLine="432"/>
        <w:jc w:val="both"/>
      </w:pPr>
      <w:r>
        <w:rPr/>
        <w:t>If</w:t>
      </w:r>
      <w:r>
        <w:rPr>
          <w:spacing w:val="-4"/>
        </w:rPr>
        <w:t> </w:t>
      </w:r>
      <w:r>
        <w:rPr/>
        <w:t>you</w:t>
      </w:r>
      <w:r>
        <w:rPr>
          <w:spacing w:val="-3"/>
        </w:rPr>
        <w:t> </w:t>
      </w:r>
      <w:r>
        <w:rPr/>
        <w:t>recall</w:t>
      </w:r>
      <w:r>
        <w:rPr>
          <w:spacing w:val="-4"/>
        </w:rPr>
        <w:t> </w:t>
      </w:r>
      <w:r>
        <w:rPr/>
        <w:t>the</w:t>
      </w:r>
      <w:r>
        <w:rPr>
          <w:spacing w:val="-3"/>
        </w:rPr>
        <w:t> </w:t>
      </w:r>
      <w:r>
        <w:rPr/>
        <w:t>child</w:t>
      </w:r>
      <w:r>
        <w:rPr>
          <w:spacing w:val="-3"/>
        </w:rPr>
        <w:t> </w:t>
      </w:r>
      <w:r>
        <w:rPr/>
        <w:t>on</w:t>
      </w:r>
      <w:r>
        <w:rPr>
          <w:spacing w:val="-3"/>
        </w:rPr>
        <w:t> </w:t>
      </w:r>
      <w:r>
        <w:rPr/>
        <w:t>the</w:t>
      </w:r>
      <w:r>
        <w:rPr>
          <w:spacing w:val="-3"/>
        </w:rPr>
        <w:t> </w:t>
      </w:r>
      <w:r>
        <w:rPr/>
        <w:t>trampoline</w:t>
      </w:r>
      <w:r>
        <w:rPr>
          <w:spacing w:val="-2"/>
        </w:rPr>
        <w:t> </w:t>
      </w:r>
      <w:r>
        <w:rPr/>
        <w:t>for</w:t>
      </w:r>
      <w:r>
        <w:rPr>
          <w:spacing w:val="-4"/>
        </w:rPr>
        <w:t> </w:t>
      </w:r>
      <w:r>
        <w:rPr/>
        <w:t>a</w:t>
      </w:r>
      <w:r>
        <w:rPr>
          <w:spacing w:val="-2"/>
        </w:rPr>
        <w:t> </w:t>
      </w:r>
      <w:r>
        <w:rPr/>
        <w:t>moment,</w:t>
      </w:r>
      <w:r>
        <w:rPr>
          <w:spacing w:val="-3"/>
        </w:rPr>
        <w:t> </w:t>
      </w:r>
      <w:r>
        <w:rPr/>
        <w:t>you’ll</w:t>
      </w:r>
      <w:r>
        <w:rPr>
          <w:spacing w:val="-3"/>
        </w:rPr>
        <w:t> </w:t>
      </w:r>
      <w:r>
        <w:rPr/>
        <w:t>realize</w:t>
      </w:r>
      <w:r>
        <w:rPr>
          <w:spacing w:val="-4"/>
        </w:rPr>
        <w:t> </w:t>
      </w:r>
      <w:r>
        <w:rPr/>
        <w:t>that the child had to force the bounce mat down before he could spring into the air.</w:t>
      </w:r>
      <w:r>
        <w:rPr>
          <w:spacing w:val="28"/>
        </w:rPr>
        <w:t> </w:t>
      </w:r>
      <w:r>
        <w:rPr/>
        <w:t>Also,</w:t>
      </w:r>
      <w:r>
        <w:rPr>
          <w:spacing w:val="28"/>
        </w:rPr>
        <w:t> </w:t>
      </w:r>
      <w:r>
        <w:rPr/>
        <w:t>remember</w:t>
      </w:r>
      <w:r>
        <w:rPr>
          <w:spacing w:val="29"/>
        </w:rPr>
        <w:t> </w:t>
      </w:r>
      <w:r>
        <w:rPr/>
        <w:t>Jennifer</w:t>
      </w:r>
      <w:r>
        <w:rPr>
          <w:spacing w:val="28"/>
        </w:rPr>
        <w:t> </w:t>
      </w:r>
      <w:r>
        <w:rPr/>
        <w:t>the</w:t>
      </w:r>
      <w:r>
        <w:rPr>
          <w:spacing w:val="29"/>
        </w:rPr>
        <w:t> </w:t>
      </w:r>
      <w:r>
        <w:rPr/>
        <w:t>cake</w:t>
      </w:r>
      <w:r>
        <w:rPr>
          <w:spacing w:val="29"/>
        </w:rPr>
        <w:t> </w:t>
      </w:r>
      <w:r>
        <w:rPr/>
        <w:t>baker?</w:t>
      </w:r>
      <w:r>
        <w:rPr>
          <w:spacing w:val="28"/>
        </w:rPr>
        <w:t> </w:t>
      </w:r>
      <w:r>
        <w:rPr/>
        <w:t>She</w:t>
      </w:r>
      <w:r>
        <w:rPr>
          <w:spacing w:val="28"/>
        </w:rPr>
        <w:t> </w:t>
      </w:r>
      <w:r>
        <w:rPr/>
        <w:t>initially</w:t>
      </w:r>
      <w:r>
        <w:rPr>
          <w:spacing w:val="28"/>
        </w:rPr>
        <w:t> </w:t>
      </w:r>
      <w:r>
        <w:rPr/>
        <w:t>pushed</w:t>
      </w:r>
      <w:r>
        <w:rPr>
          <w:spacing w:val="29"/>
        </w:rPr>
        <w:t> </w:t>
      </w:r>
      <w:r>
        <w:rPr/>
        <w:t>price</w:t>
      </w:r>
      <w:r>
        <w:rPr>
          <w:spacing w:val="28"/>
        </w:rPr>
        <w:t> </w:t>
      </w:r>
      <w:r>
        <w:rPr>
          <w:spacing w:val="-5"/>
        </w:rPr>
        <w:t>to</w:t>
      </w:r>
    </w:p>
    <w:p>
      <w:pPr>
        <w:pStyle w:val="BodyText"/>
        <w:ind w:left="139" w:right="495"/>
        <w:jc w:val="both"/>
      </w:pPr>
      <w:r>
        <w:rPr/>
        <w:t>$20 per cake, which sent a flood of orders into her shop. The flood of buying pressure eventually sent the price of her cakes to $35 apiece. Basically, price had to test the $20 level before it could rise to $35.</w:t>
      </w:r>
    </w:p>
    <w:p>
      <w:pPr>
        <w:spacing w:after="0"/>
        <w:jc w:val="both"/>
        <w:sectPr>
          <w:pgSz w:w="8640" w:h="12960"/>
          <w:pgMar w:header="579" w:footer="1039" w:top="760" w:bottom="1260" w:left="580" w:right="580"/>
        </w:sectPr>
      </w:pPr>
    </w:p>
    <w:p>
      <w:pPr>
        <w:pStyle w:val="BodyText"/>
        <w:spacing w:before="3"/>
      </w:pPr>
    </w:p>
    <w:p>
      <w:pPr>
        <w:pStyle w:val="BodyText"/>
        <w:spacing w:before="64"/>
        <w:ind w:left="500" w:right="136" w:firstLine="432"/>
        <w:jc w:val="both"/>
      </w:pPr>
      <w:r>
        <w:rPr/>
        <w:t>Let’s analyze the outside reversal setup in a different light for a</w:t>
      </w:r>
      <w:r>
        <w:rPr>
          <w:spacing w:val="80"/>
        </w:rPr>
        <w:t> </w:t>
      </w:r>
      <w:r>
        <w:rPr/>
        <w:t>moment. One of the reasons I like this setup is because the two-bar pattern reduces into the wick reversal setup, which we covered earlier in the chapter. If you are not familiar with candlestick reduction, the idea is simple. You are taking the price data over two or more candlesticks and combining them to create a single candlestick. Therefore, you will be taking the open, high, low, and close prices of the bars in question to create a single composite </w:t>
      </w:r>
      <w:r>
        <w:rPr>
          <w:spacing w:val="-2"/>
        </w:rPr>
        <w:t>candlestick.</w:t>
      </w:r>
    </w:p>
    <w:p>
      <w:pPr>
        <w:pStyle w:val="BodyText"/>
        <w:spacing w:before="1"/>
        <w:ind w:left="500" w:right="136" w:firstLine="432"/>
        <w:jc w:val="both"/>
      </w:pPr>
      <w:r>
        <w:rPr/>
        <w:t>Take a look</w:t>
      </w:r>
      <w:r>
        <w:rPr>
          <w:spacing w:val="-1"/>
        </w:rPr>
        <w:t> </w:t>
      </w:r>
      <w:r>
        <w:rPr/>
        <w:t>at Figure</w:t>
      </w:r>
      <w:r>
        <w:rPr>
          <w:spacing w:val="-1"/>
        </w:rPr>
        <w:t> </w:t>
      </w:r>
      <w:r>
        <w:rPr/>
        <w:t>2.13,</w:t>
      </w:r>
      <w:r>
        <w:rPr>
          <w:spacing w:val="-1"/>
        </w:rPr>
        <w:t> </w:t>
      </w:r>
      <w:r>
        <w:rPr/>
        <w:t>which illustrates the candlestick reduction of the outside reversal setup. Essentially, taking the highest high and the lowest low over the two-bar period gives you the range of the composite</w:t>
      </w:r>
      <w:r>
        <w:rPr>
          <w:spacing w:val="40"/>
        </w:rPr>
        <w:t> </w:t>
      </w:r>
      <w:r>
        <w:rPr/>
        <w:t>candlestick. Then, taking the opening price of the first candle and the closing price of the last candle will finish off the composite candlestick. Depending on the structure of the bars of the outside reversal setup, the result of the candlestick reduction will usually be the transformation into a wick reversal setup, which we know to be quite powerful. Therefore, in many cases the physiology</w:t>
      </w:r>
      <w:r>
        <w:rPr>
          <w:spacing w:val="-1"/>
        </w:rPr>
        <w:t> </w:t>
      </w:r>
      <w:r>
        <w:rPr/>
        <w:t>of</w:t>
      </w:r>
      <w:r>
        <w:rPr>
          <w:spacing w:val="-1"/>
        </w:rPr>
        <w:t> </w:t>
      </w:r>
      <w:r>
        <w:rPr/>
        <w:t>the outside reversal pattern basically</w:t>
      </w:r>
      <w:r>
        <w:rPr>
          <w:spacing w:val="-1"/>
        </w:rPr>
        <w:t> </w:t>
      </w:r>
      <w:r>
        <w:rPr/>
        <w:t>demonstrates the inherent psychological traits of the wick reversal pattern. This is just another level of analysis that reinforces my belief in the outside reversal setup.</w:t>
      </w:r>
    </w:p>
    <w:p>
      <w:pPr>
        <w:pStyle w:val="BodyText"/>
        <w:rPr>
          <w:sz w:val="20"/>
        </w:rPr>
      </w:pPr>
      <w:r>
        <w:rPr/>
        <w:pict>
          <v:group style="position:absolute;margin-left:76.125pt;margin-top:12.770809pt;width:297.75pt;height:139.950pt;mso-position-horizontal-relative:page;mso-position-vertical-relative:paragraph;z-index:-15710208;mso-wrap-distance-left:0;mso-wrap-distance-right:0" id="docshapegroup166" coordorigin="1523,255" coordsize="5955,2799">
            <v:shape style="position:absolute;left:1530;top:262;width:5940;height:2784" id="docshape167" coordorigin="1530,263" coordsize="5940,2784" path="m7470,263l1530,263,1530,3047,7470,3047,7470,263xm7470,276l1530,276,1530,784,7470,784,7470,276xe" filled="false" stroked="true" strokeweight=".75pt" strokecolor="#000000">
              <v:path arrowok="t"/>
              <v:stroke dashstyle="solid"/>
            </v:shape>
            <v:shape style="position:absolute;left:2728;top:2516;width:143;height:143" id="docshape168" coordorigin="2729,2517" coordsize="143,143" path="m2801,2517l2729,2659,2872,2659,2801,2517xe" filled="false" stroked="true" strokeweight=".75pt" strokecolor="#000000">
              <v:path arrowok="t"/>
              <v:stroke dashstyle="solid"/>
            </v:shape>
            <v:shape style="position:absolute;left:5508;top:1180;width:143;height:143" id="docshape169" coordorigin="5508,1181" coordsize="143,143" path="m5508,1181l5651,1181,5580,1324,5508,1181xe" filled="false" stroked="true" strokeweight=".75pt" strokecolor="#000000">
              <v:path arrowok="t"/>
              <v:stroke dashstyle="solid"/>
            </v:shape>
            <v:line style="position:absolute" from="2804,2129" to="2804,2472" stroked="true" strokeweight=".81pt" strokecolor="#000000">
              <v:stroke dashstyle="solid"/>
            </v:line>
            <v:rect style="position:absolute;left:2688;top:1477;width:226;height:652" id="docshape170" filled="false" stroked="true" strokeweight=".75pt" strokecolor="#000000">
              <v:stroke dashstyle="solid"/>
            </v:rect>
            <v:line style="position:absolute" from="5580,1733" to="5581,1386" stroked="true" strokeweight=".75pt" strokecolor="#000000">
              <v:stroke dashstyle="solid"/>
            </v:line>
            <v:rect style="position:absolute;left:5464;top:1701;width:227;height:792" id="docshape171" filled="true" fillcolor="#000000" stroked="false">
              <v:fill type="solid"/>
            </v:rect>
            <v:rect style="position:absolute;left:5464;top:1701;width:226;height:792" id="docshape172" filled="false" stroked="true" strokeweight=".75pt" strokecolor="#000000">
              <v:stroke dashstyle="solid"/>
            </v:rect>
            <v:line style="position:absolute" from="2474,2310" to="2474,1571" stroked="true" strokeweight=".75pt" strokecolor="#000000">
              <v:stroke dashstyle="solid"/>
            </v:line>
            <v:rect style="position:absolute;left:2359;top:1623;width:226;height:506" id="docshape173" filled="true" fillcolor="#000000" stroked="false">
              <v:fill type="solid"/>
            </v:rect>
            <v:rect style="position:absolute;left:2359;top:1623;width:226;height:506" id="docshape174" filled="false" stroked="true" strokeweight=".75pt" strokecolor="#000000">
              <v:stroke dashstyle="solid"/>
            </v:rect>
            <v:shape style="position:absolute;left:5230;top:1568;width:2;height:832" id="docshape175" coordorigin="5231,1569" coordsize="0,832" path="m5231,2305l5231,2400m5231,1569l5231,1733e" filled="false" stroked="true" strokeweight=".75pt" strokecolor="#000000">
              <v:path arrowok="t"/>
              <v:stroke dashstyle="solid"/>
            </v:shape>
            <v:rect style="position:absolute;left:5115;top:1732;width:227;height:573" id="docshape176" filled="false" stroked="true" strokeweight=".75pt" strokecolor="#000000">
              <v:stroke dashstyle="solid"/>
            </v:rect>
            <v:shape style="position:absolute;left:6531;top:1183;width:143;height:143" id="docshape177" coordorigin="6532,1183" coordsize="143,143" path="m6532,1183l6674,1183,6604,1326,6532,1183xe" filled="false" stroked="true" strokeweight=".75pt" strokecolor="#000000">
              <v:path arrowok="t"/>
              <v:stroke dashstyle="solid"/>
            </v:shape>
            <v:shape style="position:absolute;left:3759;top:2518;width:143;height:143" id="docshape178" coordorigin="3760,2519" coordsize="143,143" path="m3832,2519l3760,2662,3902,2662,3832,2519xe" filled="false" stroked="true" strokeweight=".75pt" strokecolor="#000000">
              <v:path arrowok="t"/>
              <v:stroke dashstyle="solid"/>
            </v:shape>
            <v:line style="position:absolute" from="3827,1624" to="3827,2467" stroked="true" strokeweight=".75pt" strokecolor="#000000">
              <v:stroke dashstyle="solid"/>
            </v:line>
            <v:rect style="position:absolute;left:3711;top:1478;width:227;height:146" id="docshape179" filled="false" stroked="true" strokeweight=".75pt" strokecolor="#000000">
              <v:stroke dashstyle="solid"/>
            </v:rect>
            <v:line style="position:absolute" from="6604,2310" to="6604,1386" stroked="true" strokeweight=".75pt" strokecolor="#000000">
              <v:stroke dashstyle="solid"/>
            </v:line>
            <v:rect style="position:absolute;left:6489;top:2310;width:226;height:186" id="docshape180" filled="true" fillcolor="#000000" stroked="false">
              <v:fill type="solid"/>
            </v:rect>
            <v:rect style="position:absolute;left:6488;top:2310;width:227;height:186" id="docshape181" filled="false" stroked="true" strokeweight=".75pt" strokecolor="#000000">
              <v:stroke dashstyle="solid"/>
            </v:rect>
            <v:shape style="position:absolute;left:3240;top:1774;width:167;height:220" type="#_x0000_t202" id="docshape182" filled="false" stroked="false">
              <v:textbox inset="0,0,0,0">
                <w:txbxContent>
                  <w:p>
                    <w:pPr>
                      <w:spacing w:line="190" w:lineRule="exact" w:before="30"/>
                      <w:ind w:left="0" w:right="0" w:firstLine="0"/>
                      <w:jc w:val="left"/>
                      <w:rPr>
                        <w:rFonts w:ascii="Garamond"/>
                        <w:sz w:val="22"/>
                      </w:rPr>
                    </w:pPr>
                    <w:r>
                      <w:rPr>
                        <w:rFonts w:ascii="Garamond"/>
                        <w:w w:val="99"/>
                        <w:sz w:val="22"/>
                      </w:rPr>
                      <w:t>=</w:t>
                    </w:r>
                  </w:p>
                </w:txbxContent>
              </v:textbox>
              <w10:wrap type="none"/>
            </v:shape>
            <v:shape style="position:absolute;left:6014;top:1777;width:167;height:220" type="#_x0000_t202" id="docshape183" filled="false" stroked="false">
              <v:textbox inset="0,0,0,0">
                <w:txbxContent>
                  <w:p>
                    <w:pPr>
                      <w:spacing w:line="190" w:lineRule="exact" w:before="30"/>
                      <w:ind w:left="0" w:right="0" w:firstLine="0"/>
                      <w:jc w:val="left"/>
                      <w:rPr>
                        <w:rFonts w:ascii="Garamond"/>
                        <w:sz w:val="22"/>
                      </w:rPr>
                    </w:pPr>
                    <w:r>
                      <w:rPr>
                        <w:rFonts w:ascii="Garamond"/>
                        <w:w w:val="99"/>
                        <w:sz w:val="22"/>
                      </w:rPr>
                      <w:t>=</w:t>
                    </w:r>
                  </w:p>
                </w:txbxContent>
              </v:textbox>
              <w10:wrap type="none"/>
            </v:shape>
            <v:shape style="position:absolute;left:1522;top:255;width:5955;height:536" type="#_x0000_t202" id="docshape184" filled="true" fillcolor="#000000" stroked="false">
              <v:textbox inset="0,0,0,0">
                <w:txbxContent>
                  <w:p>
                    <w:pPr>
                      <w:spacing w:before="98"/>
                      <w:ind w:left="182" w:right="0" w:firstLine="0"/>
                      <w:jc w:val="left"/>
                      <w:rPr>
                        <w:rFonts w:ascii="Verdana"/>
                        <w:color w:val="000000"/>
                        <w:sz w:val="28"/>
                      </w:rPr>
                    </w:pPr>
                    <w:r>
                      <w:rPr>
                        <w:rFonts w:ascii="Verdana"/>
                        <w:color w:val="FFFFFF"/>
                        <w:sz w:val="28"/>
                      </w:rPr>
                      <w:t>Outside</w:t>
                    </w:r>
                    <w:r>
                      <w:rPr>
                        <w:rFonts w:ascii="Verdana"/>
                        <w:color w:val="FFFFFF"/>
                        <w:spacing w:val="-16"/>
                        <w:sz w:val="28"/>
                      </w:rPr>
                      <w:t> </w:t>
                    </w:r>
                    <w:r>
                      <w:rPr>
                        <w:rFonts w:ascii="Verdana"/>
                        <w:color w:val="FFFFFF"/>
                        <w:sz w:val="28"/>
                      </w:rPr>
                      <w:t>Reversal</w:t>
                    </w:r>
                    <w:r>
                      <w:rPr>
                        <w:rFonts w:ascii="Verdana"/>
                        <w:color w:val="FFFFFF"/>
                        <w:spacing w:val="-16"/>
                        <w:sz w:val="28"/>
                      </w:rPr>
                      <w:t> </w:t>
                    </w:r>
                    <w:r>
                      <w:rPr>
                        <w:rFonts w:ascii="Verdana"/>
                        <w:color w:val="FFFFFF"/>
                        <w:sz w:val="28"/>
                      </w:rPr>
                      <w:t>Candlestick</w:t>
                    </w:r>
                    <w:r>
                      <w:rPr>
                        <w:rFonts w:ascii="Verdana"/>
                        <w:color w:val="FFFFFF"/>
                        <w:spacing w:val="-16"/>
                        <w:sz w:val="28"/>
                      </w:rPr>
                      <w:t> </w:t>
                    </w:r>
                    <w:r>
                      <w:rPr>
                        <w:rFonts w:ascii="Verdana"/>
                        <w:color w:val="FFFFFF"/>
                        <w:spacing w:val="-2"/>
                        <w:sz w:val="28"/>
                      </w:rPr>
                      <w:t>Reduction</w:t>
                    </w:r>
                  </w:p>
                </w:txbxContent>
              </v:textbox>
              <v:fill type="solid"/>
              <w10:wrap type="none"/>
            </v:shape>
            <w10:wrap type="topAndBottom"/>
          </v:group>
        </w:pict>
      </w:r>
    </w:p>
    <w:p>
      <w:pPr>
        <w:spacing w:before="0"/>
        <w:ind w:left="931" w:right="0" w:firstLine="0"/>
        <w:jc w:val="left"/>
        <w:rPr>
          <w:sz w:val="16"/>
        </w:rPr>
      </w:pPr>
      <w:r>
        <w:rPr>
          <w:sz w:val="16"/>
        </w:rPr>
        <w:t>FIGURE</w:t>
      </w:r>
      <w:r>
        <w:rPr>
          <w:spacing w:val="1"/>
          <w:sz w:val="16"/>
        </w:rPr>
        <w:t> </w:t>
      </w:r>
      <w:r>
        <w:rPr>
          <w:sz w:val="16"/>
        </w:rPr>
        <w:t>2.13:</w:t>
      </w:r>
      <w:r>
        <w:rPr>
          <w:spacing w:val="1"/>
          <w:sz w:val="16"/>
        </w:rPr>
        <w:t> </w:t>
      </w:r>
      <w:r>
        <w:rPr>
          <w:sz w:val="16"/>
        </w:rPr>
        <w:t>Diagram</w:t>
      </w:r>
      <w:r>
        <w:rPr>
          <w:spacing w:val="2"/>
          <w:sz w:val="16"/>
        </w:rPr>
        <w:t> </w:t>
      </w:r>
      <w:r>
        <w:rPr>
          <w:sz w:val="16"/>
        </w:rPr>
        <w:t>of</w:t>
      </w:r>
      <w:r>
        <w:rPr>
          <w:spacing w:val="2"/>
          <w:sz w:val="16"/>
        </w:rPr>
        <w:t> </w:t>
      </w:r>
      <w:r>
        <w:rPr>
          <w:sz w:val="16"/>
        </w:rPr>
        <w:t>the</w:t>
      </w:r>
      <w:r>
        <w:rPr>
          <w:spacing w:val="1"/>
          <w:sz w:val="16"/>
        </w:rPr>
        <w:t> </w:t>
      </w:r>
      <w:r>
        <w:rPr>
          <w:sz w:val="16"/>
        </w:rPr>
        <w:t>outside</w:t>
      </w:r>
      <w:r>
        <w:rPr>
          <w:spacing w:val="1"/>
          <w:sz w:val="16"/>
        </w:rPr>
        <w:t> </w:t>
      </w:r>
      <w:r>
        <w:rPr>
          <w:sz w:val="16"/>
        </w:rPr>
        <w:t>reversal</w:t>
      </w:r>
      <w:r>
        <w:rPr>
          <w:spacing w:val="2"/>
          <w:sz w:val="16"/>
        </w:rPr>
        <w:t> </w:t>
      </w:r>
      <w:r>
        <w:rPr>
          <w:sz w:val="16"/>
        </w:rPr>
        <w:t>setup’s</w:t>
      </w:r>
      <w:r>
        <w:rPr>
          <w:spacing w:val="1"/>
          <w:sz w:val="16"/>
        </w:rPr>
        <w:t> </w:t>
      </w:r>
      <w:r>
        <w:rPr>
          <w:sz w:val="16"/>
        </w:rPr>
        <w:t>candlestick</w:t>
      </w:r>
      <w:r>
        <w:rPr>
          <w:spacing w:val="1"/>
          <w:sz w:val="16"/>
        </w:rPr>
        <w:t> </w:t>
      </w:r>
      <w:r>
        <w:rPr>
          <w:spacing w:val="-2"/>
          <w:sz w:val="16"/>
        </w:rPr>
        <w:t>reduction</w:t>
      </w:r>
    </w:p>
    <w:p>
      <w:pPr>
        <w:pStyle w:val="BodyText"/>
        <w:spacing w:before="8"/>
        <w:rPr>
          <w:sz w:val="21"/>
        </w:rPr>
      </w:pPr>
    </w:p>
    <w:p>
      <w:pPr>
        <w:pStyle w:val="BodyText"/>
        <w:ind w:left="499"/>
      </w:pPr>
      <w:r>
        <w:rPr>
          <w:spacing w:val="-2"/>
        </w:rPr>
        <w:t>OUTSIDE</w:t>
      </w:r>
      <w:r>
        <w:rPr>
          <w:spacing w:val="-1"/>
        </w:rPr>
        <w:t> </w:t>
      </w:r>
      <w:r>
        <w:rPr>
          <w:spacing w:val="-2"/>
        </w:rPr>
        <w:t>REVERSAL</w:t>
      </w:r>
      <w:r>
        <w:rPr/>
        <w:t> </w:t>
      </w:r>
      <w:r>
        <w:rPr>
          <w:spacing w:val="-2"/>
        </w:rPr>
        <w:t>EXAMPLES</w:t>
      </w:r>
    </w:p>
    <w:p>
      <w:pPr>
        <w:pStyle w:val="BodyText"/>
      </w:pPr>
    </w:p>
    <w:p>
      <w:pPr>
        <w:pStyle w:val="BodyText"/>
        <w:spacing w:before="1"/>
        <w:ind w:left="499" w:right="139" w:firstLine="432"/>
        <w:jc w:val="both"/>
      </w:pPr>
      <w:r>
        <w:rPr/>
        <w:t>As with the wick and extreme reversal setups, I have also included the code for the outside reversal setup in Appendix B. I have used the outside reversal system (file name: sysOutsideRev) to help me easily and quickly identify this pattern for the following examples.</w:t>
      </w:r>
    </w:p>
    <w:p>
      <w:pPr>
        <w:pStyle w:val="BodyText"/>
        <w:ind w:left="499" w:right="135" w:firstLine="432"/>
        <w:jc w:val="both"/>
      </w:pPr>
      <w:r>
        <w:rPr/>
        <w:t>Take a look at Figure 2.14, which is a five-minute chart of the Mini- Sized</w:t>
      </w:r>
      <w:r>
        <w:rPr>
          <w:spacing w:val="-1"/>
        </w:rPr>
        <w:t> </w:t>
      </w:r>
      <w:r>
        <w:rPr/>
        <w:t>Dow</w:t>
      </w:r>
      <w:r>
        <w:rPr>
          <w:spacing w:val="-1"/>
        </w:rPr>
        <w:t> </w:t>
      </w:r>
      <w:r>
        <w:rPr/>
        <w:t>futures</w:t>
      </w:r>
      <w:r>
        <w:rPr>
          <w:spacing w:val="-1"/>
        </w:rPr>
        <w:t> </w:t>
      </w:r>
      <w:r>
        <w:rPr/>
        <w:t>contract.</w:t>
      </w:r>
      <w:r>
        <w:rPr>
          <w:spacing w:val="-1"/>
        </w:rPr>
        <w:t> </w:t>
      </w:r>
      <w:r>
        <w:rPr/>
        <w:t>The</w:t>
      </w:r>
      <w:r>
        <w:rPr>
          <w:spacing w:val="-1"/>
        </w:rPr>
        <w:t> </w:t>
      </w:r>
      <w:r>
        <w:rPr/>
        <w:t>Dow</w:t>
      </w:r>
      <w:r>
        <w:rPr>
          <w:spacing w:val="-1"/>
        </w:rPr>
        <w:t> </w:t>
      </w:r>
      <w:r>
        <w:rPr/>
        <w:t>opened</w:t>
      </w:r>
      <w:r>
        <w:rPr>
          <w:spacing w:val="-1"/>
        </w:rPr>
        <w:t> </w:t>
      </w:r>
      <w:r>
        <w:rPr/>
        <w:t>the</w:t>
      </w:r>
      <w:r>
        <w:rPr>
          <w:spacing w:val="-1"/>
        </w:rPr>
        <w:t> </w:t>
      </w:r>
      <w:r>
        <w:rPr/>
        <w:t>day</w:t>
      </w:r>
      <w:r>
        <w:rPr>
          <w:spacing w:val="-2"/>
        </w:rPr>
        <w:t> </w:t>
      </w:r>
      <w:r>
        <w:rPr/>
        <w:t>lower</w:t>
      </w:r>
      <w:r>
        <w:rPr>
          <w:spacing w:val="-1"/>
        </w:rPr>
        <w:t> </w:t>
      </w:r>
      <w:r>
        <w:rPr/>
        <w:t>and</w:t>
      </w:r>
      <w:r>
        <w:rPr>
          <w:spacing w:val="-1"/>
        </w:rPr>
        <w:t> </w:t>
      </w:r>
      <w:r>
        <w:rPr/>
        <w:t>held</w:t>
      </w:r>
      <w:r>
        <w:rPr>
          <w:spacing w:val="-1"/>
        </w:rPr>
        <w:t> </w:t>
      </w:r>
      <w:r>
        <w:rPr/>
        <w:t>the</w:t>
      </w:r>
      <w:r>
        <w:rPr>
          <w:spacing w:val="-1"/>
        </w:rPr>
        <w:t> </w:t>
      </w:r>
      <w:r>
        <w:rPr/>
        <w:t>first ten</w:t>
      </w:r>
      <w:r>
        <w:rPr>
          <w:spacing w:val="30"/>
        </w:rPr>
        <w:t> </w:t>
      </w:r>
      <w:r>
        <w:rPr/>
        <w:t>minutes</w:t>
      </w:r>
      <w:r>
        <w:rPr>
          <w:spacing w:val="33"/>
        </w:rPr>
        <w:t> </w:t>
      </w:r>
      <w:r>
        <w:rPr/>
        <w:t>of</w:t>
      </w:r>
      <w:r>
        <w:rPr>
          <w:spacing w:val="30"/>
        </w:rPr>
        <w:t> </w:t>
      </w:r>
      <w:r>
        <w:rPr/>
        <w:t>the</w:t>
      </w:r>
      <w:r>
        <w:rPr>
          <w:spacing w:val="31"/>
        </w:rPr>
        <w:t> </w:t>
      </w:r>
      <w:r>
        <w:rPr/>
        <w:t>session.</w:t>
      </w:r>
      <w:r>
        <w:rPr>
          <w:spacing w:val="30"/>
        </w:rPr>
        <w:t> </w:t>
      </w:r>
      <w:r>
        <w:rPr/>
        <w:t>The</w:t>
      </w:r>
      <w:r>
        <w:rPr>
          <w:spacing w:val="31"/>
        </w:rPr>
        <w:t> </w:t>
      </w:r>
      <w:r>
        <w:rPr/>
        <w:t>third</w:t>
      </w:r>
      <w:r>
        <w:rPr>
          <w:spacing w:val="29"/>
        </w:rPr>
        <w:t> </w:t>
      </w:r>
      <w:r>
        <w:rPr/>
        <w:t>candle</w:t>
      </w:r>
      <w:r>
        <w:rPr>
          <w:spacing w:val="31"/>
        </w:rPr>
        <w:t> </w:t>
      </w:r>
      <w:r>
        <w:rPr/>
        <w:t>of</w:t>
      </w:r>
      <w:r>
        <w:rPr>
          <w:spacing w:val="31"/>
        </w:rPr>
        <w:t> </w:t>
      </w:r>
      <w:r>
        <w:rPr/>
        <w:t>the</w:t>
      </w:r>
      <w:r>
        <w:rPr>
          <w:spacing w:val="29"/>
        </w:rPr>
        <w:t> </w:t>
      </w:r>
      <w:r>
        <w:rPr/>
        <w:t>day</w:t>
      </w:r>
      <w:r>
        <w:rPr>
          <w:spacing w:val="31"/>
        </w:rPr>
        <w:t> </w:t>
      </w:r>
      <w:r>
        <w:rPr/>
        <w:t>briefly</w:t>
      </w:r>
      <w:r>
        <w:rPr>
          <w:spacing w:val="28"/>
        </w:rPr>
        <w:t> </w:t>
      </w:r>
      <w:r>
        <w:rPr/>
        <w:t>tested</w:t>
      </w:r>
      <w:r>
        <w:rPr>
          <w:spacing w:val="31"/>
        </w:rPr>
        <w:t> </w:t>
      </w:r>
      <w:r>
        <w:rPr>
          <w:spacing w:val="-5"/>
        </w:rPr>
        <w:t>new</w:t>
      </w:r>
    </w:p>
    <w:p>
      <w:pPr>
        <w:spacing w:after="0"/>
        <w:jc w:val="both"/>
        <w:sectPr>
          <w:pgSz w:w="8640" w:h="12960"/>
          <w:pgMar w:header="536" w:footer="1060" w:top="720" w:bottom="1240" w:left="580" w:right="580"/>
        </w:sectPr>
      </w:pPr>
    </w:p>
    <w:p>
      <w:pPr>
        <w:pStyle w:val="BodyText"/>
        <w:spacing w:before="5"/>
        <w:rPr>
          <w:sz w:val="18"/>
        </w:rPr>
      </w:pPr>
    </w:p>
    <w:p>
      <w:pPr>
        <w:pStyle w:val="BodyText"/>
        <w:spacing w:before="64"/>
        <w:ind w:left="140" w:right="496"/>
        <w:jc w:val="both"/>
      </w:pPr>
      <w:r>
        <w:rPr/>
        <w:t>lows for the session and immediately reversed to close above the prior bar’s high price, thereby forming a bullish outside reversal setup. This</w:t>
      </w:r>
      <w:r>
        <w:rPr>
          <w:spacing w:val="40"/>
        </w:rPr>
        <w:t> </w:t>
      </w:r>
      <w:r>
        <w:rPr/>
        <w:t>development triggered a steady advance during the first hour of the day. Remember,</w:t>
      </w:r>
      <w:r>
        <w:rPr>
          <w:spacing w:val="-2"/>
        </w:rPr>
        <w:t> </w:t>
      </w:r>
      <w:r>
        <w:rPr/>
        <w:t>what</w:t>
      </w:r>
      <w:r>
        <w:rPr>
          <w:spacing w:val="-2"/>
        </w:rPr>
        <w:t> </w:t>
      </w:r>
      <w:r>
        <w:rPr/>
        <w:t>makes</w:t>
      </w:r>
      <w:r>
        <w:rPr>
          <w:spacing w:val="-3"/>
        </w:rPr>
        <w:t> </w:t>
      </w:r>
      <w:r>
        <w:rPr/>
        <w:t>this</w:t>
      </w:r>
      <w:r>
        <w:rPr>
          <w:spacing w:val="-3"/>
        </w:rPr>
        <w:t> </w:t>
      </w:r>
      <w:r>
        <w:rPr/>
        <w:t>pattern</w:t>
      </w:r>
      <w:r>
        <w:rPr>
          <w:spacing w:val="-3"/>
        </w:rPr>
        <w:t> </w:t>
      </w:r>
      <w:r>
        <w:rPr/>
        <w:t>so</w:t>
      </w:r>
      <w:r>
        <w:rPr>
          <w:spacing w:val="-3"/>
        </w:rPr>
        <w:t> </w:t>
      </w:r>
      <w:r>
        <w:rPr/>
        <w:t>powerful</w:t>
      </w:r>
      <w:r>
        <w:rPr>
          <w:spacing w:val="-3"/>
        </w:rPr>
        <w:t> </w:t>
      </w:r>
      <w:r>
        <w:rPr/>
        <w:t>is</w:t>
      </w:r>
      <w:r>
        <w:rPr>
          <w:spacing w:val="-3"/>
        </w:rPr>
        <w:t> </w:t>
      </w:r>
      <w:r>
        <w:rPr/>
        <w:t>the</w:t>
      </w:r>
      <w:r>
        <w:rPr>
          <w:spacing w:val="-3"/>
        </w:rPr>
        <w:t> </w:t>
      </w:r>
      <w:r>
        <w:rPr/>
        <w:t>behavior</w:t>
      </w:r>
      <w:r>
        <w:rPr>
          <w:spacing w:val="-3"/>
        </w:rPr>
        <w:t> </w:t>
      </w:r>
      <w:r>
        <w:rPr/>
        <w:t>of</w:t>
      </w:r>
      <w:r>
        <w:rPr>
          <w:spacing w:val="-4"/>
        </w:rPr>
        <w:t> </w:t>
      </w:r>
      <w:r>
        <w:rPr/>
        <w:t>the</w:t>
      </w:r>
      <w:r>
        <w:rPr>
          <w:spacing w:val="-2"/>
        </w:rPr>
        <w:t> </w:t>
      </w:r>
      <w:r>
        <w:rPr/>
        <w:t>market participants behind the move. Before responsive buyers enter the market,</w:t>
      </w:r>
      <w:r>
        <w:rPr>
          <w:spacing w:val="40"/>
        </w:rPr>
        <w:t> </w:t>
      </w:r>
      <w:r>
        <w:rPr/>
        <w:t>they first test the waters below the day’s low price to see if initiative sellers will enter the market. When initiative sellers remain on the sideline, responsive</w:t>
      </w:r>
      <w:r>
        <w:rPr>
          <w:spacing w:val="-2"/>
        </w:rPr>
        <w:t> </w:t>
      </w:r>
      <w:r>
        <w:rPr/>
        <w:t>buyers</w:t>
      </w:r>
      <w:r>
        <w:rPr>
          <w:spacing w:val="-2"/>
        </w:rPr>
        <w:t> </w:t>
      </w:r>
      <w:r>
        <w:rPr/>
        <w:t>are</w:t>
      </w:r>
      <w:r>
        <w:rPr>
          <w:spacing w:val="-1"/>
        </w:rPr>
        <w:t> </w:t>
      </w:r>
      <w:r>
        <w:rPr/>
        <w:t>able</w:t>
      </w:r>
      <w:r>
        <w:rPr>
          <w:spacing w:val="-1"/>
        </w:rPr>
        <w:t> </w:t>
      </w:r>
      <w:r>
        <w:rPr/>
        <w:t>to</w:t>
      </w:r>
      <w:r>
        <w:rPr>
          <w:spacing w:val="-1"/>
        </w:rPr>
        <w:t> </w:t>
      </w:r>
      <w:r>
        <w:rPr/>
        <w:t>push</w:t>
      </w:r>
      <w:r>
        <w:rPr>
          <w:spacing w:val="-3"/>
        </w:rPr>
        <w:t> </w:t>
      </w:r>
      <w:r>
        <w:rPr/>
        <w:t>price</w:t>
      </w:r>
      <w:r>
        <w:rPr>
          <w:spacing w:val="-1"/>
        </w:rPr>
        <w:t> </w:t>
      </w:r>
      <w:r>
        <w:rPr/>
        <w:t>in</w:t>
      </w:r>
      <w:r>
        <w:rPr>
          <w:spacing w:val="-1"/>
        </w:rPr>
        <w:t> </w:t>
      </w:r>
      <w:r>
        <w:rPr/>
        <w:t>the</w:t>
      </w:r>
      <w:r>
        <w:rPr>
          <w:spacing w:val="-1"/>
        </w:rPr>
        <w:t> </w:t>
      </w:r>
      <w:r>
        <w:rPr/>
        <w:t>opposite</w:t>
      </w:r>
      <w:r>
        <w:rPr>
          <w:spacing w:val="-1"/>
        </w:rPr>
        <w:t> </w:t>
      </w:r>
      <w:r>
        <w:rPr/>
        <w:t>direction</w:t>
      </w:r>
      <w:r>
        <w:rPr>
          <w:spacing w:val="-1"/>
        </w:rPr>
        <w:t> </w:t>
      </w:r>
      <w:r>
        <w:rPr/>
        <w:t>confidently.</w:t>
      </w:r>
    </w:p>
    <w:p>
      <w:pPr>
        <w:pStyle w:val="BodyText"/>
        <w:spacing w:before="4"/>
        <w:rPr>
          <w:sz w:val="23"/>
        </w:rPr>
      </w:pPr>
      <w:r>
        <w:rPr/>
        <w:drawing>
          <wp:anchor distT="0" distB="0" distL="0" distR="0" allowOverlap="1" layoutInCell="1" locked="0" behindDoc="0" simplePos="0" relativeHeight="37">
            <wp:simplePos x="0" y="0"/>
            <wp:positionH relativeFrom="page">
              <wp:posOffset>457200</wp:posOffset>
            </wp:positionH>
            <wp:positionV relativeFrom="paragraph">
              <wp:posOffset>185900</wp:posOffset>
            </wp:positionV>
            <wp:extent cx="4342239" cy="3111722"/>
            <wp:effectExtent l="0" t="0" r="0" b="0"/>
            <wp:wrapTopAndBottom/>
            <wp:docPr id="47" name="image25.png"/>
            <wp:cNvGraphicFramePr>
              <a:graphicFrameLocks noChangeAspect="1"/>
            </wp:cNvGraphicFramePr>
            <a:graphic>
              <a:graphicData uri="http://schemas.openxmlformats.org/drawingml/2006/picture">
                <pic:pic>
                  <pic:nvPicPr>
                    <pic:cNvPr id="48" name="image25.png"/>
                    <pic:cNvPicPr/>
                  </pic:nvPicPr>
                  <pic:blipFill>
                    <a:blip r:embed="rId45" cstate="print"/>
                    <a:stretch>
                      <a:fillRect/>
                    </a:stretch>
                  </pic:blipFill>
                  <pic:spPr>
                    <a:xfrm>
                      <a:off x="0" y="0"/>
                      <a:ext cx="4342239" cy="3111722"/>
                    </a:xfrm>
                    <a:prstGeom prst="rect">
                      <a:avLst/>
                    </a:prstGeom>
                  </pic:spPr>
                </pic:pic>
              </a:graphicData>
            </a:graphic>
          </wp:anchor>
        </w:drawing>
      </w:r>
    </w:p>
    <w:p>
      <w:pPr>
        <w:spacing w:before="34"/>
        <w:ind w:left="140" w:right="0" w:firstLine="0"/>
        <w:jc w:val="both"/>
        <w:rPr>
          <w:sz w:val="16"/>
        </w:rPr>
      </w:pPr>
      <w:r>
        <w:rPr>
          <w:sz w:val="16"/>
        </w:rPr>
        <w:t>FIGURE 2.14:</w:t>
      </w:r>
      <w:r>
        <w:rPr>
          <w:spacing w:val="1"/>
          <w:sz w:val="16"/>
        </w:rPr>
        <w:t> </w:t>
      </w:r>
      <w:r>
        <w:rPr>
          <w:sz w:val="16"/>
        </w:rPr>
        <w:t>The outside</w:t>
      </w:r>
      <w:r>
        <w:rPr>
          <w:spacing w:val="1"/>
          <w:sz w:val="16"/>
        </w:rPr>
        <w:t> </w:t>
      </w:r>
      <w:r>
        <w:rPr>
          <w:sz w:val="16"/>
        </w:rPr>
        <w:t>reversal setup</w:t>
      </w:r>
      <w:r>
        <w:rPr>
          <w:spacing w:val="1"/>
          <w:sz w:val="16"/>
        </w:rPr>
        <w:t> </w:t>
      </w:r>
      <w:r>
        <w:rPr>
          <w:sz w:val="16"/>
        </w:rPr>
        <w:t>found the</w:t>
      </w:r>
      <w:r>
        <w:rPr>
          <w:spacing w:val="1"/>
          <w:sz w:val="16"/>
        </w:rPr>
        <w:t> </w:t>
      </w:r>
      <w:r>
        <w:rPr>
          <w:sz w:val="16"/>
        </w:rPr>
        <w:t>bottom</w:t>
      </w:r>
      <w:r>
        <w:rPr>
          <w:spacing w:val="2"/>
          <w:sz w:val="16"/>
        </w:rPr>
        <w:t> </w:t>
      </w:r>
      <w:r>
        <w:rPr>
          <w:sz w:val="16"/>
        </w:rPr>
        <w:t>in the</w:t>
      </w:r>
      <w:r>
        <w:rPr>
          <w:spacing w:val="1"/>
          <w:sz w:val="16"/>
        </w:rPr>
        <w:t> </w:t>
      </w:r>
      <w:r>
        <w:rPr>
          <w:spacing w:val="-5"/>
          <w:sz w:val="16"/>
        </w:rPr>
        <w:t>YM.</w:t>
      </w:r>
    </w:p>
    <w:p>
      <w:pPr>
        <w:pStyle w:val="BodyText"/>
        <w:spacing w:before="2"/>
      </w:pPr>
    </w:p>
    <w:p>
      <w:pPr>
        <w:pStyle w:val="BodyText"/>
        <w:ind w:left="139" w:right="497" w:firstLine="432"/>
        <w:jc w:val="both"/>
      </w:pPr>
      <w:r>
        <w:rPr/>
        <w:t>Take a look at Figure 2.15, which is a fifteen-minute chart of Research in Motion, Ltd. Price pushed steadily higher from $58.50 to $61.50 over the course of two days, but eventually formed a bearish outside reversal pattern</w:t>
      </w:r>
      <w:r>
        <w:rPr>
          <w:spacing w:val="40"/>
        </w:rPr>
        <w:t> </w:t>
      </w:r>
      <w:r>
        <w:rPr/>
        <w:t>at the top of the move. This setup paved the way for a steady sell-off back to the $58.50 level. In this example, price pushed steadily higher, but ran into a solid wall of responsive selling pressure. However, before responsive market participants could push price back toward fair value, they first had to test</w:t>
      </w:r>
      <w:r>
        <w:rPr>
          <w:spacing w:val="80"/>
        </w:rPr>
        <w:t> </w:t>
      </w:r>
      <w:r>
        <w:rPr/>
        <w:t>new highs to see if additional buyers would enter the market. When initiative buyers sat on their collective hands, responsive sellers were able to push</w:t>
      </w:r>
      <w:r>
        <w:rPr>
          <w:spacing w:val="40"/>
        </w:rPr>
        <w:t> </w:t>
      </w:r>
      <w:r>
        <w:rPr/>
        <w:t>price back toward prior value confidently.</w:t>
      </w:r>
    </w:p>
    <w:p>
      <w:pPr>
        <w:spacing w:after="0"/>
        <w:jc w:val="both"/>
        <w:sectPr>
          <w:pgSz w:w="8640" w:h="12960"/>
          <w:pgMar w:header="579" w:footer="1039"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49" name="image26.png"/>
            <wp:cNvGraphicFramePr>
              <a:graphicFrameLocks noChangeAspect="1"/>
            </wp:cNvGraphicFramePr>
            <a:graphic>
              <a:graphicData uri="http://schemas.openxmlformats.org/drawingml/2006/picture">
                <pic:pic>
                  <pic:nvPicPr>
                    <pic:cNvPr id="50" name="image26.png"/>
                    <pic:cNvPicPr/>
                  </pic:nvPicPr>
                  <pic:blipFill>
                    <a:blip r:embed="rId46"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2.15:</w:t>
      </w:r>
      <w:r>
        <w:rPr>
          <w:spacing w:val="1"/>
          <w:sz w:val="16"/>
        </w:rPr>
        <w:t> </w:t>
      </w:r>
      <w:r>
        <w:rPr>
          <w:sz w:val="16"/>
        </w:rPr>
        <w:t>The</w:t>
      </w:r>
      <w:r>
        <w:rPr>
          <w:spacing w:val="1"/>
          <w:sz w:val="16"/>
        </w:rPr>
        <w:t> </w:t>
      </w:r>
      <w:r>
        <w:rPr>
          <w:sz w:val="16"/>
        </w:rPr>
        <w:t>outside</w:t>
      </w:r>
      <w:r>
        <w:rPr>
          <w:spacing w:val="1"/>
          <w:sz w:val="16"/>
        </w:rPr>
        <w:t> </w:t>
      </w:r>
      <w:r>
        <w:rPr>
          <w:sz w:val="16"/>
        </w:rPr>
        <w:t>reversal</w:t>
      </w:r>
      <w:r>
        <w:rPr>
          <w:spacing w:val="1"/>
          <w:sz w:val="16"/>
        </w:rPr>
        <w:t> </w:t>
      </w:r>
      <w:r>
        <w:rPr>
          <w:sz w:val="16"/>
        </w:rPr>
        <w:t>setup</w:t>
      </w:r>
      <w:r>
        <w:rPr>
          <w:spacing w:val="2"/>
          <w:sz w:val="16"/>
        </w:rPr>
        <w:t> </w:t>
      </w:r>
      <w:r>
        <w:rPr>
          <w:sz w:val="16"/>
        </w:rPr>
        <w:t>marks</w:t>
      </w:r>
      <w:r>
        <w:rPr>
          <w:spacing w:val="1"/>
          <w:sz w:val="16"/>
        </w:rPr>
        <w:t> </w:t>
      </w:r>
      <w:r>
        <w:rPr>
          <w:sz w:val="16"/>
        </w:rPr>
        <w:t>the</w:t>
      </w:r>
      <w:r>
        <w:rPr>
          <w:spacing w:val="1"/>
          <w:sz w:val="16"/>
        </w:rPr>
        <w:t> </w:t>
      </w:r>
      <w:r>
        <w:rPr>
          <w:sz w:val="16"/>
        </w:rPr>
        <w:t>top</w:t>
      </w:r>
      <w:r>
        <w:rPr>
          <w:spacing w:val="2"/>
          <w:sz w:val="16"/>
        </w:rPr>
        <w:t> </w:t>
      </w:r>
      <w:r>
        <w:rPr>
          <w:sz w:val="16"/>
        </w:rPr>
        <w:t>in</w:t>
      </w:r>
      <w:r>
        <w:rPr>
          <w:spacing w:val="1"/>
          <w:sz w:val="16"/>
        </w:rPr>
        <w:t> </w:t>
      </w:r>
      <w:r>
        <w:rPr>
          <w:spacing w:val="-2"/>
          <w:sz w:val="16"/>
        </w:rPr>
        <w:t>RIMM.</w:t>
      </w:r>
    </w:p>
    <w:p>
      <w:pPr>
        <w:pStyle w:val="BodyText"/>
        <w:spacing w:before="1"/>
      </w:pPr>
    </w:p>
    <w:p>
      <w:pPr>
        <w:pStyle w:val="Heading3"/>
        <w:ind w:left="500"/>
      </w:pPr>
      <w:r>
        <w:rPr/>
        <w:pict>
          <v:shape style="position:absolute;margin-left:54.779999pt;margin-top:18.290300pt;width:341pt;height:.1pt;mso-position-horizontal-relative:page;mso-position-vertical-relative:paragraph;z-index:-15709184;mso-wrap-distance-left:0;mso-wrap-distance-right:0" id="docshape185" coordorigin="1096,366" coordsize="6820,0" path="m1096,366l7915,366e" filled="false" stroked="true" strokeweight=".75pt" strokecolor="#000000">
            <v:path arrowok="t"/>
            <v:stroke dashstyle="solid"/>
            <w10:wrap type="topAndBottom"/>
          </v:shape>
        </w:pict>
      </w:r>
      <w:bookmarkStart w:name="_TOC_250076" w:id="15"/>
      <w:r>
        <w:rPr>
          <w:smallCaps/>
        </w:rPr>
        <w:t>The</w:t>
      </w:r>
      <w:r>
        <w:rPr>
          <w:smallCaps/>
          <w:spacing w:val="-10"/>
        </w:rPr>
        <w:t> </w:t>
      </w:r>
      <w:r>
        <w:rPr>
          <w:smallCaps/>
        </w:rPr>
        <w:t>Doji</w:t>
      </w:r>
      <w:r>
        <w:rPr>
          <w:smallCaps/>
          <w:spacing w:val="-7"/>
        </w:rPr>
        <w:t> </w:t>
      </w:r>
      <w:r>
        <w:rPr>
          <w:smallCaps/>
        </w:rPr>
        <w:t>Reversal</w:t>
      </w:r>
      <w:r>
        <w:rPr>
          <w:smallCaps/>
          <w:spacing w:val="-14"/>
        </w:rPr>
        <w:t> </w:t>
      </w:r>
      <w:bookmarkEnd w:id="15"/>
      <w:r>
        <w:rPr>
          <w:smallCaps/>
          <w:spacing w:val="-2"/>
        </w:rPr>
        <w:t>Setup</w:t>
      </w:r>
    </w:p>
    <w:p>
      <w:pPr>
        <w:pStyle w:val="BodyText"/>
        <w:spacing w:before="202"/>
        <w:ind w:left="499" w:right="136" w:firstLine="719"/>
        <w:jc w:val="both"/>
      </w:pPr>
      <w:r>
        <w:rPr/>
        <w:t>The </w:t>
      </w:r>
      <w:r>
        <w:rPr>
          <w:i/>
        </w:rPr>
        <w:t>doji </w:t>
      </w:r>
      <w:r>
        <w:rPr/>
        <w:t>candlestick is one of the most easily recognizable candlestick patterns in the market. This candlestick embodies indecision, which can help to predict an upcoming reversal in price, especially when the pattern forms above or below value. This pattern has been widely documented by many prominent traders and authors and remains a powerful method for spotting important reversal opportunities.</w:t>
      </w:r>
    </w:p>
    <w:p>
      <w:pPr>
        <w:pStyle w:val="BodyText"/>
        <w:spacing w:before="1"/>
      </w:pPr>
    </w:p>
    <w:p>
      <w:pPr>
        <w:spacing w:before="1"/>
        <w:ind w:left="2032" w:right="0" w:hanging="1152"/>
        <w:jc w:val="left"/>
        <w:rPr>
          <w:i/>
          <w:sz w:val="22"/>
        </w:rPr>
      </w:pPr>
      <w:r>
        <w:rPr>
          <w:i/>
          <w:sz w:val="22"/>
        </w:rPr>
        <w:t>The</w:t>
      </w:r>
      <w:r>
        <w:rPr>
          <w:i/>
          <w:spacing w:val="-4"/>
          <w:sz w:val="22"/>
        </w:rPr>
        <w:t> </w:t>
      </w:r>
      <w:r>
        <w:rPr>
          <w:i/>
          <w:sz w:val="22"/>
        </w:rPr>
        <w:t>doji</w:t>
      </w:r>
      <w:r>
        <w:rPr>
          <w:i/>
          <w:spacing w:val="-4"/>
          <w:sz w:val="22"/>
        </w:rPr>
        <w:t> </w:t>
      </w:r>
      <w:r>
        <w:rPr>
          <w:i/>
          <w:sz w:val="22"/>
        </w:rPr>
        <w:t>reversal</w:t>
      </w:r>
      <w:r>
        <w:rPr>
          <w:i/>
          <w:spacing w:val="-5"/>
          <w:sz w:val="22"/>
        </w:rPr>
        <w:t> </w:t>
      </w:r>
      <w:r>
        <w:rPr>
          <w:i/>
          <w:sz w:val="22"/>
        </w:rPr>
        <w:t>setup</w:t>
      </w:r>
      <w:r>
        <w:rPr>
          <w:i/>
          <w:spacing w:val="-5"/>
          <w:sz w:val="22"/>
        </w:rPr>
        <w:t> </w:t>
      </w:r>
      <w:r>
        <w:rPr>
          <w:i/>
          <w:sz w:val="22"/>
        </w:rPr>
        <w:t>pinpoints</w:t>
      </w:r>
      <w:r>
        <w:rPr>
          <w:i/>
          <w:spacing w:val="-4"/>
          <w:sz w:val="22"/>
        </w:rPr>
        <w:t> </w:t>
      </w:r>
      <w:r>
        <w:rPr>
          <w:i/>
          <w:sz w:val="22"/>
        </w:rPr>
        <w:t>indecision</w:t>
      </w:r>
      <w:r>
        <w:rPr>
          <w:i/>
          <w:spacing w:val="-4"/>
          <w:sz w:val="22"/>
        </w:rPr>
        <w:t> </w:t>
      </w:r>
      <w:r>
        <w:rPr>
          <w:i/>
          <w:sz w:val="22"/>
        </w:rPr>
        <w:t>in</w:t>
      </w:r>
      <w:r>
        <w:rPr>
          <w:i/>
          <w:spacing w:val="-6"/>
          <w:sz w:val="22"/>
        </w:rPr>
        <w:t> </w:t>
      </w:r>
      <w:r>
        <w:rPr>
          <w:i/>
          <w:sz w:val="22"/>
        </w:rPr>
        <w:t>the</w:t>
      </w:r>
      <w:r>
        <w:rPr>
          <w:i/>
          <w:spacing w:val="-4"/>
          <w:sz w:val="22"/>
        </w:rPr>
        <w:t> </w:t>
      </w:r>
      <w:r>
        <w:rPr>
          <w:i/>
          <w:sz w:val="22"/>
        </w:rPr>
        <w:t>market,</w:t>
      </w:r>
      <w:r>
        <w:rPr>
          <w:i/>
          <w:spacing w:val="-5"/>
          <w:sz w:val="22"/>
        </w:rPr>
        <w:t> </w:t>
      </w:r>
      <w:r>
        <w:rPr>
          <w:i/>
          <w:sz w:val="22"/>
        </w:rPr>
        <w:t>which</w:t>
      </w:r>
      <w:r>
        <w:rPr>
          <w:i/>
          <w:spacing w:val="-4"/>
          <w:sz w:val="22"/>
        </w:rPr>
        <w:t> </w:t>
      </w:r>
      <w:r>
        <w:rPr>
          <w:i/>
          <w:sz w:val="22"/>
        </w:rPr>
        <w:t>can</w:t>
      </w:r>
      <w:r>
        <w:rPr>
          <w:i/>
          <w:sz w:val="22"/>
        </w:rPr>
        <w:t> highlight profitable reversal opportunities.</w:t>
      </w:r>
    </w:p>
    <w:p>
      <w:pPr>
        <w:pStyle w:val="BodyText"/>
        <w:spacing w:before="9"/>
        <w:rPr>
          <w:i/>
          <w:sz w:val="21"/>
        </w:rPr>
      </w:pPr>
    </w:p>
    <w:p>
      <w:pPr>
        <w:pStyle w:val="BodyText"/>
        <w:ind w:left="499"/>
      </w:pPr>
      <w:r>
        <w:rPr/>
        <w:t>PATTERN</w:t>
      </w:r>
      <w:r>
        <w:rPr>
          <w:spacing w:val="-10"/>
        </w:rPr>
        <w:t> </w:t>
      </w:r>
      <w:r>
        <w:rPr>
          <w:spacing w:val="-2"/>
        </w:rPr>
        <w:t>STRUCTURE</w:t>
      </w:r>
    </w:p>
    <w:p>
      <w:pPr>
        <w:pStyle w:val="BodyText"/>
        <w:spacing w:before="1"/>
      </w:pPr>
    </w:p>
    <w:p>
      <w:pPr>
        <w:pStyle w:val="BodyText"/>
        <w:ind w:left="499" w:right="135" w:firstLine="432"/>
        <w:jc w:val="both"/>
      </w:pPr>
      <w:r>
        <w:rPr/>
        <w:t>The doji is traditionally defined as any candlestick that has an opening price that is equal to the closing price. Traditionally speaking, the range of</w:t>
      </w:r>
      <w:r>
        <w:rPr>
          <w:spacing w:val="40"/>
        </w:rPr>
        <w:t> </w:t>
      </w:r>
      <w:r>
        <w:rPr/>
        <w:t>the doji, from low to high, should be smaller than the average range of the bars in the lookback period </w:t>
      </w:r>
      <w:r>
        <w:rPr>
          <w:i/>
        </w:rPr>
        <w:t>and </w:t>
      </w:r>
      <w:r>
        <w:rPr/>
        <w:t>the close price (or open price) of the bar</w:t>
      </w:r>
      <w:r>
        <w:rPr>
          <w:spacing w:val="40"/>
        </w:rPr>
        <w:t> </w:t>
      </w:r>
      <w:r>
        <w:rPr/>
        <w:t>must be at or near the center of the bar’s range, indicating complete</w:t>
      </w:r>
      <w:r>
        <w:rPr>
          <w:spacing w:val="80"/>
        </w:rPr>
        <w:t> </w:t>
      </w:r>
      <w:r>
        <w:rPr/>
        <w:t>neutrality or indecision.</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firstLine="487"/>
        <w:jc w:val="both"/>
      </w:pPr>
      <w:r>
        <w:rPr/>
        <w:t>Figure 2.16 illustrates several types of doji that can be found in the market.</w:t>
      </w:r>
      <w:r>
        <w:rPr/>
        <w:t> The first example illustrates the traditional doji, which has an opening price that is equal to the closing price, a range that is smaller than</w:t>
      </w:r>
      <w:r>
        <w:rPr>
          <w:spacing w:val="40"/>
        </w:rPr>
        <w:t> </w:t>
      </w:r>
      <w:r>
        <w:rPr/>
        <w:t>the average bar in the lookback period, and a close price that is at the center of the range. However, this criterion can be rigid, which severely limits the amount of qualified doji that you will find in the market. With trading instruments moving in minimum tick increments between one and four decimals, it can be tough to find a true doji in the market using this criterion. As such, I am more lenient with the “rules” of the doji, as are many trading professionals. Instead of requiring the closing price to equal the opening price, it is satisfactory to let these two prices fall within a few ticks of each other. Some technicians will even allow anywhere from 5 to 10 percent leniency, as measured by the day’s range. That is, if the Dow Jones has a daily range of fifty points, the bar can be classified a doji if is the closing price and opening price are between 2.5 to five points apart. This point is illustrated by the second and third doji in Figure 2.16.</w:t>
      </w:r>
    </w:p>
    <w:p>
      <w:pPr>
        <w:pStyle w:val="BodyText"/>
        <w:spacing w:before="1"/>
        <w:rPr>
          <w:sz w:val="20"/>
        </w:rPr>
      </w:pPr>
      <w:r>
        <w:rPr/>
        <w:pict>
          <v:group style="position:absolute;margin-left:58.125pt;margin-top:12.791445pt;width:297.75pt;height:196.25pt;mso-position-horizontal-relative:page;mso-position-vertical-relative:paragraph;z-index:-15708672;mso-wrap-distance-left:0;mso-wrap-distance-right:0" id="docshapegroup186" coordorigin="1163,256" coordsize="5955,3925">
            <v:shape style="position:absolute;left:1170;top:263;width:5940;height:3910" id="docshape187" coordorigin="1170,263" coordsize="5940,3910" path="m7110,263l1170,263,1170,4173,7110,4173,7110,263xm7110,277l1170,277,1170,785,7110,785,7110,277xe" filled="false" stroked="true" strokeweight=".75pt" strokecolor="#000000">
              <v:path arrowok="t"/>
              <v:stroke dashstyle="solid"/>
            </v:shape>
            <v:line style="position:absolute" from="2389,1213" to="2389,2080" stroked="true" strokeweight=".75pt" strokecolor="#000000">
              <v:stroke dashstyle="solid"/>
            </v:line>
            <v:line style="position:absolute" from="2000,1636" to="2737,1636" stroked="true" strokeweight=".75pt" strokecolor="#000000">
              <v:stroke dashstyle="solid"/>
            </v:line>
            <v:shape style="position:absolute;left:4126;top:1216;width:2;height:867" id="docshape188" coordorigin="4127,1216" coordsize="0,867" path="m4127,1718l4127,2083m4127,1216l4127,1575e" filled="false" stroked="true" strokeweight=".75pt" strokecolor="#000000">
              <v:path arrowok="t"/>
              <v:stroke dashstyle="solid"/>
            </v:shape>
            <v:rect style="position:absolute;left:3753;top:1574;width:737;height:143" id="docshape189" filled="false" stroked="true" strokeweight=".75pt" strokecolor="#000000">
              <v:stroke dashstyle="solid"/>
            </v:rect>
            <v:line style="position:absolute" from="5884,1216" to="5884,2083" stroked="true" strokeweight=".75pt" strokecolor="#000000">
              <v:stroke dashstyle="solid"/>
            </v:line>
            <v:rect style="position:absolute;left:5511;top:1574;width:737;height:143" id="docshape190" filled="true" fillcolor="#000000" stroked="false">
              <v:fill type="solid"/>
            </v:rect>
            <v:rect style="position:absolute;left:5510;top:1574;width:738;height:143" id="docshape191" filled="false" stroked="true" strokeweight=".75pt" strokecolor="#000000">
              <v:stroke dashstyle="solid"/>
            </v:rect>
            <v:line style="position:absolute" from="4123,2517" to="4123,3779" stroked="true" strokeweight=".75pt" strokecolor="#000000">
              <v:stroke dashstyle="solid"/>
            </v:line>
            <v:line style="position:absolute" from="3733,3105" to="4470,3105" stroked="true" strokeweight=".75pt" strokecolor="#000000">
              <v:stroke dashstyle="solid"/>
            </v:line>
            <v:line style="position:absolute" from="5880,2517" to="5880,3779" stroked="true" strokeweight=".75pt" strokecolor="#000000">
              <v:stroke dashstyle="solid"/>
            </v:line>
            <v:line style="position:absolute" from="5490,2818" to="6227,2818" stroked="true" strokeweight=".75pt" strokecolor="#000000">
              <v:stroke dashstyle="solid"/>
            </v:line>
            <v:line style="position:absolute" from="2390,2519" to="2390,3783" stroked="true" strokeweight=".75pt" strokecolor="#000000">
              <v:stroke dashstyle="solid"/>
            </v:line>
            <v:line style="position:absolute" from="2000,3472" to="2737,3472" stroked="true" strokeweight=".75pt" strokecolor="#000000">
              <v:stroke dashstyle="solid"/>
            </v:line>
            <v:shape style="position:absolute;left:1162;top:255;width:5955;height:537" type="#_x0000_t202" id="docshape192" filled="true" fillcolor="#000000" stroked="false">
              <v:textbox inset="0,0,0,0">
                <w:txbxContent>
                  <w:p>
                    <w:pPr>
                      <w:spacing w:before="99"/>
                      <w:ind w:left="1136" w:right="0" w:firstLine="0"/>
                      <w:jc w:val="left"/>
                      <w:rPr>
                        <w:rFonts w:ascii="Verdana"/>
                        <w:color w:val="000000"/>
                        <w:sz w:val="28"/>
                      </w:rPr>
                    </w:pPr>
                    <w:r>
                      <w:rPr>
                        <w:rFonts w:ascii="Verdana"/>
                        <w:color w:val="FFFFFF"/>
                        <w:sz w:val="28"/>
                      </w:rPr>
                      <w:t>Types</w:t>
                    </w:r>
                    <w:r>
                      <w:rPr>
                        <w:rFonts w:ascii="Verdana"/>
                        <w:color w:val="FFFFFF"/>
                        <w:spacing w:val="-15"/>
                        <w:sz w:val="28"/>
                      </w:rPr>
                      <w:t> </w:t>
                    </w:r>
                    <w:r>
                      <w:rPr>
                        <w:rFonts w:ascii="Verdana"/>
                        <w:color w:val="FFFFFF"/>
                        <w:sz w:val="28"/>
                      </w:rPr>
                      <w:t>of</w:t>
                    </w:r>
                    <w:r>
                      <w:rPr>
                        <w:rFonts w:ascii="Verdana"/>
                        <w:color w:val="FFFFFF"/>
                        <w:spacing w:val="-14"/>
                        <w:sz w:val="28"/>
                      </w:rPr>
                      <w:t> </w:t>
                    </w:r>
                    <w:r>
                      <w:rPr>
                        <w:rFonts w:ascii="Verdana"/>
                        <w:color w:val="FFFFFF"/>
                        <w:sz w:val="28"/>
                      </w:rPr>
                      <w:t>Doji</w:t>
                    </w:r>
                    <w:r>
                      <w:rPr>
                        <w:rFonts w:ascii="Verdana"/>
                        <w:color w:val="FFFFFF"/>
                        <w:spacing w:val="-14"/>
                        <w:sz w:val="28"/>
                      </w:rPr>
                      <w:t> </w:t>
                    </w:r>
                    <w:r>
                      <w:rPr>
                        <w:rFonts w:ascii="Verdana"/>
                        <w:color w:val="FFFFFF"/>
                        <w:spacing w:val="-2"/>
                        <w:sz w:val="28"/>
                      </w:rPr>
                      <w:t>Candlesticks</w:t>
                    </w:r>
                  </w:p>
                </w:txbxContent>
              </v:textbox>
              <v:fill type="solid"/>
              <w10:wrap type="none"/>
            </v:shape>
            <w10:wrap type="topAndBottom"/>
          </v:group>
        </w:pict>
      </w:r>
    </w:p>
    <w:p>
      <w:pPr>
        <w:spacing w:before="0"/>
        <w:ind w:left="572" w:right="0" w:firstLine="0"/>
        <w:jc w:val="left"/>
        <w:rPr>
          <w:sz w:val="16"/>
        </w:rPr>
      </w:pPr>
      <w:r>
        <w:rPr>
          <w:sz w:val="16"/>
        </w:rPr>
        <w:t>FIGURE</w:t>
      </w:r>
      <w:r>
        <w:rPr>
          <w:spacing w:val="3"/>
          <w:sz w:val="16"/>
        </w:rPr>
        <w:t> </w:t>
      </w:r>
      <w:r>
        <w:rPr>
          <w:sz w:val="16"/>
        </w:rPr>
        <w:t>2.16:</w:t>
      </w:r>
      <w:r>
        <w:rPr>
          <w:spacing w:val="4"/>
          <w:sz w:val="16"/>
        </w:rPr>
        <w:t> </w:t>
      </w:r>
      <w:r>
        <w:rPr>
          <w:sz w:val="16"/>
        </w:rPr>
        <w:t>Different</w:t>
      </w:r>
      <w:r>
        <w:rPr>
          <w:spacing w:val="4"/>
          <w:sz w:val="16"/>
        </w:rPr>
        <w:t> </w:t>
      </w:r>
      <w:r>
        <w:rPr>
          <w:sz w:val="16"/>
        </w:rPr>
        <w:t>types</w:t>
      </w:r>
      <w:r>
        <w:rPr>
          <w:spacing w:val="4"/>
          <w:sz w:val="16"/>
        </w:rPr>
        <w:t> </w:t>
      </w:r>
      <w:r>
        <w:rPr>
          <w:sz w:val="16"/>
        </w:rPr>
        <w:t>of</w:t>
      </w:r>
      <w:r>
        <w:rPr>
          <w:spacing w:val="4"/>
          <w:sz w:val="16"/>
        </w:rPr>
        <w:t> </w:t>
      </w:r>
      <w:r>
        <w:rPr>
          <w:sz w:val="16"/>
        </w:rPr>
        <w:t>doji</w:t>
      </w:r>
      <w:r>
        <w:rPr>
          <w:spacing w:val="4"/>
          <w:sz w:val="16"/>
        </w:rPr>
        <w:t> </w:t>
      </w:r>
      <w:r>
        <w:rPr>
          <w:spacing w:val="-2"/>
          <w:sz w:val="16"/>
        </w:rPr>
        <w:t>candlesticks</w:t>
      </w:r>
    </w:p>
    <w:p>
      <w:pPr>
        <w:pStyle w:val="BodyText"/>
        <w:spacing w:before="8"/>
        <w:rPr>
          <w:sz w:val="21"/>
        </w:rPr>
      </w:pPr>
    </w:p>
    <w:p>
      <w:pPr>
        <w:pStyle w:val="BodyText"/>
        <w:ind w:left="140" w:right="496" w:firstLine="432"/>
        <w:jc w:val="both"/>
      </w:pPr>
      <w:r>
        <w:rPr/>
        <w:t>You will also see leniency in where the close price can fall within the overall range of the candlestick, and in the overall size of the candlestick itself, which does not require the overall range of the doji to be smaller than average. As a matter of fact, many “long-legged” doji are seen across the market and have colorful names like </w:t>
      </w:r>
      <w:r>
        <w:rPr>
          <w:i/>
        </w:rPr>
        <w:t>dragonfly doji</w:t>
      </w:r>
      <w:r>
        <w:rPr/>
        <w:t>, </w:t>
      </w:r>
      <w:r>
        <w:rPr>
          <w:i/>
        </w:rPr>
        <w:t>gravestone doji</w:t>
      </w:r>
      <w:r>
        <w:rPr/>
        <w:t>, and </w:t>
      </w:r>
      <w:r>
        <w:rPr>
          <w:i/>
        </w:rPr>
        <w:t>rickshaw doji</w:t>
      </w:r>
      <w:r>
        <w:rPr/>
        <w:t>. When doji are paired with other candlesticks,</w:t>
      </w:r>
      <w:r>
        <w:rPr/>
        <w:t> you will get patterns</w:t>
      </w:r>
      <w:r>
        <w:rPr>
          <w:spacing w:val="9"/>
        </w:rPr>
        <w:t> </w:t>
      </w:r>
      <w:r>
        <w:rPr/>
        <w:t>like</w:t>
      </w:r>
      <w:r>
        <w:rPr>
          <w:spacing w:val="9"/>
        </w:rPr>
        <w:t> </w:t>
      </w:r>
      <w:r>
        <w:rPr>
          <w:i/>
        </w:rPr>
        <w:t>morning</w:t>
      </w:r>
      <w:r>
        <w:rPr>
          <w:i/>
          <w:spacing w:val="10"/>
        </w:rPr>
        <w:t> </w:t>
      </w:r>
      <w:r>
        <w:rPr>
          <w:i/>
        </w:rPr>
        <w:t>star</w:t>
      </w:r>
      <w:r>
        <w:rPr>
          <w:i/>
          <w:spacing w:val="9"/>
        </w:rPr>
        <w:t> </w:t>
      </w:r>
      <w:r>
        <w:rPr>
          <w:i/>
        </w:rPr>
        <w:t>doji</w:t>
      </w:r>
      <w:r>
        <w:rPr/>
        <w:t>,</w:t>
      </w:r>
      <w:r>
        <w:rPr>
          <w:spacing w:val="10"/>
        </w:rPr>
        <w:t> </w:t>
      </w:r>
      <w:r>
        <w:rPr>
          <w:i/>
        </w:rPr>
        <w:t>evening</w:t>
      </w:r>
      <w:r>
        <w:rPr>
          <w:i/>
          <w:spacing w:val="8"/>
        </w:rPr>
        <w:t> </w:t>
      </w:r>
      <w:r>
        <w:rPr>
          <w:i/>
        </w:rPr>
        <w:t>star</w:t>
      </w:r>
      <w:r>
        <w:rPr>
          <w:i/>
          <w:spacing w:val="10"/>
        </w:rPr>
        <w:t> </w:t>
      </w:r>
      <w:r>
        <w:rPr>
          <w:i/>
        </w:rPr>
        <w:t>doji</w:t>
      </w:r>
      <w:r>
        <w:rPr/>
        <w:t>,</w:t>
      </w:r>
      <w:r>
        <w:rPr>
          <w:spacing w:val="9"/>
        </w:rPr>
        <w:t> </w:t>
      </w:r>
      <w:r>
        <w:rPr/>
        <w:t>and</w:t>
      </w:r>
      <w:r>
        <w:rPr>
          <w:spacing w:val="8"/>
        </w:rPr>
        <w:t> </w:t>
      </w:r>
      <w:r>
        <w:rPr/>
        <w:t>the</w:t>
      </w:r>
      <w:r>
        <w:rPr>
          <w:spacing w:val="10"/>
        </w:rPr>
        <w:t> </w:t>
      </w:r>
      <w:r>
        <w:rPr>
          <w:i/>
        </w:rPr>
        <w:t>harami</w:t>
      </w:r>
      <w:r>
        <w:rPr>
          <w:i/>
          <w:spacing w:val="9"/>
        </w:rPr>
        <w:t> </w:t>
      </w:r>
      <w:r>
        <w:rPr>
          <w:i/>
        </w:rPr>
        <w:t>doji</w:t>
      </w:r>
      <w:r>
        <w:rPr>
          <w:i/>
          <w:spacing w:val="10"/>
        </w:rPr>
        <w:t> </w:t>
      </w:r>
      <w:r>
        <w:rPr>
          <w:i/>
          <w:spacing w:val="-2"/>
        </w:rPr>
        <w:t>cross</w:t>
      </w:r>
      <w:r>
        <w:rPr>
          <w:spacing w:val="-2"/>
        </w:rPr>
        <w:t>.</w:t>
      </w:r>
    </w:p>
    <w:p>
      <w:pPr>
        <w:spacing w:after="0"/>
        <w:jc w:val="both"/>
        <w:sectPr>
          <w:pgSz w:w="8640" w:h="12960"/>
          <w:pgMar w:header="579" w:footer="1039" w:top="760" w:bottom="1260" w:left="580" w:right="580"/>
        </w:sectPr>
      </w:pPr>
    </w:p>
    <w:p>
      <w:pPr>
        <w:pStyle w:val="BodyText"/>
        <w:spacing w:before="3"/>
      </w:pPr>
    </w:p>
    <w:p>
      <w:pPr>
        <w:pStyle w:val="BodyText"/>
        <w:spacing w:before="64"/>
        <w:ind w:left="500" w:right="137"/>
        <w:jc w:val="both"/>
      </w:pPr>
      <w:r>
        <w:rPr/>
        <w:t>Again, it is not my concern to name each of these patterns. My concern is to know what these patterns represent and what they tell me about the current market and upcoming price direction. Therefore, I will simply call each of</w:t>
      </w:r>
      <w:r>
        <w:rPr>
          <w:spacing w:val="40"/>
        </w:rPr>
        <w:t> </w:t>
      </w:r>
      <w:r>
        <w:rPr/>
        <w:t>the different classifications of this pattern a doji.</w:t>
      </w:r>
    </w:p>
    <w:p>
      <w:pPr>
        <w:pStyle w:val="BodyText"/>
        <w:ind w:left="500" w:right="136" w:firstLine="432"/>
        <w:jc w:val="both"/>
      </w:pPr>
      <w:r>
        <w:rPr/>
        <w:t>While a doji can provide a powerful indication of an upcoming price reversal, it must be used within proper context. A doji by itself cannot tell</w:t>
      </w:r>
      <w:r>
        <w:rPr>
          <w:spacing w:val="40"/>
        </w:rPr>
        <w:t> </w:t>
      </w:r>
      <w:r>
        <w:rPr/>
        <w:t>you the whole story about what the market is doing or where price is headed. However, if a doji has formed above value and is holding at a pronounced resistance level (either visual or pivot-based), this can be a powerful indication of a downside reversal. Conversely, if a doji has formed below value and is currently sitting on support, you have the makings for a bullish </w:t>
      </w:r>
      <w:r>
        <w:rPr>
          <w:spacing w:val="-2"/>
        </w:rPr>
        <w:t>reversal.</w:t>
      </w:r>
    </w:p>
    <w:p>
      <w:pPr>
        <w:pStyle w:val="BodyText"/>
        <w:ind w:left="500" w:right="135" w:firstLine="432"/>
        <w:jc w:val="both"/>
      </w:pPr>
      <w:r>
        <w:rPr/>
        <w:t>There are two important factors to consider when judging the makings</w:t>
      </w:r>
      <w:r>
        <w:rPr>
          <w:spacing w:val="40"/>
        </w:rPr>
        <w:t> </w:t>
      </w:r>
      <w:r>
        <w:rPr/>
        <w:t>of a doji reversal setup. The first factor to consider is the current trend. For a bearish doji reversal to occur, the market must have been moving higher</w:t>
      </w:r>
      <w:r>
        <w:rPr>
          <w:spacing w:val="40"/>
        </w:rPr>
        <w:t> </w:t>
      </w:r>
      <w:r>
        <w:rPr/>
        <w:t>prior to the formation of the doji. On the flip side, price should have been moving lower prior to the formation of a bullish doji. There are many ways</w:t>
      </w:r>
      <w:r>
        <w:rPr>
          <w:spacing w:val="40"/>
        </w:rPr>
        <w:t> </w:t>
      </w:r>
      <w:r>
        <w:rPr/>
        <w:t>to judge this criterion. You can use a simple moving average and require that a bearish doji reversal candidate be above the average, and the bullish doji reversal candidate below it. Or, you can judge current direction by maintaining</w:t>
      </w:r>
      <w:r>
        <w:rPr>
          <w:spacing w:val="-2"/>
        </w:rPr>
        <w:t> </w:t>
      </w:r>
      <w:r>
        <w:rPr/>
        <w:t>that</w:t>
      </w:r>
      <w:r>
        <w:rPr>
          <w:spacing w:val="-2"/>
        </w:rPr>
        <w:t> </w:t>
      </w:r>
      <w:r>
        <w:rPr/>
        <w:t>a</w:t>
      </w:r>
      <w:r>
        <w:rPr>
          <w:spacing w:val="-2"/>
        </w:rPr>
        <w:t> </w:t>
      </w:r>
      <w:r>
        <w:rPr/>
        <w:t>bullish</w:t>
      </w:r>
      <w:r>
        <w:rPr>
          <w:spacing w:val="-2"/>
        </w:rPr>
        <w:t> </w:t>
      </w:r>
      <w:r>
        <w:rPr/>
        <w:t>move must</w:t>
      </w:r>
      <w:r>
        <w:rPr>
          <w:spacing w:val="-2"/>
        </w:rPr>
        <w:t> </w:t>
      </w:r>
      <w:r>
        <w:rPr/>
        <w:t>have</w:t>
      </w:r>
      <w:r>
        <w:rPr>
          <w:spacing w:val="-2"/>
        </w:rPr>
        <w:t> </w:t>
      </w:r>
      <w:r>
        <w:rPr/>
        <w:t>bars</w:t>
      </w:r>
      <w:r>
        <w:rPr>
          <w:spacing w:val="-1"/>
        </w:rPr>
        <w:t> </w:t>
      </w:r>
      <w:r>
        <w:rPr/>
        <w:t>with</w:t>
      </w:r>
      <w:r>
        <w:rPr>
          <w:spacing w:val="-2"/>
        </w:rPr>
        <w:t> </w:t>
      </w:r>
      <w:r>
        <w:rPr/>
        <w:t>a</w:t>
      </w:r>
      <w:r>
        <w:rPr>
          <w:spacing w:val="-2"/>
        </w:rPr>
        <w:t> </w:t>
      </w:r>
      <w:r>
        <w:rPr/>
        <w:t>series</w:t>
      </w:r>
      <w:r>
        <w:rPr>
          <w:spacing w:val="-2"/>
        </w:rPr>
        <w:t> </w:t>
      </w:r>
      <w:r>
        <w:rPr/>
        <w:t>of</w:t>
      </w:r>
      <w:r>
        <w:rPr>
          <w:spacing w:val="-2"/>
        </w:rPr>
        <w:t> </w:t>
      </w:r>
      <w:r>
        <w:rPr/>
        <w:t>higher</w:t>
      </w:r>
      <w:r>
        <w:rPr>
          <w:spacing w:val="-2"/>
        </w:rPr>
        <w:t> </w:t>
      </w:r>
      <w:r>
        <w:rPr/>
        <w:t>closes, and a bearish move a series of lower closes. There are various metrics that can be employed to qualify this criterion. For me, as long as the doji forms above a ten-period moving average for a bearish candidate or below the ten- period average for a bullish candidate, I’m a satisfied customer.</w:t>
      </w:r>
    </w:p>
    <w:p>
      <w:pPr>
        <w:pStyle w:val="BodyText"/>
        <w:ind w:left="500" w:right="136" w:firstLine="432"/>
        <w:jc w:val="both"/>
      </w:pPr>
      <w:r>
        <w:rPr/>
        <w:t>The second criterion that I use to confirm the setup is the closing price</w:t>
      </w:r>
      <w:r>
        <w:rPr>
          <w:spacing w:val="40"/>
        </w:rPr>
        <w:t> </w:t>
      </w:r>
      <w:r>
        <w:rPr/>
        <w:t>of the bars that follow the doji candlestick formation. For a bullish signal, I like the closing price of the bar that follows the doji to be above the high of the doji candlestick. For a bearish reversal, I want the closing price of the next bar to be below the low of the doji candlestick. Generally speaking, I allow a two-bar window for this criterion to be fulfilled. A three- or four-bar window can also be used, but not usually more than that. If the market has formed a doji candlestick and the additional criteria are fulfilled, you have</w:t>
      </w:r>
      <w:r>
        <w:rPr>
          <w:spacing w:val="40"/>
        </w:rPr>
        <w:t> </w:t>
      </w:r>
      <w:r>
        <w:rPr/>
        <w:t>the makings for a solid reversal setup (see Figure 2.17).</w:t>
      </w:r>
    </w:p>
    <w:p>
      <w:pPr>
        <w:spacing w:after="0"/>
        <w:jc w:val="both"/>
        <w:sectPr>
          <w:pgSz w:w="8640" w:h="12960"/>
          <w:pgMar w:header="536" w:footer="1060" w:top="720" w:bottom="1260" w:left="580" w:right="580"/>
        </w:sectPr>
      </w:pPr>
    </w:p>
    <w:p>
      <w:pPr>
        <w:pStyle w:val="BodyText"/>
        <w:spacing w:before="2"/>
        <w:rPr>
          <w:sz w:val="24"/>
        </w:rPr>
      </w:pPr>
    </w:p>
    <w:p>
      <w:pPr>
        <w:pStyle w:val="BodyText"/>
        <w:ind w:left="582"/>
        <w:rPr>
          <w:sz w:val="20"/>
        </w:rPr>
      </w:pPr>
      <w:r>
        <w:rPr>
          <w:sz w:val="20"/>
        </w:rPr>
        <w:pict>
          <v:group style="width:297.75pt;height:196.25pt;mso-position-horizontal-relative:char;mso-position-vertical-relative:line" id="docshapegroup193" coordorigin="0,0" coordsize="5955,3925">
            <v:shape style="position:absolute;left:7;top:7;width:5940;height:3910" id="docshape194" coordorigin="8,8" coordsize="5940,3910" path="m5948,8l8,8,8,3917,5948,3917,5948,8xm5948,22l8,22,8,530,5948,530,5948,22xm1768,1098l1106,1098,1106,1908,1768,1908,1768,1098xe" filled="false" stroked="true" strokeweight=".75pt" strokecolor="#000000">
              <v:path arrowok="t"/>
              <v:stroke dashstyle="solid"/>
            </v:shape>
            <v:shape style="position:absolute;left:4422;top:3206;width:143;height:143" id="docshape195" coordorigin="4422,3207" coordsize="143,143" path="m4494,3207l4422,3350,4565,3350,4494,3207xe" filled="false" stroked="true" strokeweight=".75pt" strokecolor="#000000">
              <v:path arrowok="t"/>
              <v:stroke dashstyle="solid"/>
            </v:shape>
            <v:shape style="position:absolute;left:1523;top:1199;width:143;height:143" id="docshape196" coordorigin="1523,1199" coordsize="143,143" path="m1523,1199l1666,1199,1595,1342,1523,1199xe" filled="false" stroked="true" strokeweight=".75pt" strokecolor="#000000">
              <v:path arrowok="t"/>
              <v:stroke dashstyle="solid"/>
            </v:shape>
            <v:shape style="position:absolute;left:948;top:1248;width:2;height:996" id="docshape197" coordorigin="948,1248" coordsize="0,996" path="m948,1818l948,2244m948,1248l948,1479e" filled="false" stroked="true" strokeweight=".75pt" strokecolor="#000000">
              <v:path arrowok="t"/>
              <v:stroke dashstyle="solid"/>
            </v:shape>
            <v:rect style="position:absolute;left:833;top:1478;width:227;height:340" id="docshape198" filled="false" stroked="true" strokeweight=".75pt" strokecolor="#000000">
              <v:stroke dashstyle="solid"/>
            </v:rect>
            <v:line style="position:absolute" from="1919,2341" to="1920,1869" stroked="true" strokeweight=".75pt" strokecolor="#000000">
              <v:stroke dashstyle="solid"/>
            </v:line>
            <v:rect style="position:absolute;left:1805;top:1914;width:226;height:472" id="docshape199" filled="true" fillcolor="#000000" stroked="false">
              <v:fill type="solid"/>
            </v:rect>
            <v:rect style="position:absolute;left:1803;top:1914;width:227;height:472" id="docshape200" filled="false" stroked="true" strokeweight=".75pt" strokecolor="#000000">
              <v:stroke dashstyle="solid"/>
            </v:rect>
            <v:line style="position:absolute" from="2226,2832" to="2228,2359" stroked="true" strokeweight=".75pt" strokecolor="#000000">
              <v:stroke dashstyle="solid"/>
            </v:line>
            <v:rect style="position:absolute;left:2111;top:2405;width:227;height:472" id="docshape201" filled="true" fillcolor="#000000" stroked="false">
              <v:fill type="solid"/>
            </v:rect>
            <v:rect style="position:absolute;left:2111;top:2405;width:227;height:472" id="docshape202" filled="false" stroked="true" strokeweight=".75pt" strokecolor="#000000">
              <v:stroke dashstyle="solid"/>
            </v:rect>
            <v:line style="position:absolute" from="1593,1800" to="1594,1440" stroked="true" strokeweight=".75pt" strokecolor="#000000">
              <v:stroke dashstyle="solid"/>
            </v:line>
            <v:rect style="position:absolute;left:1477;top:1475;width:226;height:360" id="docshape203" filled="true" fillcolor="#000000" stroked="false">
              <v:fill type="solid"/>
            </v:rect>
            <v:rect style="position:absolute;left:1477;top:1475;width:226;height:360" id="docshape204" filled="false" stroked="true" strokeweight=".75pt" strokecolor="#000000">
              <v:stroke dashstyle="solid"/>
            </v:rect>
            <v:line style="position:absolute" from="4496,3051" to="4496,3112" stroked="true" strokeweight=".81pt" strokecolor="#000000">
              <v:stroke dashstyle="solid"/>
            </v:line>
            <v:rect style="position:absolute;left:4380;top:2579;width:226;height:472" id="docshape205" filled="false" stroked="true" strokeweight=".75pt" strokecolor="#000000">
              <v:stroke dashstyle="solid"/>
            </v:rect>
            <v:line style="position:absolute" from="4821,2546" to="4821,2607" stroked="true" strokeweight=".81pt" strokecolor="#000000">
              <v:stroke dashstyle="solid"/>
            </v:line>
            <v:rect style="position:absolute;left:4705;top:2073;width:226;height:472" id="docshape206" filled="false" stroked="true" strokeweight=".75pt" strokecolor="#000000">
              <v:stroke dashstyle="solid"/>
            </v:rect>
            <v:line style="position:absolute" from="5098,2043" to="5098,2097" stroked="true" strokeweight=".75pt" strokecolor="#000000">
              <v:stroke dashstyle="solid"/>
            </v:line>
            <v:shape style="position:absolute;left:3985;top:1571;width:1223;height:1876" id="docshape207" coordorigin="3985,1571" coordsize="1223,1876" path="m5208,1571l4983,1571,4983,2043,5208,2043,5208,1571xm4660,2478l3985,2478,3985,3447,4660,3447,4660,2478xe" filled="false" stroked="true" strokeweight=".75pt" strokecolor="#000000">
              <v:path arrowok="t"/>
              <v:stroke dashstyle="solid"/>
            </v:shape>
            <v:line style="position:absolute" from="1270,1665" to="1271,1296" stroked="true" strokeweight=".75pt" strokecolor="#000000">
              <v:stroke dashstyle="solid"/>
            </v:line>
            <v:line style="position:absolute" from="1156,1488" to="1381,1488" stroked="true" strokeweight=".75pt" strokecolor="#000000">
              <v:stroke dashstyle="solid"/>
            </v:line>
            <v:line style="position:absolute" from="4148,3210" to="4149,2842" stroked="true" strokeweight=".75pt" strokecolor="#000000">
              <v:stroke dashstyle="solid"/>
            </v:line>
            <v:line style="position:absolute" from="4032,3033" to="4258,3033" stroked="true" strokeweight=".75pt" strokecolor="#000000">
              <v:stroke dashstyle="solid"/>
            </v:line>
            <v:shape style="position:absolute;left:628;top:1660;width:2;height:899" id="docshape208" coordorigin="628,1661" coordsize="0,899" path="m628,2390l628,2559m628,1661l628,1797e" filled="false" stroked="true" strokeweight=".81pt" strokecolor="#000000">
              <v:path arrowok="t"/>
              <v:stroke dashstyle="solid"/>
            </v:shape>
            <v:rect style="position:absolute;left:513;top:1796;width:226;height:592" id="docshape209" filled="false" stroked="true" strokeweight=".75pt" strokecolor="#000000">
              <v:stroke dashstyle="solid"/>
            </v:rect>
            <v:line style="position:absolute" from="2531,3306" to="2532,2832" stroked="true" strokeweight=".75pt" strokecolor="#000000">
              <v:stroke dashstyle="solid"/>
            </v:line>
            <v:rect style="position:absolute;left:2417;top:2877;width:226;height:472" id="docshape210" filled="true" fillcolor="#000000" stroked="false">
              <v:fill type="solid"/>
            </v:rect>
            <v:rect style="position:absolute;left:2415;top:2877;width:227;height:472" id="docshape211" filled="false" stroked="true" strokeweight=".75pt" strokecolor="#000000">
              <v:stroke dashstyle="solid"/>
            </v:rect>
            <v:line style="position:absolute" from="3832,3378" to="3832,2568" stroked="true" strokeweight=".75pt" strokecolor="#000000">
              <v:stroke dashstyle="solid"/>
            </v:line>
            <v:rect style="position:absolute;left:3717;top:2755;width:226;height:276" id="docshape212" filled="true" fillcolor="#000000" stroked="false">
              <v:fill type="solid"/>
            </v:rect>
            <v:rect style="position:absolute;left:3717;top:2755;width:226;height:276" id="docshape213" filled="false" stroked="true" strokeweight=".75pt" strokecolor="#000000">
              <v:stroke dashstyle="solid"/>
            </v:rect>
            <v:line style="position:absolute" from="5387,1569" to="5387,1630" stroked="true" strokeweight=".81pt" strokecolor="#000000">
              <v:stroke dashstyle="solid"/>
            </v:line>
            <v:rect style="position:absolute;left:5271;top:1097;width:226;height:472" id="docshape214" filled="false" stroked="true" strokeweight=".75pt" strokecolor="#000000">
              <v:stroke dashstyle="solid"/>
            </v:rect>
            <v:line style="position:absolute" from="3516,2926" to="3518,2043" stroked="true" strokeweight=".75pt" strokecolor="#000000">
              <v:stroke dashstyle="solid"/>
            </v:line>
            <v:rect style="position:absolute;left:3401;top:2171;width:227;height:592" id="docshape215" filled="true" fillcolor="#000000" stroked="false">
              <v:fill type="solid"/>
            </v:rect>
            <v:rect style="position:absolute;left:3401;top:2171;width:227;height:592" id="docshape216" filled="false" stroked="true" strokeweight=".75pt" strokecolor="#000000">
              <v:stroke dashstyle="solid"/>
            </v:rect>
            <v:shape style="position:absolute;left:0;top:0;width:5955;height:537" type="#_x0000_t202" id="docshape217" filled="true" fillcolor="#000000" stroked="false">
              <v:textbox inset="0,0,0,0">
                <w:txbxContent>
                  <w:p>
                    <w:pPr>
                      <w:spacing w:before="100"/>
                      <w:ind w:left="1596" w:right="0" w:firstLine="0"/>
                      <w:jc w:val="left"/>
                      <w:rPr>
                        <w:rFonts w:ascii="Verdana"/>
                        <w:color w:val="000000"/>
                        <w:sz w:val="28"/>
                      </w:rPr>
                    </w:pPr>
                    <w:r>
                      <w:rPr>
                        <w:rFonts w:ascii="Verdana"/>
                        <w:color w:val="FFFFFF"/>
                        <w:sz w:val="28"/>
                      </w:rPr>
                      <w:t>Doji</w:t>
                    </w:r>
                    <w:r>
                      <w:rPr>
                        <w:rFonts w:ascii="Verdana"/>
                        <w:color w:val="FFFFFF"/>
                        <w:spacing w:val="-16"/>
                        <w:sz w:val="28"/>
                      </w:rPr>
                      <w:t> </w:t>
                    </w:r>
                    <w:r>
                      <w:rPr>
                        <w:rFonts w:ascii="Verdana"/>
                        <w:color w:val="FFFFFF"/>
                        <w:sz w:val="28"/>
                      </w:rPr>
                      <w:t>Reversal</w:t>
                    </w:r>
                    <w:r>
                      <w:rPr>
                        <w:rFonts w:ascii="Verdana"/>
                        <w:color w:val="FFFFFF"/>
                        <w:spacing w:val="-16"/>
                        <w:sz w:val="28"/>
                      </w:rPr>
                      <w:t> </w:t>
                    </w:r>
                    <w:r>
                      <w:rPr>
                        <w:rFonts w:ascii="Verdana"/>
                        <w:color w:val="FFFFFF"/>
                        <w:spacing w:val="-2"/>
                        <w:sz w:val="28"/>
                      </w:rPr>
                      <w:t>Setup</w:t>
                    </w:r>
                  </w:p>
                </w:txbxContent>
              </v:textbox>
              <v:fill type="solid"/>
              <w10:wrap type="none"/>
            </v:shape>
          </v:group>
        </w:pict>
      </w:r>
      <w:r>
        <w:rPr>
          <w:sz w:val="20"/>
        </w:rPr>
      </w:r>
    </w:p>
    <w:p>
      <w:pPr>
        <w:spacing w:line="156" w:lineRule="exact" w:before="0"/>
        <w:ind w:left="572" w:right="0" w:firstLine="0"/>
        <w:jc w:val="left"/>
        <w:rPr>
          <w:sz w:val="16"/>
        </w:rPr>
      </w:pPr>
      <w:r>
        <w:rPr>
          <w:sz w:val="16"/>
        </w:rPr>
        <w:t>FIGURE</w:t>
      </w:r>
      <w:r>
        <w:rPr>
          <w:spacing w:val="3"/>
          <w:sz w:val="16"/>
        </w:rPr>
        <w:t> </w:t>
      </w:r>
      <w:r>
        <w:rPr>
          <w:sz w:val="16"/>
        </w:rPr>
        <w:t>2.17:</w:t>
      </w:r>
      <w:r>
        <w:rPr>
          <w:spacing w:val="4"/>
          <w:sz w:val="16"/>
        </w:rPr>
        <w:t> </w:t>
      </w:r>
      <w:r>
        <w:rPr>
          <w:sz w:val="16"/>
        </w:rPr>
        <w:t>Diagram</w:t>
      </w:r>
      <w:r>
        <w:rPr>
          <w:spacing w:val="5"/>
          <w:sz w:val="16"/>
        </w:rPr>
        <w:t> </w:t>
      </w:r>
      <w:r>
        <w:rPr>
          <w:sz w:val="16"/>
        </w:rPr>
        <w:t>of</w:t>
      </w:r>
      <w:r>
        <w:rPr>
          <w:spacing w:val="4"/>
          <w:sz w:val="16"/>
        </w:rPr>
        <w:t> </w:t>
      </w:r>
      <w:r>
        <w:rPr>
          <w:sz w:val="16"/>
        </w:rPr>
        <w:t>the</w:t>
      </w:r>
      <w:r>
        <w:rPr>
          <w:spacing w:val="4"/>
          <w:sz w:val="16"/>
        </w:rPr>
        <w:t> </w:t>
      </w:r>
      <w:r>
        <w:rPr>
          <w:sz w:val="16"/>
        </w:rPr>
        <w:t>doji</w:t>
      </w:r>
      <w:r>
        <w:rPr>
          <w:spacing w:val="4"/>
          <w:sz w:val="16"/>
        </w:rPr>
        <w:t> </w:t>
      </w:r>
      <w:r>
        <w:rPr>
          <w:sz w:val="16"/>
        </w:rPr>
        <w:t>reversal</w:t>
      </w:r>
      <w:r>
        <w:rPr>
          <w:spacing w:val="4"/>
          <w:sz w:val="16"/>
        </w:rPr>
        <w:t> </w:t>
      </w:r>
      <w:r>
        <w:rPr>
          <w:spacing w:val="-2"/>
          <w:sz w:val="16"/>
        </w:rPr>
        <w:t>setup</w:t>
      </w:r>
    </w:p>
    <w:p>
      <w:pPr>
        <w:pStyle w:val="BodyText"/>
        <w:spacing w:before="1"/>
      </w:pPr>
    </w:p>
    <w:p>
      <w:pPr>
        <w:pStyle w:val="BodyText"/>
        <w:ind w:left="140"/>
      </w:pPr>
      <w:r>
        <w:rPr/>
        <w:t>PATTERN</w:t>
      </w:r>
      <w:r>
        <w:rPr>
          <w:spacing w:val="-10"/>
        </w:rPr>
        <w:t> </w:t>
      </w:r>
      <w:r>
        <w:rPr>
          <w:spacing w:val="-2"/>
        </w:rPr>
        <w:t>SUMMARY</w:t>
      </w:r>
    </w:p>
    <w:p>
      <w:pPr>
        <w:pStyle w:val="BodyText"/>
      </w:pPr>
    </w:p>
    <w:p>
      <w:pPr>
        <w:pStyle w:val="ListParagraph"/>
        <w:numPr>
          <w:ilvl w:val="0"/>
          <w:numId w:val="4"/>
        </w:numPr>
        <w:tabs>
          <w:tab w:pos="860" w:val="left" w:leader="none"/>
        </w:tabs>
        <w:spacing w:line="276" w:lineRule="auto" w:before="1" w:after="0"/>
        <w:ind w:left="859" w:right="497" w:hanging="360"/>
        <w:jc w:val="left"/>
        <w:rPr>
          <w:sz w:val="22"/>
        </w:rPr>
      </w:pPr>
      <w:r>
        <w:rPr>
          <w:sz w:val="22"/>
        </w:rPr>
        <w:t>The open and close price of the doji should fall within 10 percent of each other, as measured by the total range of the candlestick.</w:t>
      </w:r>
    </w:p>
    <w:p>
      <w:pPr>
        <w:pStyle w:val="ListParagraph"/>
        <w:numPr>
          <w:ilvl w:val="0"/>
          <w:numId w:val="4"/>
        </w:numPr>
        <w:tabs>
          <w:tab w:pos="860" w:val="left" w:leader="none"/>
        </w:tabs>
        <w:spacing w:line="276" w:lineRule="auto" w:before="0" w:after="0"/>
        <w:ind w:left="859" w:right="497" w:hanging="360"/>
        <w:jc w:val="left"/>
        <w:rPr>
          <w:sz w:val="22"/>
        </w:rPr>
      </w:pPr>
      <w:r>
        <w:rPr>
          <w:sz w:val="22"/>
        </w:rPr>
        <w:t>For a bullish doji, the high of the doji candlestick should be below</w:t>
      </w:r>
      <w:r>
        <w:rPr>
          <w:spacing w:val="80"/>
          <w:sz w:val="22"/>
        </w:rPr>
        <w:t> </w:t>
      </w:r>
      <w:r>
        <w:rPr>
          <w:sz w:val="22"/>
        </w:rPr>
        <w:t>the ten-period simple moving average (H &lt; SMA(10)).</w:t>
      </w:r>
    </w:p>
    <w:p>
      <w:pPr>
        <w:pStyle w:val="ListParagraph"/>
        <w:numPr>
          <w:ilvl w:val="0"/>
          <w:numId w:val="4"/>
        </w:numPr>
        <w:tabs>
          <w:tab w:pos="860" w:val="left" w:leader="none"/>
        </w:tabs>
        <w:spacing w:line="276" w:lineRule="auto" w:before="0" w:after="0"/>
        <w:ind w:left="859" w:right="497" w:hanging="360"/>
        <w:jc w:val="left"/>
        <w:rPr>
          <w:sz w:val="22"/>
        </w:rPr>
      </w:pPr>
      <w:r>
        <w:rPr>
          <w:sz w:val="22"/>
        </w:rPr>
        <w:t>For a bearish doji, the low of the doji candlestick should be above</w:t>
      </w:r>
      <w:r>
        <w:rPr>
          <w:spacing w:val="80"/>
          <w:sz w:val="22"/>
        </w:rPr>
        <w:t> </w:t>
      </w:r>
      <w:r>
        <w:rPr>
          <w:sz w:val="22"/>
        </w:rPr>
        <w:t>the ten-period simple moving average (L &gt; SMA(10)).</w:t>
      </w:r>
    </w:p>
    <w:p>
      <w:pPr>
        <w:pStyle w:val="ListParagraph"/>
        <w:numPr>
          <w:ilvl w:val="0"/>
          <w:numId w:val="4"/>
        </w:numPr>
        <w:tabs>
          <w:tab w:pos="860" w:val="left" w:leader="none"/>
        </w:tabs>
        <w:spacing w:line="276" w:lineRule="auto" w:before="0" w:after="0"/>
        <w:ind w:left="859" w:right="500" w:hanging="360"/>
        <w:jc w:val="left"/>
        <w:rPr>
          <w:sz w:val="22"/>
        </w:rPr>
      </w:pPr>
      <w:r>
        <w:rPr>
          <w:sz w:val="22"/>
        </w:rPr>
        <w:t>For a bearish doji, one of the two bars following the doji must close beneath the low of the doji (C &lt; L[1] </w:t>
      </w:r>
      <w:r>
        <w:rPr>
          <w:i/>
          <w:sz w:val="22"/>
        </w:rPr>
        <w:t>or </w:t>
      </w:r>
      <w:r>
        <w:rPr>
          <w:sz w:val="22"/>
        </w:rPr>
        <w:t>C &lt; L[2]).</w:t>
      </w:r>
    </w:p>
    <w:p>
      <w:pPr>
        <w:pStyle w:val="ListParagraph"/>
        <w:numPr>
          <w:ilvl w:val="0"/>
          <w:numId w:val="4"/>
        </w:numPr>
        <w:tabs>
          <w:tab w:pos="860" w:val="left" w:leader="none"/>
        </w:tabs>
        <w:spacing w:line="276" w:lineRule="auto" w:before="0" w:after="0"/>
        <w:ind w:left="859" w:right="501" w:hanging="360"/>
        <w:jc w:val="left"/>
        <w:rPr>
          <w:sz w:val="22"/>
        </w:rPr>
      </w:pPr>
      <w:r>
        <w:rPr>
          <w:sz w:val="22"/>
        </w:rPr>
        <w:t>For a bullish doji setup, one of the two bars following the doji must close above the high of the doji (C &gt; H[1]) </w:t>
      </w:r>
      <w:r>
        <w:rPr>
          <w:i/>
          <w:sz w:val="22"/>
        </w:rPr>
        <w:t>or </w:t>
      </w:r>
      <w:r>
        <w:rPr>
          <w:sz w:val="22"/>
        </w:rPr>
        <w:t>C &gt; H[2])</w:t>
      </w:r>
    </w:p>
    <w:p>
      <w:pPr>
        <w:pStyle w:val="BodyText"/>
        <w:spacing w:before="11"/>
        <w:rPr>
          <w:sz w:val="21"/>
        </w:rPr>
      </w:pPr>
    </w:p>
    <w:p>
      <w:pPr>
        <w:pStyle w:val="BodyText"/>
        <w:ind w:left="139"/>
      </w:pPr>
      <w:r>
        <w:rPr/>
        <w:t>PATTERN</w:t>
      </w:r>
      <w:r>
        <w:rPr>
          <w:spacing w:val="-10"/>
        </w:rPr>
        <w:t> </w:t>
      </w:r>
      <w:r>
        <w:rPr>
          <w:spacing w:val="-2"/>
        </w:rPr>
        <w:t>PSYCHOLOGY</w:t>
      </w:r>
    </w:p>
    <w:p>
      <w:pPr>
        <w:pStyle w:val="BodyText"/>
      </w:pPr>
    </w:p>
    <w:p>
      <w:pPr>
        <w:pStyle w:val="BodyText"/>
        <w:ind w:left="139" w:right="497" w:firstLine="432"/>
        <w:jc w:val="both"/>
      </w:pPr>
      <w:r>
        <w:rPr/>
        <w:t>The doji candlestick is the epitome of indecision. The pattern illustrates</w:t>
      </w:r>
      <w:r>
        <w:rPr>
          <w:spacing w:val="40"/>
        </w:rPr>
        <w:t> </w:t>
      </w:r>
      <w:r>
        <w:rPr/>
        <w:t>a virtual stalemate between buyers and sellers, which means the existing</w:t>
      </w:r>
      <w:r>
        <w:rPr>
          <w:spacing w:val="40"/>
        </w:rPr>
        <w:t> </w:t>
      </w:r>
      <w:r>
        <w:rPr/>
        <w:t>trend may be on the verge of a reversal. If buyers have been controlling a bullish advance over a period of time, you will typically see full-bodied candlesticks that personify the bullish nature of the move. However, if a doji candlestick suddenly appears, the indication is that buyers are suddenly not</w:t>
      </w:r>
      <w:r>
        <w:rPr>
          <w:spacing w:val="40"/>
        </w:rPr>
        <w:t> </w:t>
      </w:r>
      <w:r>
        <w:rPr/>
        <w:t>as confident in upside price potential as they once were. This is clearly a point</w:t>
      </w:r>
      <w:r>
        <w:rPr>
          <w:spacing w:val="-2"/>
        </w:rPr>
        <w:t> </w:t>
      </w:r>
      <w:r>
        <w:rPr/>
        <w:t>of</w:t>
      </w:r>
      <w:r>
        <w:rPr>
          <w:spacing w:val="-2"/>
        </w:rPr>
        <w:t> </w:t>
      </w:r>
      <w:r>
        <w:rPr/>
        <w:t>indecision,</w:t>
      </w:r>
      <w:r>
        <w:rPr>
          <w:spacing w:val="-2"/>
        </w:rPr>
        <w:t> </w:t>
      </w:r>
      <w:r>
        <w:rPr/>
        <w:t>as</w:t>
      </w:r>
      <w:r>
        <w:rPr>
          <w:spacing w:val="-2"/>
        </w:rPr>
        <w:t> </w:t>
      </w:r>
      <w:r>
        <w:rPr/>
        <w:t>buyers</w:t>
      </w:r>
      <w:r>
        <w:rPr>
          <w:spacing w:val="-2"/>
        </w:rPr>
        <w:t> </w:t>
      </w:r>
      <w:r>
        <w:rPr/>
        <w:t>are</w:t>
      </w:r>
      <w:r>
        <w:rPr>
          <w:spacing w:val="-2"/>
        </w:rPr>
        <w:t> </w:t>
      </w:r>
      <w:r>
        <w:rPr/>
        <w:t>no</w:t>
      </w:r>
      <w:r>
        <w:rPr>
          <w:spacing w:val="-2"/>
        </w:rPr>
        <w:t> </w:t>
      </w:r>
      <w:r>
        <w:rPr/>
        <w:t>longer</w:t>
      </w:r>
      <w:r>
        <w:rPr>
          <w:spacing w:val="-2"/>
        </w:rPr>
        <w:t> </w:t>
      </w:r>
      <w:r>
        <w:rPr/>
        <w:t>pushing</w:t>
      </w:r>
      <w:r>
        <w:rPr>
          <w:spacing w:val="-2"/>
        </w:rPr>
        <w:t> </w:t>
      </w:r>
      <w:r>
        <w:rPr/>
        <w:t>price</w:t>
      </w:r>
      <w:r>
        <w:rPr>
          <w:spacing w:val="-2"/>
        </w:rPr>
        <w:t> </w:t>
      </w:r>
      <w:r>
        <w:rPr/>
        <w:t>to</w:t>
      </w:r>
      <w:r>
        <w:rPr>
          <w:spacing w:val="-2"/>
        </w:rPr>
        <w:t> </w:t>
      </w:r>
      <w:r>
        <w:rPr/>
        <w:t>higher</w:t>
      </w:r>
      <w:r>
        <w:rPr>
          <w:spacing w:val="-2"/>
        </w:rPr>
        <w:t> </w:t>
      </w:r>
      <w:r>
        <w:rPr/>
        <w:t>valuation,</w:t>
      </w:r>
    </w:p>
    <w:p>
      <w:pPr>
        <w:spacing w:after="0"/>
        <w:jc w:val="both"/>
        <w:sectPr>
          <w:pgSz w:w="8640" w:h="12960"/>
          <w:pgMar w:header="579" w:footer="1039" w:top="760" w:bottom="1260" w:left="580" w:right="580"/>
        </w:sectPr>
      </w:pPr>
    </w:p>
    <w:p>
      <w:pPr>
        <w:pStyle w:val="BodyText"/>
        <w:spacing w:before="3"/>
      </w:pPr>
    </w:p>
    <w:p>
      <w:pPr>
        <w:pStyle w:val="BodyText"/>
        <w:spacing w:before="64"/>
        <w:ind w:left="500" w:right="135"/>
        <w:jc w:val="both"/>
      </w:pPr>
      <w:r>
        <w:rPr/>
        <w:t>and have allowed sellers to battle them to a draw—at least for this one candlestick. This</w:t>
      </w:r>
      <w:r>
        <w:rPr>
          <w:spacing w:val="-1"/>
        </w:rPr>
        <w:t> </w:t>
      </w:r>
      <w:r>
        <w:rPr/>
        <w:t>leads</w:t>
      </w:r>
      <w:r>
        <w:rPr>
          <w:spacing w:val="-1"/>
        </w:rPr>
        <w:t> </w:t>
      </w:r>
      <w:r>
        <w:rPr/>
        <w:t>to profit</w:t>
      </w:r>
      <w:r>
        <w:rPr>
          <w:spacing w:val="-1"/>
        </w:rPr>
        <w:t> </w:t>
      </w:r>
      <w:r>
        <w:rPr/>
        <w:t>taking,</w:t>
      </w:r>
      <w:r>
        <w:rPr>
          <w:spacing w:val="-2"/>
        </w:rPr>
        <w:t> </w:t>
      </w:r>
      <w:r>
        <w:rPr/>
        <w:t>as</w:t>
      </w:r>
      <w:r>
        <w:rPr>
          <w:spacing w:val="-1"/>
        </w:rPr>
        <w:t> </w:t>
      </w:r>
      <w:r>
        <w:rPr/>
        <w:t>buyers</w:t>
      </w:r>
      <w:r>
        <w:rPr>
          <w:spacing w:val="-1"/>
        </w:rPr>
        <w:t> </w:t>
      </w:r>
      <w:r>
        <w:rPr/>
        <w:t>begin</w:t>
      </w:r>
      <w:r>
        <w:rPr>
          <w:spacing w:val="-1"/>
        </w:rPr>
        <w:t> </w:t>
      </w:r>
      <w:r>
        <w:rPr/>
        <w:t>to</w:t>
      </w:r>
      <w:r>
        <w:rPr>
          <w:spacing w:val="-1"/>
        </w:rPr>
        <w:t> </w:t>
      </w:r>
      <w:r>
        <w:rPr/>
        <w:t>sell</w:t>
      </w:r>
      <w:r>
        <w:rPr>
          <w:spacing w:val="-1"/>
        </w:rPr>
        <w:t> </w:t>
      </w:r>
      <w:r>
        <w:rPr/>
        <w:t>their</w:t>
      </w:r>
      <w:r>
        <w:rPr>
          <w:spacing w:val="-1"/>
        </w:rPr>
        <w:t> </w:t>
      </w:r>
      <w:r>
        <w:rPr/>
        <w:t>profitable long positions, which is heightened by responsive sellers entering the market due to perceived overvaluation. This “double whammy” of selling pressure essentially pushes price lower, as responsive sellers take control of the</w:t>
      </w:r>
      <w:r>
        <w:rPr>
          <w:spacing w:val="40"/>
        </w:rPr>
        <w:t> </w:t>
      </w:r>
      <w:r>
        <w:rPr/>
        <w:t>market and push price back toward fair value.</w:t>
      </w:r>
    </w:p>
    <w:p>
      <w:pPr>
        <w:pStyle w:val="BodyText"/>
      </w:pPr>
    </w:p>
    <w:p>
      <w:pPr>
        <w:pStyle w:val="BodyText"/>
        <w:ind w:left="499"/>
        <w:jc w:val="both"/>
      </w:pPr>
      <w:r>
        <w:rPr/>
        <w:t>DOJI</w:t>
      </w:r>
      <w:r>
        <w:rPr>
          <w:spacing w:val="-10"/>
        </w:rPr>
        <w:t> </w:t>
      </w:r>
      <w:r>
        <w:rPr/>
        <w:t>REVERSAL</w:t>
      </w:r>
      <w:r>
        <w:rPr>
          <w:spacing w:val="-9"/>
        </w:rPr>
        <w:t> </w:t>
      </w:r>
      <w:r>
        <w:rPr>
          <w:spacing w:val="-2"/>
        </w:rPr>
        <w:t>EXAMPLES</w:t>
      </w:r>
    </w:p>
    <w:p>
      <w:pPr>
        <w:pStyle w:val="BodyText"/>
        <w:spacing w:before="11"/>
        <w:rPr>
          <w:sz w:val="21"/>
        </w:rPr>
      </w:pPr>
    </w:p>
    <w:p>
      <w:pPr>
        <w:pStyle w:val="BodyText"/>
        <w:ind w:left="499" w:right="137" w:firstLine="432"/>
        <w:jc w:val="both"/>
      </w:pPr>
      <w:r>
        <w:rPr/>
        <w:t>Like the other setups, I have also included the code for the doji reversal setup in Appendix B. I have used the doji reversal system (file name: sysDojiRev) to help me easily and quickly identify this pattern for the following examples. Let’s walk through a couple of examples of the doji reversal setup to register this pattern in our minds visually.</w:t>
      </w:r>
    </w:p>
    <w:p>
      <w:pPr>
        <w:pStyle w:val="BodyText"/>
        <w:spacing w:before="1"/>
        <w:ind w:left="499" w:right="135" w:firstLine="432"/>
        <w:jc w:val="both"/>
      </w:pPr>
      <w:r>
        <w:rPr/>
        <w:t>Take a look at Figure 2.18, which is a sixty-minute chart of the Heating Oil futures contract. There are four doji reversal setups in this chart, with</w:t>
      </w:r>
      <w:r>
        <w:rPr>
          <w:spacing w:val="40"/>
        </w:rPr>
        <w:t> </w:t>
      </w:r>
      <w:r>
        <w:rPr/>
        <w:t>each highlighting significant opportunities in this market. As I stated before, the doji candlestick is a sign of major indecision, especially if the pattern forms after a period of trending behavior. Therefore, if a market has been trending in a certain direction over a period of time and then suddenly develops a doji candlestick, price could be on the verge of a reversal. While there are other doji in this chart, only those that passed all three requirements have generated a signal. Remember, for a signal to appear, three factors must be present: a doji candlestick, trend confirmation, and close price confirmation. Each of the signals in this chart highlighted great reversal opportunities, as each was able to forecast an upcoming change in trend.</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51" name="image27.png"/>
            <wp:cNvGraphicFramePr>
              <a:graphicFrameLocks noChangeAspect="1"/>
            </wp:cNvGraphicFramePr>
            <a:graphic>
              <a:graphicData uri="http://schemas.openxmlformats.org/drawingml/2006/picture">
                <pic:pic>
                  <pic:nvPicPr>
                    <pic:cNvPr id="52" name="image27.png"/>
                    <pic:cNvPicPr/>
                  </pic:nvPicPr>
                  <pic:blipFill>
                    <a:blip r:embed="rId47"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1"/>
          <w:sz w:val="16"/>
        </w:rPr>
        <w:t> </w:t>
      </w:r>
      <w:r>
        <w:rPr>
          <w:sz w:val="16"/>
        </w:rPr>
        <w:t>2.18:</w:t>
      </w:r>
      <w:r>
        <w:rPr>
          <w:spacing w:val="-1"/>
          <w:sz w:val="16"/>
        </w:rPr>
        <w:t> </w:t>
      </w:r>
      <w:r>
        <w:rPr>
          <w:sz w:val="16"/>
        </w:rPr>
        <w:t>The</w:t>
      </w:r>
      <w:r>
        <w:rPr>
          <w:spacing w:val="-1"/>
          <w:sz w:val="16"/>
        </w:rPr>
        <w:t> </w:t>
      </w:r>
      <w:r>
        <w:rPr>
          <w:sz w:val="16"/>
        </w:rPr>
        <w:t>doji reversal setup</w:t>
      </w:r>
      <w:r>
        <w:rPr>
          <w:spacing w:val="-1"/>
          <w:sz w:val="16"/>
        </w:rPr>
        <w:t> </w:t>
      </w:r>
      <w:r>
        <w:rPr>
          <w:sz w:val="16"/>
        </w:rPr>
        <w:t>found solid</w:t>
      </w:r>
      <w:r>
        <w:rPr>
          <w:spacing w:val="-1"/>
          <w:sz w:val="16"/>
        </w:rPr>
        <w:t> </w:t>
      </w:r>
      <w:r>
        <w:rPr>
          <w:sz w:val="16"/>
        </w:rPr>
        <w:t>reversals</w:t>
      </w:r>
      <w:r>
        <w:rPr>
          <w:spacing w:val="-1"/>
          <w:sz w:val="16"/>
        </w:rPr>
        <w:t> </w:t>
      </w:r>
      <w:r>
        <w:rPr>
          <w:sz w:val="16"/>
        </w:rPr>
        <w:t>in Heating</w:t>
      </w:r>
      <w:r>
        <w:rPr>
          <w:spacing w:val="-1"/>
          <w:sz w:val="16"/>
        </w:rPr>
        <w:t> </w:t>
      </w:r>
      <w:r>
        <w:rPr>
          <w:sz w:val="16"/>
        </w:rPr>
        <w:t>Oil </w:t>
      </w:r>
      <w:r>
        <w:rPr>
          <w:spacing w:val="-2"/>
          <w:sz w:val="16"/>
        </w:rPr>
        <w:t>futures.</w:t>
      </w:r>
    </w:p>
    <w:p>
      <w:pPr>
        <w:pStyle w:val="BodyText"/>
        <w:spacing w:before="4"/>
        <w:rPr>
          <w:sz w:val="25"/>
        </w:rPr>
      </w:pPr>
    </w:p>
    <w:p>
      <w:pPr>
        <w:pStyle w:val="BodyText"/>
        <w:ind w:left="140" w:right="496" w:firstLine="432"/>
        <w:jc w:val="both"/>
      </w:pPr>
      <w:r>
        <w:rPr/>
        <w:t>With the doji reversal setup, I typically prefer to use a higher timeframe chart.</w:t>
      </w:r>
      <w:r>
        <w:rPr/>
        <w:t> In the prior example, I used a sixty-minute chart instead of a five- minute timeframe. Research has demonstrated that the longer a candlestick setup takes to develop, the more accurate it is in predicting price movement. The</w:t>
      </w:r>
      <w:r>
        <w:rPr>
          <w:spacing w:val="-2"/>
        </w:rPr>
        <w:t> </w:t>
      </w:r>
      <w:r>
        <w:rPr/>
        <w:t>doji</w:t>
      </w:r>
      <w:r>
        <w:rPr>
          <w:spacing w:val="-2"/>
        </w:rPr>
        <w:t> </w:t>
      </w:r>
      <w:r>
        <w:rPr/>
        <w:t>reversal</w:t>
      </w:r>
      <w:r>
        <w:rPr>
          <w:spacing w:val="-2"/>
        </w:rPr>
        <w:t> </w:t>
      </w:r>
      <w:r>
        <w:rPr/>
        <w:t>setup</w:t>
      </w:r>
      <w:r>
        <w:rPr>
          <w:spacing w:val="-2"/>
        </w:rPr>
        <w:t> </w:t>
      </w:r>
      <w:r>
        <w:rPr/>
        <w:t>relies</w:t>
      </w:r>
      <w:r>
        <w:rPr>
          <w:spacing w:val="-2"/>
        </w:rPr>
        <w:t> </w:t>
      </w:r>
      <w:r>
        <w:rPr/>
        <w:t>on</w:t>
      </w:r>
      <w:r>
        <w:rPr>
          <w:spacing w:val="-1"/>
        </w:rPr>
        <w:t> </w:t>
      </w:r>
      <w:r>
        <w:rPr/>
        <w:t>market</w:t>
      </w:r>
      <w:r>
        <w:rPr>
          <w:spacing w:val="-1"/>
        </w:rPr>
        <w:t> </w:t>
      </w:r>
      <w:r>
        <w:rPr/>
        <w:t>psychology.</w:t>
      </w:r>
      <w:r>
        <w:rPr>
          <w:spacing w:val="-4"/>
        </w:rPr>
        <w:t> </w:t>
      </w:r>
      <w:r>
        <w:rPr/>
        <w:t>With</w:t>
      </w:r>
      <w:r>
        <w:rPr>
          <w:spacing w:val="-2"/>
        </w:rPr>
        <w:t> </w:t>
      </w:r>
      <w:r>
        <w:rPr/>
        <w:t>this</w:t>
      </w:r>
      <w:r>
        <w:rPr>
          <w:spacing w:val="-2"/>
        </w:rPr>
        <w:t> </w:t>
      </w:r>
      <w:r>
        <w:rPr/>
        <w:t>pattern,</w:t>
      </w:r>
      <w:r>
        <w:rPr>
          <w:spacing w:val="-2"/>
        </w:rPr>
        <w:t> </w:t>
      </w:r>
      <w:r>
        <w:rPr/>
        <w:t>a</w:t>
      </w:r>
      <w:r>
        <w:rPr>
          <w:spacing w:val="-2"/>
        </w:rPr>
        <w:t> </w:t>
      </w:r>
      <w:r>
        <w:rPr/>
        <w:t>five- minute doji does not have the same psychological power of a sixty-minute doji. That is not to say that this setup should not be used in a five-minute timeframe, I am merely stating my preference. In my opinion, any timeframe above, and including, the fifteen-minute chart will greatly improve the accuracy of this signal.</w:t>
      </w:r>
    </w:p>
    <w:p>
      <w:pPr>
        <w:pStyle w:val="BodyText"/>
        <w:spacing w:before="1"/>
        <w:ind w:left="140" w:right="495" w:firstLine="432"/>
        <w:jc w:val="both"/>
      </w:pPr>
      <w:r>
        <w:rPr/>
        <w:t>Figure 2.19 shows a thirty-minute chart of the Mini-Sized Dow futures contract with the doji reversal system plotted. There are four doji in this</w:t>
      </w:r>
      <w:r>
        <w:rPr>
          <w:spacing w:val="40"/>
        </w:rPr>
        <w:t> </w:t>
      </w:r>
      <w:r>
        <w:rPr/>
        <w:t>chart, with each signaling reversals to varying degrees of success. The first signal is the only one that is confirmed by the close price of the second bar </w:t>
      </w:r>
      <w:r>
        <w:rPr>
          <w:i/>
        </w:rPr>
        <w:t>following </w:t>
      </w:r>
      <w:r>
        <w:rPr/>
        <w:t>the actual doji candlestick, which has been built into the script of the setup. Again, this setup offers a highly confirmed reversal opportunity, but your ability to discern whether this pattern is forming at the right time</w:t>
      </w:r>
      <w:r>
        <w:rPr>
          <w:spacing w:val="40"/>
        </w:rPr>
        <w:t> </w:t>
      </w:r>
      <w:r>
        <w:rPr/>
        <w:t>and at the best value will determine your success with this pattern, which we will continue to explore throughout the text.</w:t>
      </w:r>
    </w:p>
    <w:p>
      <w:pPr>
        <w:spacing w:after="0"/>
        <w:jc w:val="both"/>
        <w:sectPr>
          <w:pgSz w:w="8640" w:h="12960"/>
          <w:pgMar w:header="579" w:footer="1039"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53" name="image28.png"/>
            <wp:cNvGraphicFramePr>
              <a:graphicFrameLocks noChangeAspect="1"/>
            </wp:cNvGraphicFramePr>
            <a:graphic>
              <a:graphicData uri="http://schemas.openxmlformats.org/drawingml/2006/picture">
                <pic:pic>
                  <pic:nvPicPr>
                    <pic:cNvPr id="54" name="image28.png"/>
                    <pic:cNvPicPr/>
                  </pic:nvPicPr>
                  <pic:blipFill>
                    <a:blip r:embed="rId48"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 2.19: The doji reversal</w:t>
      </w:r>
      <w:r>
        <w:rPr>
          <w:spacing w:val="1"/>
          <w:sz w:val="16"/>
        </w:rPr>
        <w:t> </w:t>
      </w:r>
      <w:r>
        <w:rPr>
          <w:sz w:val="16"/>
        </w:rPr>
        <w:t>setup highlights reversals in the </w:t>
      </w:r>
      <w:r>
        <w:rPr>
          <w:spacing w:val="-5"/>
          <w:sz w:val="16"/>
        </w:rPr>
        <w:t>YM.</w:t>
      </w:r>
    </w:p>
    <w:p>
      <w:pPr>
        <w:pStyle w:val="BodyText"/>
        <w:spacing w:before="1"/>
      </w:pPr>
    </w:p>
    <w:p>
      <w:pPr>
        <w:pStyle w:val="Heading3"/>
        <w:ind w:left="500"/>
      </w:pPr>
      <w:r>
        <w:rPr/>
        <w:pict>
          <v:shape style="position:absolute;margin-left:54.779999pt;margin-top:18.290300pt;width:341pt;height:.1pt;mso-position-horizontal-relative:page;mso-position-vertical-relative:paragraph;z-index:-15707648;mso-wrap-distance-left:0;mso-wrap-distance-right:0" id="docshape218" coordorigin="1096,366" coordsize="6820,0" path="m1096,366l7915,366e" filled="false" stroked="true" strokeweight=".75pt" strokecolor="#000000">
            <v:path arrowok="t"/>
            <v:stroke dashstyle="solid"/>
            <w10:wrap type="topAndBottom"/>
          </v:shape>
        </w:pict>
      </w:r>
      <w:bookmarkStart w:name="_TOC_250075" w:id="16"/>
      <w:r>
        <w:rPr>
          <w:smallCaps/>
          <w:spacing w:val="-2"/>
        </w:rPr>
        <w:t>Understanding</w:t>
      </w:r>
      <w:r>
        <w:rPr>
          <w:smallCaps/>
          <w:spacing w:val="-11"/>
        </w:rPr>
        <w:t> </w:t>
      </w:r>
      <w:r>
        <w:rPr>
          <w:smallCaps/>
          <w:spacing w:val="-2"/>
        </w:rPr>
        <w:t>the</w:t>
      </w:r>
      <w:r>
        <w:rPr>
          <w:smallCaps/>
          <w:spacing w:val="-6"/>
        </w:rPr>
        <w:t> </w:t>
      </w:r>
      <w:bookmarkEnd w:id="16"/>
      <w:r>
        <w:rPr>
          <w:smallCaps/>
          <w:spacing w:val="-2"/>
        </w:rPr>
        <w:t>Setup</w:t>
      </w:r>
    </w:p>
    <w:p>
      <w:pPr>
        <w:pStyle w:val="BodyText"/>
        <w:spacing w:before="202"/>
        <w:ind w:left="500" w:right="135" w:firstLine="432"/>
        <w:jc w:val="both"/>
      </w:pPr>
      <w:r>
        <w:rPr/>
        <w:t>The best traders in the world use pure price behavior to trigger an entry. They have a keen understanding of markets and market behavior, which allows them to anticipate and visualize future price behavior. They allow intuition and preparedness to trigger entries and will confirm along the way. The key is to understand what price is telling you and having the ability to</w:t>
      </w:r>
      <w:r>
        <w:rPr>
          <w:spacing w:val="40"/>
        </w:rPr>
        <w:t> </w:t>
      </w:r>
      <w:r>
        <w:rPr/>
        <w:t>act on this information quickly and intelligently.</w:t>
      </w:r>
    </w:p>
    <w:p>
      <w:pPr>
        <w:pStyle w:val="BodyText"/>
        <w:ind w:left="500" w:right="136" w:firstLine="432"/>
        <w:jc w:val="both"/>
      </w:pPr>
      <w:r>
        <w:rPr/>
        <w:t>The beauty of the setups that I have outlined is they each have inherent market psychologies that complement the behaviors of successful traders. Understanding these patterns helps you listen to the market,</w:t>
      </w:r>
      <w:r>
        <w:rPr>
          <w:spacing w:val="-1"/>
        </w:rPr>
        <w:t> </w:t>
      </w:r>
      <w:r>
        <w:rPr/>
        <w:t>thereby</w:t>
      </w:r>
      <w:r>
        <w:rPr>
          <w:spacing w:val="-1"/>
        </w:rPr>
        <w:t> </w:t>
      </w:r>
      <w:r>
        <w:rPr/>
        <w:t>allowing you to position yourself with the proper market participants. It is up to</w:t>
      </w:r>
      <w:r>
        <w:rPr>
          <w:spacing w:val="-1"/>
        </w:rPr>
        <w:t> </w:t>
      </w:r>
      <w:r>
        <w:rPr/>
        <w:t>you to properly</w:t>
      </w:r>
      <w:r>
        <w:rPr>
          <w:spacing w:val="-4"/>
        </w:rPr>
        <w:t> </w:t>
      </w:r>
      <w:r>
        <w:rPr/>
        <w:t>engage</w:t>
      </w:r>
      <w:r>
        <w:rPr>
          <w:spacing w:val="-3"/>
        </w:rPr>
        <w:t> </w:t>
      </w:r>
      <w:r>
        <w:rPr/>
        <w:t>the</w:t>
      </w:r>
      <w:r>
        <w:rPr>
          <w:spacing w:val="-3"/>
        </w:rPr>
        <w:t> </w:t>
      </w:r>
      <w:r>
        <w:rPr/>
        <w:t>setups</w:t>
      </w:r>
      <w:r>
        <w:rPr>
          <w:spacing w:val="-2"/>
        </w:rPr>
        <w:t> </w:t>
      </w:r>
      <w:r>
        <w:rPr/>
        <w:t>at</w:t>
      </w:r>
      <w:r>
        <w:rPr>
          <w:spacing w:val="-3"/>
        </w:rPr>
        <w:t> </w:t>
      </w:r>
      <w:r>
        <w:rPr/>
        <w:t>the</w:t>
      </w:r>
      <w:r>
        <w:rPr>
          <w:spacing w:val="-3"/>
        </w:rPr>
        <w:t> </w:t>
      </w:r>
      <w:r>
        <w:rPr/>
        <w:t>appropriate</w:t>
      </w:r>
      <w:r>
        <w:rPr>
          <w:spacing w:val="-3"/>
        </w:rPr>
        <w:t> </w:t>
      </w:r>
      <w:r>
        <w:rPr/>
        <w:t>action</w:t>
      </w:r>
      <w:r>
        <w:rPr>
          <w:spacing w:val="-3"/>
        </w:rPr>
        <w:t> </w:t>
      </w:r>
      <w:r>
        <w:rPr/>
        <w:t>zones</w:t>
      </w:r>
      <w:r>
        <w:rPr>
          <w:spacing w:val="-3"/>
        </w:rPr>
        <w:t> </w:t>
      </w:r>
      <w:r>
        <w:rPr/>
        <w:t>in</w:t>
      </w:r>
      <w:r>
        <w:rPr>
          <w:spacing w:val="-3"/>
        </w:rPr>
        <w:t> </w:t>
      </w:r>
      <w:r>
        <w:rPr/>
        <w:t>order</w:t>
      </w:r>
      <w:r>
        <w:rPr>
          <w:spacing w:val="-3"/>
        </w:rPr>
        <w:t> </w:t>
      </w:r>
      <w:r>
        <w:rPr/>
        <w:t>to</w:t>
      </w:r>
      <w:r>
        <w:rPr>
          <w:spacing w:val="-3"/>
        </w:rPr>
        <w:t> </w:t>
      </w:r>
      <w:r>
        <w:rPr/>
        <w:t>profit</w:t>
      </w:r>
      <w:r>
        <w:rPr>
          <w:spacing w:val="-3"/>
        </w:rPr>
        <w:t> </w:t>
      </w:r>
      <w:r>
        <w:rPr/>
        <w:t>in this game. As we move forward, I will illustrate how I identify major action zones in the market using the aforementioned setups to trigger profitable entries in the market at confirmed pivot levels.</w:t>
      </w:r>
    </w:p>
    <w:p>
      <w:pPr>
        <w:spacing w:after="0"/>
        <w:jc w:val="both"/>
        <w:sectPr>
          <w:pgSz w:w="8640" w:h="12960"/>
          <w:pgMar w:header="536" w:footer="1060" w:top="720" w:bottom="1260" w:left="580" w:right="580"/>
        </w:sectPr>
      </w:pPr>
    </w:p>
    <w:p>
      <w:pPr>
        <w:pStyle w:val="BodyText"/>
        <w:spacing w:before="4"/>
        <w:rPr>
          <w:sz w:val="17"/>
        </w:rPr>
      </w:pPr>
    </w:p>
    <w:p>
      <w:pPr>
        <w:spacing w:after="0"/>
        <w:rPr>
          <w:sz w:val="17"/>
        </w:rPr>
        <w:sectPr>
          <w:headerReference w:type="even" r:id="rId49"/>
          <w:footerReference w:type="even" r:id="rId50"/>
          <w:pgSz w:w="8640" w:h="12960"/>
          <w:pgMar w:header="0" w:footer="0" w:top="14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2"/>
        <w:rPr>
          <w:sz w:val="180"/>
        </w:rPr>
      </w:pPr>
      <w:r>
        <w:rPr/>
        <w:pict>
          <v:line style="position:absolute;mso-position-horizontal-relative:page;mso-position-vertical-relative:paragraph;z-index:-19665408" from="56.279999pt,103.30365pt" to="390.719999pt,103.30365pt" stroked="true" strokeweight=".75pt" strokecolor="#000000">
            <v:stroke dashstyle="solid"/>
            <w10:wrap type="none"/>
          </v:line>
        </w:pict>
      </w:r>
      <w:bookmarkStart w:name="_TOC_250074" w:id="17"/>
      <w:r>
        <w:rPr>
          <w:w w:val="105"/>
        </w:rPr>
        <w:t>C H A P T E R</w:t>
      </w:r>
      <w:r>
        <w:rPr>
          <w:spacing w:val="-1"/>
          <w:w w:val="105"/>
        </w:rPr>
        <w:t> </w:t>
      </w:r>
      <w:bookmarkEnd w:id="17"/>
      <w:r>
        <w:rPr>
          <w:spacing w:val="-12"/>
          <w:w w:val="105"/>
          <w:sz w:val="180"/>
        </w:rPr>
        <w:t>3</w:t>
      </w:r>
    </w:p>
    <w:p>
      <w:pPr>
        <w:pStyle w:val="Heading1"/>
        <w:spacing w:line="276" w:lineRule="auto"/>
        <w:ind w:left="3636" w:hanging="1274"/>
      </w:pPr>
      <w:bookmarkStart w:name="_TOC_250073" w:id="18"/>
      <w:r>
        <w:rPr>
          <w:smallCaps/>
          <w:w w:val="90"/>
        </w:rPr>
        <w:t>Introducing The Money</w:t>
      </w:r>
      <w:r>
        <w:rPr>
          <w:smallCaps/>
          <w:spacing w:val="6"/>
        </w:rPr>
        <w:t> </w:t>
      </w:r>
      <w:bookmarkEnd w:id="18"/>
      <w:r>
        <w:rPr>
          <w:smallCaps/>
          <w:spacing w:val="-4"/>
          <w:w w:val="90"/>
        </w:rPr>
        <w:t>Zone</w:t>
      </w:r>
    </w:p>
    <w:p>
      <w:pPr>
        <w:spacing w:line="276" w:lineRule="auto" w:before="289"/>
        <w:ind w:left="1219" w:right="136" w:firstLine="0"/>
        <w:jc w:val="both"/>
        <w:rPr>
          <w:i/>
          <w:sz w:val="22"/>
        </w:rPr>
      </w:pPr>
      <w:r>
        <w:rPr>
          <w:i/>
          <w:sz w:val="22"/>
        </w:rPr>
        <w:t>“I always made money when I was sure I was right before I began.</w:t>
      </w:r>
      <w:r>
        <w:rPr>
          <w:i/>
          <w:sz w:val="22"/>
        </w:rPr>
        <w:t> What beat me was not having brains enough to stick to my own game—that is, to play the market only when I was satisfied that precedents favored my play.”</w:t>
      </w:r>
    </w:p>
    <w:p>
      <w:pPr>
        <w:pStyle w:val="BodyText"/>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spacing w:before="9"/>
        <w:rPr>
          <w:sz w:val="31"/>
        </w:rPr>
      </w:pPr>
    </w:p>
    <w:p>
      <w:pPr>
        <w:pStyle w:val="BodyText"/>
        <w:spacing w:before="1"/>
        <w:ind w:left="499" w:right="135" w:firstLine="432"/>
        <w:jc w:val="both"/>
      </w:pPr>
      <w:r>
        <w:rPr/>
        <w:t>Thus far, we have covered concepts relating to market dynamics, creating a solid foundation for the meat of the book, which begins with this chapter. From this point forward, we will now begin to relate these concepts to actionable points on the chart. The goal is to highlight the best entry and exit</w:t>
      </w:r>
      <w:r>
        <w:rPr>
          <w:spacing w:val="40"/>
        </w:rPr>
        <w:t> </w:t>
      </w:r>
      <w:r>
        <w:rPr/>
        <w:t>scenarios</w:t>
      </w:r>
      <w:r>
        <w:rPr>
          <w:spacing w:val="40"/>
        </w:rPr>
        <w:t> </w:t>
      </w:r>
      <w:r>
        <w:rPr/>
        <w:t>using</w:t>
      </w:r>
      <w:r>
        <w:rPr>
          <w:spacing w:val="40"/>
        </w:rPr>
        <w:t> </w:t>
      </w:r>
      <w:r>
        <w:rPr/>
        <w:t>powerful</w:t>
      </w:r>
      <w:r>
        <w:rPr>
          <w:spacing w:val="40"/>
        </w:rPr>
        <w:t> </w:t>
      </w:r>
      <w:r>
        <w:rPr/>
        <w:t>priced-based,</w:t>
      </w:r>
      <w:r>
        <w:rPr>
          <w:spacing w:val="40"/>
        </w:rPr>
        <w:t> </w:t>
      </w:r>
      <w:r>
        <w:rPr/>
        <w:t>market-generated</w:t>
      </w:r>
      <w:r>
        <w:rPr>
          <w:spacing w:val="40"/>
        </w:rPr>
        <w:t> </w:t>
      </w:r>
      <w:r>
        <w:rPr/>
        <w:t>support</w:t>
      </w:r>
      <w:r>
        <w:rPr>
          <w:spacing w:val="40"/>
        </w:rPr>
        <w:t> </w:t>
      </w:r>
      <w:r>
        <w:rPr/>
        <w:t>and</w:t>
      </w:r>
    </w:p>
    <w:p>
      <w:pPr>
        <w:spacing w:after="0"/>
        <w:jc w:val="both"/>
        <w:sectPr>
          <w:headerReference w:type="default" r:id="rId51"/>
          <w:footerReference w:type="default" r:id="rId52"/>
          <w:footerReference w:type="even" r:id="rId53"/>
          <w:pgSz w:w="8640" w:h="12960"/>
          <w:pgMar w:header="0" w:footer="1060" w:top="1480" w:bottom="1260" w:left="580" w:right="580"/>
          <w:pgNumType w:start="57"/>
        </w:sectPr>
      </w:pPr>
    </w:p>
    <w:p>
      <w:pPr>
        <w:pStyle w:val="BodyText"/>
        <w:spacing w:before="5"/>
        <w:rPr>
          <w:sz w:val="18"/>
        </w:rPr>
      </w:pPr>
    </w:p>
    <w:p>
      <w:pPr>
        <w:pStyle w:val="BodyText"/>
        <w:spacing w:before="64"/>
        <w:ind w:left="140" w:right="519"/>
      </w:pPr>
      <w:r>
        <w:rPr/>
        <w:t>resistance levels. Our first stop on this pivot-based tour is an introduction to the Money Zone.</w:t>
      </w:r>
    </w:p>
    <w:p>
      <w:pPr>
        <w:pStyle w:val="BodyText"/>
        <w:spacing w:before="2"/>
      </w:pPr>
    </w:p>
    <w:p>
      <w:pPr>
        <w:spacing w:before="0"/>
        <w:ind w:left="2554" w:right="519" w:hanging="2272"/>
        <w:jc w:val="left"/>
        <w:rPr>
          <w:i/>
          <w:sz w:val="22"/>
        </w:rPr>
      </w:pPr>
      <w:r>
        <w:rPr>
          <w:i/>
          <w:sz w:val="22"/>
        </w:rPr>
        <w:t>The</w:t>
      </w:r>
      <w:r>
        <w:rPr>
          <w:i/>
          <w:spacing w:val="-4"/>
          <w:sz w:val="22"/>
        </w:rPr>
        <w:t> </w:t>
      </w:r>
      <w:r>
        <w:rPr>
          <w:i/>
          <w:sz w:val="22"/>
        </w:rPr>
        <w:t>Money</w:t>
      </w:r>
      <w:r>
        <w:rPr>
          <w:i/>
          <w:spacing w:val="-4"/>
          <w:sz w:val="22"/>
        </w:rPr>
        <w:t> </w:t>
      </w:r>
      <w:r>
        <w:rPr>
          <w:i/>
          <w:sz w:val="22"/>
        </w:rPr>
        <w:t>Zone</w:t>
      </w:r>
      <w:r>
        <w:rPr>
          <w:i/>
          <w:spacing w:val="-4"/>
          <w:sz w:val="22"/>
        </w:rPr>
        <w:t> </w:t>
      </w:r>
      <w:r>
        <w:rPr>
          <w:i/>
          <w:sz w:val="22"/>
        </w:rPr>
        <w:t>offers</w:t>
      </w:r>
      <w:r>
        <w:rPr>
          <w:i/>
          <w:spacing w:val="-4"/>
          <w:sz w:val="22"/>
        </w:rPr>
        <w:t> </w:t>
      </w:r>
      <w:r>
        <w:rPr>
          <w:i/>
          <w:sz w:val="22"/>
        </w:rPr>
        <w:t>market-generated</w:t>
      </w:r>
      <w:r>
        <w:rPr>
          <w:i/>
          <w:spacing w:val="-4"/>
          <w:sz w:val="22"/>
        </w:rPr>
        <w:t> </w:t>
      </w:r>
      <w:r>
        <w:rPr>
          <w:i/>
          <w:sz w:val="22"/>
        </w:rPr>
        <w:t>levels</w:t>
      </w:r>
      <w:r>
        <w:rPr>
          <w:i/>
          <w:spacing w:val="-4"/>
          <w:sz w:val="22"/>
        </w:rPr>
        <w:t> </w:t>
      </w:r>
      <w:r>
        <w:rPr>
          <w:i/>
          <w:sz w:val="22"/>
        </w:rPr>
        <w:t>that</w:t>
      </w:r>
      <w:r>
        <w:rPr>
          <w:i/>
          <w:spacing w:val="-4"/>
          <w:sz w:val="22"/>
        </w:rPr>
        <w:t> </w:t>
      </w:r>
      <w:r>
        <w:rPr>
          <w:i/>
          <w:sz w:val="22"/>
        </w:rPr>
        <w:t>are</w:t>
      </w:r>
      <w:r>
        <w:rPr>
          <w:i/>
          <w:spacing w:val="-5"/>
          <w:sz w:val="22"/>
        </w:rPr>
        <w:t> </w:t>
      </w:r>
      <w:r>
        <w:rPr>
          <w:i/>
          <w:sz w:val="22"/>
        </w:rPr>
        <w:t>based</w:t>
      </w:r>
      <w:r>
        <w:rPr>
          <w:i/>
          <w:spacing w:val="-4"/>
          <w:sz w:val="22"/>
        </w:rPr>
        <w:t> </w:t>
      </w:r>
      <w:r>
        <w:rPr>
          <w:i/>
          <w:sz w:val="22"/>
        </w:rPr>
        <w:t>on</w:t>
      </w:r>
      <w:r>
        <w:rPr>
          <w:i/>
          <w:spacing w:val="-4"/>
          <w:sz w:val="22"/>
        </w:rPr>
        <w:t> </w:t>
      </w:r>
      <w:r>
        <w:rPr>
          <w:i/>
          <w:sz w:val="22"/>
        </w:rPr>
        <w:t>the</w:t>
      </w:r>
      <w:r>
        <w:rPr>
          <w:i/>
          <w:spacing w:val="-4"/>
          <w:sz w:val="22"/>
        </w:rPr>
        <w:t> </w:t>
      </w:r>
      <w:r>
        <w:rPr>
          <w:i/>
          <w:sz w:val="22"/>
        </w:rPr>
        <w:t>time</w:t>
      </w:r>
      <w:r>
        <w:rPr>
          <w:i/>
          <w:sz w:val="22"/>
        </w:rPr>
        <w:t> and price relationship.</w:t>
      </w:r>
    </w:p>
    <w:p>
      <w:pPr>
        <w:pStyle w:val="BodyText"/>
        <w:spacing w:before="10"/>
        <w:rPr>
          <w:i/>
          <w:sz w:val="21"/>
        </w:rPr>
      </w:pPr>
    </w:p>
    <w:p>
      <w:pPr>
        <w:pStyle w:val="BodyText"/>
        <w:ind w:left="140" w:right="495" w:firstLine="432"/>
        <w:jc w:val="both"/>
      </w:pPr>
      <w:r>
        <w:rPr/>
        <w:t>The Money</w:t>
      </w:r>
      <w:r>
        <w:rPr>
          <w:spacing w:val="-1"/>
        </w:rPr>
        <w:t> </w:t>
      </w:r>
      <w:r>
        <w:rPr/>
        <w:t>Zone was created by</w:t>
      </w:r>
      <w:r>
        <w:rPr>
          <w:spacing w:val="-1"/>
        </w:rPr>
        <w:t> </w:t>
      </w:r>
      <w:r>
        <w:rPr/>
        <w:t>Nirvana Systems, Inc. to easily</w:t>
      </w:r>
      <w:r>
        <w:rPr>
          <w:spacing w:val="-1"/>
        </w:rPr>
        <w:t> </w:t>
      </w:r>
      <w:r>
        <w:rPr/>
        <w:t>display the most important levels that Market Profile™ has to offer. The Market Profile was created by J. Peter Steidlmayer in the early 1980s in a joint effort with the Chicago Board of Trade in order to display the time and price relationship as it unfolded in the market. The result was a revolutionary way of viewing the market’s activity using a visual “profile” representing time</w:t>
      </w:r>
      <w:r>
        <w:rPr>
          <w:spacing w:val="40"/>
        </w:rPr>
        <w:t> </w:t>
      </w:r>
      <w:r>
        <w:rPr/>
        <w:t>and</w:t>
      </w:r>
      <w:r>
        <w:rPr>
          <w:spacing w:val="-1"/>
        </w:rPr>
        <w:t> </w:t>
      </w:r>
      <w:r>
        <w:rPr/>
        <w:t>price.</w:t>
      </w:r>
      <w:r>
        <w:rPr>
          <w:spacing w:val="-1"/>
        </w:rPr>
        <w:t> </w:t>
      </w:r>
      <w:r>
        <w:rPr/>
        <w:t>This</w:t>
      </w:r>
      <w:r>
        <w:rPr>
          <w:spacing w:val="-1"/>
        </w:rPr>
        <w:t> </w:t>
      </w:r>
      <w:r>
        <w:rPr/>
        <w:t>breakthrough</w:t>
      </w:r>
      <w:r>
        <w:rPr>
          <w:spacing w:val="-1"/>
        </w:rPr>
        <w:t> </w:t>
      </w:r>
      <w:r>
        <w:rPr/>
        <w:t>paved</w:t>
      </w:r>
      <w:r>
        <w:rPr>
          <w:spacing w:val="-1"/>
        </w:rPr>
        <w:t> </w:t>
      </w:r>
      <w:r>
        <w:rPr/>
        <w:t>the</w:t>
      </w:r>
      <w:r>
        <w:rPr>
          <w:spacing w:val="-2"/>
        </w:rPr>
        <w:t> </w:t>
      </w:r>
      <w:r>
        <w:rPr/>
        <w:t>way</w:t>
      </w:r>
      <w:r>
        <w:rPr>
          <w:spacing w:val="-1"/>
        </w:rPr>
        <w:t> </w:t>
      </w:r>
      <w:r>
        <w:rPr/>
        <w:t>for</w:t>
      </w:r>
      <w:r>
        <w:rPr>
          <w:spacing w:val="-1"/>
        </w:rPr>
        <w:t> </w:t>
      </w:r>
      <w:r>
        <w:rPr/>
        <w:t>a</w:t>
      </w:r>
      <w:r>
        <w:rPr>
          <w:spacing w:val="-1"/>
        </w:rPr>
        <w:t> </w:t>
      </w:r>
      <w:r>
        <w:rPr/>
        <w:t>whole</w:t>
      </w:r>
      <w:r>
        <w:rPr>
          <w:spacing w:val="-1"/>
        </w:rPr>
        <w:t> </w:t>
      </w:r>
      <w:r>
        <w:rPr/>
        <w:t>new</w:t>
      </w:r>
      <w:r>
        <w:rPr>
          <w:spacing w:val="-1"/>
        </w:rPr>
        <w:t> </w:t>
      </w:r>
      <w:r>
        <w:rPr/>
        <w:t>realm of market understanding, as it created a level of transparency between buyers and</w:t>
      </w:r>
      <w:r>
        <w:rPr>
          <w:spacing w:val="40"/>
        </w:rPr>
        <w:t> </w:t>
      </w:r>
      <w:r>
        <w:rPr/>
        <w:t>sellers that had never been seen before.</w:t>
      </w:r>
    </w:p>
    <w:p>
      <w:pPr>
        <w:pStyle w:val="BodyText"/>
        <w:ind w:left="140" w:right="497" w:firstLine="432"/>
        <w:jc w:val="both"/>
      </w:pPr>
      <w:r>
        <w:rPr/>
        <w:t>The Market Profile structure provides an in depth look at market participation at specific price points, which allows us to use the information to identify areas where price is overvalued, undervalued, and fair valued.</w:t>
      </w:r>
      <w:r>
        <w:rPr>
          <w:spacing w:val="40"/>
        </w:rPr>
        <w:t> </w:t>
      </w:r>
      <w:r>
        <w:rPr/>
        <w:t>This market-generated information is the essence of the Money Zone. However, interpreting these levels is where the money is made. I will soon reveal extremely powerful pivot-based relationships using the information derived from the Money Zone, which can truly change the way you trade.</w:t>
      </w:r>
      <w:r>
        <w:rPr>
          <w:spacing w:val="40"/>
        </w:rPr>
        <w:t> </w:t>
      </w:r>
      <w:r>
        <w:rPr/>
        <w:t>But first, we need a primer of these powerful levels.</w:t>
      </w:r>
    </w:p>
    <w:p>
      <w:pPr>
        <w:pStyle w:val="BodyText"/>
        <w:spacing w:before="11"/>
        <w:rPr>
          <w:sz w:val="21"/>
        </w:rPr>
      </w:pPr>
    </w:p>
    <w:p>
      <w:pPr>
        <w:pStyle w:val="Heading3"/>
      </w:pPr>
      <w:r>
        <w:rPr/>
        <w:pict>
          <v:shape style="position:absolute;margin-left:36.779999pt;margin-top:18.230299pt;width:341pt;height:.1pt;mso-position-horizontal-relative:page;mso-position-vertical-relative:paragraph;z-index:-15706624;mso-wrap-distance-left:0;mso-wrap-distance-right:0" id="docshape225" coordorigin="736,365" coordsize="6820,0" path="m736,365l7555,365e" filled="false" stroked="true" strokeweight=".75pt" strokecolor="#000000">
            <v:path arrowok="t"/>
            <v:stroke dashstyle="solid"/>
            <w10:wrap type="topAndBottom"/>
          </v:shape>
        </w:pict>
      </w:r>
      <w:bookmarkStart w:name="_TOC_250072" w:id="19"/>
      <w:r>
        <w:rPr>
          <w:smallCaps/>
        </w:rPr>
        <w:t>About</w:t>
      </w:r>
      <w:r>
        <w:rPr>
          <w:smallCaps/>
          <w:spacing w:val="-14"/>
        </w:rPr>
        <w:t> </w:t>
      </w:r>
      <w:r>
        <w:rPr>
          <w:smallCaps/>
        </w:rPr>
        <w:t>the</w:t>
      </w:r>
      <w:r>
        <w:rPr>
          <w:smallCaps/>
          <w:spacing w:val="-9"/>
        </w:rPr>
        <w:t> </w:t>
      </w:r>
      <w:r>
        <w:rPr>
          <w:smallCaps/>
        </w:rPr>
        <w:t>Market</w:t>
      </w:r>
      <w:r>
        <w:rPr>
          <w:smallCaps/>
          <w:spacing w:val="-11"/>
        </w:rPr>
        <w:t> </w:t>
      </w:r>
      <w:bookmarkEnd w:id="19"/>
      <w:r>
        <w:rPr>
          <w:smallCaps/>
          <w:spacing w:val="-2"/>
        </w:rPr>
        <w:t>Profile</w:t>
      </w:r>
    </w:p>
    <w:p>
      <w:pPr>
        <w:pStyle w:val="BodyText"/>
        <w:spacing w:before="203"/>
        <w:ind w:left="139" w:right="493" w:firstLine="432"/>
        <w:jc w:val="both"/>
      </w:pPr>
      <w:r>
        <w:rPr/>
        <w:t>There are entire books dedicated to the Market Profile, which go way beyond the brief introduction that I will share with you here. In fact, Steidlmayer wrote </w:t>
      </w:r>
      <w:r>
        <w:rPr>
          <w:i/>
        </w:rPr>
        <w:t>Markets and Market Logic </w:t>
      </w:r>
      <w:r>
        <w:rPr/>
        <w:t>in 1986 to help introduce the concept to the masses, and has since published an additional work on the topic. To date, my favorite book on the Market Profile, and my favorite trading book in general, is Jim Dalton’s </w:t>
      </w:r>
      <w:r>
        <w:rPr>
          <w:i/>
        </w:rPr>
        <w:t>Mind over Markets</w:t>
      </w:r>
      <w:r>
        <w:rPr/>
        <w:t>. This book</w:t>
      </w:r>
      <w:r>
        <w:rPr>
          <w:spacing w:val="40"/>
        </w:rPr>
        <w:t> </w:t>
      </w:r>
      <w:r>
        <w:rPr/>
        <w:t>clearly and effectively explains the Market Profile, and market dynamics, in</w:t>
      </w:r>
      <w:r>
        <w:rPr>
          <w:spacing w:val="80"/>
        </w:rPr>
        <w:t> </w:t>
      </w:r>
      <w:r>
        <w:rPr/>
        <w:t>a manner that is both insightful and</w:t>
      </w:r>
      <w:r>
        <w:rPr>
          <w:spacing w:val="-1"/>
        </w:rPr>
        <w:t> </w:t>
      </w:r>
      <w:r>
        <w:rPr/>
        <w:t>delightful to read. Coincidentally, Dalton sponsored Steidlmayer’s original work </w:t>
      </w:r>
      <w:r>
        <w:rPr>
          <w:i/>
        </w:rPr>
        <w:t>Markets and Market Logic</w:t>
      </w:r>
      <w:r>
        <w:rPr/>
        <w:t>.</w:t>
      </w:r>
    </w:p>
    <w:p>
      <w:pPr>
        <w:pStyle w:val="BodyText"/>
        <w:ind w:left="139" w:right="493" w:firstLine="432"/>
        <w:jc w:val="both"/>
      </w:pPr>
      <w:r>
        <w:rPr/>
        <w:t>Before</w:t>
      </w:r>
      <w:r>
        <w:rPr>
          <w:spacing w:val="-3"/>
        </w:rPr>
        <w:t> </w:t>
      </w:r>
      <w:r>
        <w:rPr/>
        <w:t>we</w:t>
      </w:r>
      <w:r>
        <w:rPr>
          <w:spacing w:val="-3"/>
        </w:rPr>
        <w:t> </w:t>
      </w:r>
      <w:r>
        <w:rPr/>
        <w:t>can</w:t>
      </w:r>
      <w:r>
        <w:rPr>
          <w:spacing w:val="-3"/>
        </w:rPr>
        <w:t> </w:t>
      </w:r>
      <w:r>
        <w:rPr/>
        <w:t>understand</w:t>
      </w:r>
      <w:r>
        <w:rPr>
          <w:spacing w:val="-3"/>
        </w:rPr>
        <w:t> </w:t>
      </w:r>
      <w:r>
        <w:rPr/>
        <w:t>the</w:t>
      </w:r>
      <w:r>
        <w:rPr>
          <w:spacing w:val="-3"/>
        </w:rPr>
        <w:t> </w:t>
      </w:r>
      <w:r>
        <w:rPr/>
        <w:t>Money</w:t>
      </w:r>
      <w:r>
        <w:rPr>
          <w:spacing w:val="-3"/>
        </w:rPr>
        <w:t> </w:t>
      </w:r>
      <w:r>
        <w:rPr/>
        <w:t>Zone,</w:t>
      </w:r>
      <w:r>
        <w:rPr>
          <w:spacing w:val="-3"/>
        </w:rPr>
        <w:t> </w:t>
      </w:r>
      <w:r>
        <w:rPr/>
        <w:t>we</w:t>
      </w:r>
      <w:r>
        <w:rPr>
          <w:spacing w:val="-2"/>
        </w:rPr>
        <w:t> </w:t>
      </w:r>
      <w:r>
        <w:rPr/>
        <w:t>must</w:t>
      </w:r>
      <w:r>
        <w:rPr>
          <w:spacing w:val="-1"/>
        </w:rPr>
        <w:t> </w:t>
      </w:r>
      <w:r>
        <w:rPr/>
        <w:t>first</w:t>
      </w:r>
      <w:r>
        <w:rPr>
          <w:spacing w:val="-4"/>
        </w:rPr>
        <w:t> </w:t>
      </w:r>
      <w:r>
        <w:rPr/>
        <w:t>understand</w:t>
      </w:r>
      <w:r>
        <w:rPr>
          <w:spacing w:val="-3"/>
        </w:rPr>
        <w:t> </w:t>
      </w:r>
      <w:r>
        <w:rPr/>
        <w:t>the basic components of the Market Profile. Let’s take a closer look at how the Market Profile is structured.</w:t>
      </w:r>
    </w:p>
    <w:p>
      <w:pPr>
        <w:spacing w:after="0"/>
        <w:jc w:val="both"/>
        <w:sectPr>
          <w:headerReference w:type="even" r:id="rId54"/>
          <w:headerReference w:type="default" r:id="rId55"/>
          <w:pgSz w:w="8640" w:h="12960"/>
          <w:pgMar w:header="579" w:footer="1060" w:top="760" w:bottom="1260" w:left="580" w:right="580"/>
        </w:sectPr>
      </w:pPr>
    </w:p>
    <w:p>
      <w:pPr>
        <w:pStyle w:val="BodyText"/>
        <w:spacing w:before="8"/>
        <w:rPr>
          <w:sz w:val="26"/>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gridCol w:w="2360"/>
        <w:gridCol w:w="2134"/>
      </w:tblGrid>
      <w:tr>
        <w:trPr>
          <w:trHeight w:val="507" w:hRule="atLeast"/>
        </w:trPr>
        <w:tc>
          <w:tcPr>
            <w:tcW w:w="5940" w:type="dxa"/>
            <w:gridSpan w:val="3"/>
            <w:tcBorders>
              <w:left w:val="single" w:sz="6" w:space="0" w:color="000000"/>
              <w:bottom w:val="single" w:sz="6" w:space="0" w:color="000000"/>
              <w:right w:val="single" w:sz="6" w:space="0" w:color="000000"/>
            </w:tcBorders>
            <w:shd w:val="clear" w:color="auto" w:fill="000000"/>
          </w:tcPr>
          <w:p>
            <w:pPr>
              <w:pStyle w:val="TableParagraph"/>
              <w:spacing w:before="100"/>
              <w:ind w:left="973" w:right="955"/>
              <w:jc w:val="center"/>
              <w:rPr>
                <w:rFonts w:ascii="Verdana"/>
                <w:sz w:val="28"/>
              </w:rPr>
            </w:pPr>
            <w:r>
              <w:rPr>
                <w:rFonts w:ascii="Verdana"/>
                <w:color w:val="FFFFFF"/>
                <w:sz w:val="28"/>
              </w:rPr>
              <w:t>The Market Profile</w:t>
            </w:r>
            <w:r>
              <w:rPr>
                <w:rFonts w:ascii="Verdana"/>
                <w:color w:val="FFFFFF"/>
                <w:spacing w:val="1"/>
                <w:sz w:val="28"/>
              </w:rPr>
              <w:t> </w:t>
            </w:r>
            <w:r>
              <w:rPr>
                <w:rFonts w:ascii="Verdana"/>
                <w:color w:val="FFFFFF"/>
                <w:spacing w:val="-2"/>
                <w:sz w:val="28"/>
              </w:rPr>
              <w:t>Structure</w:t>
            </w:r>
          </w:p>
        </w:tc>
      </w:tr>
      <w:tr>
        <w:trPr>
          <w:trHeight w:val="309" w:hRule="atLeast"/>
        </w:trPr>
        <w:tc>
          <w:tcPr>
            <w:tcW w:w="1446" w:type="dxa"/>
            <w:tcBorders>
              <w:top w:val="single" w:sz="6" w:space="0" w:color="000000"/>
              <w:left w:val="single" w:sz="6" w:space="0" w:color="000000"/>
            </w:tcBorders>
          </w:tcPr>
          <w:p>
            <w:pPr>
              <w:pStyle w:val="TableParagraph"/>
              <w:spacing w:line="185" w:lineRule="exact" w:before="104"/>
              <w:ind w:left="313" w:right="292"/>
              <w:jc w:val="center"/>
              <w:rPr>
                <w:rFonts w:ascii="Arial"/>
                <w:sz w:val="22"/>
              </w:rPr>
            </w:pPr>
            <w:r>
              <w:rPr>
                <w:rFonts w:ascii="Arial"/>
                <w:spacing w:val="-2"/>
                <w:sz w:val="22"/>
              </w:rPr>
              <w:t>1100.00</w:t>
            </w:r>
          </w:p>
        </w:tc>
        <w:tc>
          <w:tcPr>
            <w:tcW w:w="2360" w:type="dxa"/>
            <w:tcBorders>
              <w:top w:val="single" w:sz="6" w:space="0" w:color="000000"/>
            </w:tcBorders>
          </w:tcPr>
          <w:p>
            <w:pPr>
              <w:pStyle w:val="TableParagraph"/>
              <w:spacing w:line="185" w:lineRule="exact" w:before="104"/>
              <w:ind w:left="330"/>
              <w:rPr>
                <w:rFonts w:ascii="Arial"/>
                <w:sz w:val="22"/>
              </w:rPr>
            </w:pPr>
            <w:r>
              <w:rPr>
                <w:rFonts w:ascii="Arial"/>
                <w:w w:val="99"/>
                <w:sz w:val="22"/>
              </w:rPr>
              <w:t>B</w:t>
            </w:r>
          </w:p>
        </w:tc>
        <w:tc>
          <w:tcPr>
            <w:tcW w:w="2134" w:type="dxa"/>
            <w:tcBorders>
              <w:top w:val="single" w:sz="6" w:space="0" w:color="000000"/>
              <w:right w:val="single" w:sz="6" w:space="0" w:color="000000"/>
            </w:tcBorders>
          </w:tcPr>
          <w:p>
            <w:pPr>
              <w:pStyle w:val="TableParagraph"/>
              <w:rPr>
                <w:rFonts w:ascii="Times New Roman"/>
                <w:sz w:val="20"/>
              </w:rPr>
            </w:pPr>
          </w:p>
        </w:tc>
      </w:tr>
      <w:tr>
        <w:trPr>
          <w:trHeight w:val="240" w:hRule="atLeast"/>
        </w:trPr>
        <w:tc>
          <w:tcPr>
            <w:tcW w:w="1446" w:type="dxa"/>
            <w:tcBorders>
              <w:left w:val="single" w:sz="6" w:space="0" w:color="000000"/>
            </w:tcBorders>
          </w:tcPr>
          <w:p>
            <w:pPr>
              <w:pStyle w:val="TableParagraph"/>
              <w:spacing w:line="185" w:lineRule="exact" w:before="35"/>
              <w:ind w:left="313" w:right="292"/>
              <w:jc w:val="center"/>
              <w:rPr>
                <w:rFonts w:ascii="Arial"/>
                <w:sz w:val="22"/>
              </w:rPr>
            </w:pPr>
            <w:r>
              <w:rPr>
                <w:rFonts w:ascii="Arial"/>
                <w:spacing w:val="-2"/>
                <w:sz w:val="22"/>
              </w:rPr>
              <w:t>1099.75</w:t>
            </w:r>
          </w:p>
        </w:tc>
        <w:tc>
          <w:tcPr>
            <w:tcW w:w="2360" w:type="dxa"/>
          </w:tcPr>
          <w:p>
            <w:pPr>
              <w:pStyle w:val="TableParagraph"/>
              <w:spacing w:line="185" w:lineRule="exact" w:before="35"/>
              <w:ind w:left="330"/>
              <w:rPr>
                <w:rFonts w:ascii="Arial"/>
                <w:sz w:val="22"/>
              </w:rPr>
            </w:pPr>
            <w:r>
              <w:rPr>
                <w:rFonts w:ascii="Arial"/>
                <w:w w:val="99"/>
                <w:sz w:val="22"/>
              </w:rPr>
              <w:t>B</w:t>
            </w:r>
          </w:p>
        </w:tc>
        <w:tc>
          <w:tcPr>
            <w:tcW w:w="2134" w:type="dxa"/>
            <w:tcBorders>
              <w:right w:val="single" w:sz="6" w:space="0" w:color="000000"/>
            </w:tcBorders>
          </w:tcPr>
          <w:p>
            <w:pPr>
              <w:pStyle w:val="TableParagraph"/>
              <w:rPr>
                <w:rFonts w:ascii="Times New Roman"/>
                <w:sz w:val="16"/>
              </w:rPr>
            </w:pPr>
          </w:p>
        </w:tc>
      </w:tr>
      <w:tr>
        <w:trPr>
          <w:trHeight w:val="240" w:hRule="atLeast"/>
        </w:trPr>
        <w:tc>
          <w:tcPr>
            <w:tcW w:w="1446" w:type="dxa"/>
            <w:tcBorders>
              <w:left w:val="single" w:sz="6" w:space="0" w:color="000000"/>
            </w:tcBorders>
          </w:tcPr>
          <w:p>
            <w:pPr>
              <w:pStyle w:val="TableParagraph"/>
              <w:spacing w:line="185" w:lineRule="exact" w:before="35"/>
              <w:ind w:left="313" w:right="292"/>
              <w:jc w:val="center"/>
              <w:rPr>
                <w:rFonts w:ascii="Arial"/>
                <w:sz w:val="22"/>
              </w:rPr>
            </w:pPr>
            <w:r>
              <w:rPr>
                <w:rFonts w:ascii="Arial"/>
                <w:spacing w:val="-2"/>
                <w:sz w:val="22"/>
              </w:rPr>
              <w:t>1099.50</w:t>
            </w:r>
          </w:p>
        </w:tc>
        <w:tc>
          <w:tcPr>
            <w:tcW w:w="2360" w:type="dxa"/>
          </w:tcPr>
          <w:p>
            <w:pPr>
              <w:pStyle w:val="TableParagraph"/>
              <w:spacing w:line="185" w:lineRule="exact" w:before="35"/>
              <w:ind w:left="330"/>
              <w:rPr>
                <w:rFonts w:ascii="Arial"/>
                <w:sz w:val="22"/>
              </w:rPr>
            </w:pPr>
            <w:r>
              <w:rPr>
                <w:rFonts w:ascii="Arial"/>
                <w:spacing w:val="-5"/>
                <w:sz w:val="22"/>
              </w:rPr>
              <w:t>ABM</w:t>
            </w:r>
          </w:p>
        </w:tc>
        <w:tc>
          <w:tcPr>
            <w:tcW w:w="2134" w:type="dxa"/>
            <w:tcBorders>
              <w:right w:val="single" w:sz="6" w:space="0" w:color="000000"/>
            </w:tcBorders>
          </w:tcPr>
          <w:p>
            <w:pPr>
              <w:pStyle w:val="TableParagraph"/>
              <w:rPr>
                <w:rFonts w:ascii="Times New Roman"/>
                <w:sz w:val="16"/>
              </w:rPr>
            </w:pPr>
          </w:p>
        </w:tc>
      </w:tr>
      <w:tr>
        <w:trPr>
          <w:trHeight w:val="240" w:hRule="atLeast"/>
        </w:trPr>
        <w:tc>
          <w:tcPr>
            <w:tcW w:w="1446" w:type="dxa"/>
            <w:tcBorders>
              <w:left w:val="single" w:sz="6" w:space="0" w:color="000000"/>
            </w:tcBorders>
          </w:tcPr>
          <w:p>
            <w:pPr>
              <w:pStyle w:val="TableParagraph"/>
              <w:spacing w:line="185" w:lineRule="exact" w:before="35"/>
              <w:ind w:left="311" w:right="293"/>
              <w:jc w:val="center"/>
              <w:rPr>
                <w:rFonts w:ascii="Arial"/>
                <w:sz w:val="22"/>
              </w:rPr>
            </w:pPr>
            <w:r>
              <w:rPr>
                <w:rFonts w:ascii="Arial"/>
                <w:spacing w:val="-2"/>
                <w:sz w:val="22"/>
              </w:rPr>
              <w:t>1099.25</w:t>
            </w:r>
          </w:p>
        </w:tc>
        <w:tc>
          <w:tcPr>
            <w:tcW w:w="2360" w:type="dxa"/>
          </w:tcPr>
          <w:p>
            <w:pPr>
              <w:pStyle w:val="TableParagraph"/>
              <w:spacing w:line="185" w:lineRule="exact" w:before="35"/>
              <w:ind w:left="329"/>
              <w:rPr>
                <w:rFonts w:ascii="Arial"/>
                <w:sz w:val="22"/>
              </w:rPr>
            </w:pPr>
            <w:r>
              <w:rPr>
                <w:rFonts w:ascii="Arial"/>
                <w:spacing w:val="-4"/>
                <w:sz w:val="22"/>
              </w:rPr>
              <w:t>ABCM</w:t>
            </w:r>
          </w:p>
        </w:tc>
        <w:tc>
          <w:tcPr>
            <w:tcW w:w="2134" w:type="dxa"/>
            <w:tcBorders>
              <w:right w:val="single" w:sz="6" w:space="0" w:color="000000"/>
            </w:tcBorders>
          </w:tcPr>
          <w:p>
            <w:pPr>
              <w:pStyle w:val="TableParagraph"/>
              <w:rPr>
                <w:rFonts w:ascii="Times New Roman"/>
                <w:sz w:val="16"/>
              </w:rPr>
            </w:pPr>
          </w:p>
        </w:tc>
      </w:tr>
      <w:tr>
        <w:trPr>
          <w:trHeight w:val="240" w:hRule="atLeast"/>
        </w:trPr>
        <w:tc>
          <w:tcPr>
            <w:tcW w:w="1446" w:type="dxa"/>
            <w:tcBorders>
              <w:left w:val="single" w:sz="6" w:space="0" w:color="000000"/>
            </w:tcBorders>
          </w:tcPr>
          <w:p>
            <w:pPr>
              <w:pStyle w:val="TableParagraph"/>
              <w:spacing w:line="185" w:lineRule="exact" w:before="35"/>
              <w:ind w:left="311" w:right="293"/>
              <w:jc w:val="center"/>
              <w:rPr>
                <w:rFonts w:ascii="Arial"/>
                <w:sz w:val="22"/>
              </w:rPr>
            </w:pPr>
            <w:r>
              <w:rPr>
                <w:rFonts w:ascii="Arial"/>
                <w:spacing w:val="-2"/>
                <w:sz w:val="22"/>
              </w:rPr>
              <w:t>1099.00</w:t>
            </w:r>
          </w:p>
        </w:tc>
        <w:tc>
          <w:tcPr>
            <w:tcW w:w="2360" w:type="dxa"/>
          </w:tcPr>
          <w:p>
            <w:pPr>
              <w:pStyle w:val="TableParagraph"/>
              <w:spacing w:line="185" w:lineRule="exact" w:before="35"/>
              <w:ind w:left="329"/>
              <w:rPr>
                <w:rFonts w:ascii="Arial"/>
                <w:sz w:val="22"/>
              </w:rPr>
            </w:pPr>
            <w:r>
              <w:rPr>
                <w:rFonts w:ascii="Arial"/>
                <w:spacing w:val="-2"/>
                <w:sz w:val="22"/>
              </w:rPr>
              <w:t>ABCLMN</w:t>
            </w:r>
          </w:p>
        </w:tc>
        <w:tc>
          <w:tcPr>
            <w:tcW w:w="2134" w:type="dxa"/>
            <w:tcBorders>
              <w:right w:val="single" w:sz="6" w:space="0" w:color="000000"/>
            </w:tcBorders>
          </w:tcPr>
          <w:p>
            <w:pPr>
              <w:pStyle w:val="TableParagraph"/>
              <w:rPr>
                <w:rFonts w:ascii="Times New Roman"/>
                <w:sz w:val="16"/>
              </w:rPr>
            </w:pPr>
          </w:p>
        </w:tc>
      </w:tr>
      <w:tr>
        <w:trPr>
          <w:trHeight w:val="240" w:hRule="atLeast"/>
        </w:trPr>
        <w:tc>
          <w:tcPr>
            <w:tcW w:w="1446" w:type="dxa"/>
            <w:tcBorders>
              <w:left w:val="single" w:sz="6" w:space="0" w:color="000000"/>
            </w:tcBorders>
          </w:tcPr>
          <w:p>
            <w:pPr>
              <w:pStyle w:val="TableParagraph"/>
              <w:spacing w:line="185" w:lineRule="exact" w:before="35"/>
              <w:ind w:left="302" w:right="293"/>
              <w:jc w:val="center"/>
              <w:rPr>
                <w:rFonts w:ascii="Arial"/>
                <w:sz w:val="22"/>
              </w:rPr>
            </w:pPr>
            <w:r>
              <w:rPr>
                <w:rFonts w:ascii="Arial"/>
                <w:spacing w:val="-2"/>
                <w:sz w:val="22"/>
              </w:rPr>
              <w:t>1098.75</w:t>
            </w:r>
          </w:p>
        </w:tc>
        <w:tc>
          <w:tcPr>
            <w:tcW w:w="2360" w:type="dxa"/>
          </w:tcPr>
          <w:p>
            <w:pPr>
              <w:pStyle w:val="TableParagraph"/>
              <w:spacing w:line="185" w:lineRule="exact" w:before="35"/>
              <w:ind w:left="324"/>
              <w:rPr>
                <w:rFonts w:ascii="Arial"/>
                <w:sz w:val="22"/>
              </w:rPr>
            </w:pPr>
            <w:r>
              <w:rPr>
                <w:rFonts w:ascii="Arial"/>
                <w:spacing w:val="-2"/>
                <w:sz w:val="22"/>
              </w:rPr>
              <w:t>ABCDLMN</w:t>
            </w:r>
          </w:p>
        </w:tc>
        <w:tc>
          <w:tcPr>
            <w:tcW w:w="2134" w:type="dxa"/>
            <w:tcBorders>
              <w:right w:val="single" w:sz="6" w:space="0" w:color="000000"/>
            </w:tcBorders>
          </w:tcPr>
          <w:p>
            <w:pPr>
              <w:pStyle w:val="TableParagraph"/>
              <w:rPr>
                <w:rFonts w:ascii="Times New Roman"/>
                <w:sz w:val="16"/>
              </w:rPr>
            </w:pPr>
          </w:p>
        </w:tc>
      </w:tr>
      <w:tr>
        <w:trPr>
          <w:trHeight w:val="240" w:hRule="atLeast"/>
        </w:trPr>
        <w:tc>
          <w:tcPr>
            <w:tcW w:w="1446" w:type="dxa"/>
            <w:tcBorders>
              <w:left w:val="single" w:sz="6" w:space="0" w:color="000000"/>
            </w:tcBorders>
          </w:tcPr>
          <w:p>
            <w:pPr>
              <w:pStyle w:val="TableParagraph"/>
              <w:spacing w:line="185" w:lineRule="exact" w:before="35"/>
              <w:ind w:left="309" w:right="293"/>
              <w:jc w:val="center"/>
              <w:rPr>
                <w:rFonts w:ascii="Arial"/>
                <w:sz w:val="22"/>
              </w:rPr>
            </w:pPr>
            <w:r>
              <w:rPr>
                <w:rFonts w:ascii="Arial"/>
                <w:spacing w:val="-2"/>
                <w:sz w:val="22"/>
              </w:rPr>
              <w:t>1098.50</w:t>
            </w:r>
          </w:p>
        </w:tc>
        <w:tc>
          <w:tcPr>
            <w:tcW w:w="2360" w:type="dxa"/>
          </w:tcPr>
          <w:p>
            <w:pPr>
              <w:pStyle w:val="TableParagraph"/>
              <w:spacing w:line="185" w:lineRule="exact" w:before="35"/>
              <w:ind w:left="328"/>
              <w:rPr>
                <w:rFonts w:ascii="Arial"/>
                <w:sz w:val="22"/>
              </w:rPr>
            </w:pPr>
            <w:r>
              <w:rPr>
                <w:rFonts w:ascii="Arial"/>
                <w:spacing w:val="-2"/>
                <w:sz w:val="22"/>
              </w:rPr>
              <w:t>ABCDJKLMN</w:t>
            </w:r>
          </w:p>
        </w:tc>
        <w:tc>
          <w:tcPr>
            <w:tcW w:w="2134" w:type="dxa"/>
            <w:tcBorders>
              <w:right w:val="single" w:sz="6" w:space="0" w:color="000000"/>
            </w:tcBorders>
          </w:tcPr>
          <w:p>
            <w:pPr>
              <w:pStyle w:val="TableParagraph"/>
              <w:rPr>
                <w:rFonts w:ascii="Times New Roman"/>
                <w:sz w:val="16"/>
              </w:rPr>
            </w:pPr>
          </w:p>
        </w:tc>
      </w:tr>
      <w:tr>
        <w:trPr>
          <w:trHeight w:val="230" w:hRule="atLeast"/>
        </w:trPr>
        <w:tc>
          <w:tcPr>
            <w:tcW w:w="1446" w:type="dxa"/>
            <w:tcBorders>
              <w:left w:val="single" w:sz="6" w:space="0" w:color="000000"/>
            </w:tcBorders>
          </w:tcPr>
          <w:p>
            <w:pPr>
              <w:pStyle w:val="TableParagraph"/>
              <w:spacing w:line="176" w:lineRule="exact" w:before="35"/>
              <w:ind w:left="309" w:right="293"/>
              <w:jc w:val="center"/>
              <w:rPr>
                <w:rFonts w:ascii="Arial"/>
                <w:sz w:val="22"/>
              </w:rPr>
            </w:pPr>
            <w:r>
              <w:rPr>
                <w:rFonts w:ascii="Arial"/>
                <w:spacing w:val="-2"/>
                <w:sz w:val="22"/>
              </w:rPr>
              <w:t>1098.25</w:t>
            </w:r>
          </w:p>
        </w:tc>
        <w:tc>
          <w:tcPr>
            <w:tcW w:w="2360" w:type="dxa"/>
          </w:tcPr>
          <w:p>
            <w:pPr>
              <w:pStyle w:val="TableParagraph"/>
              <w:spacing w:line="176" w:lineRule="exact" w:before="35"/>
              <w:ind w:left="328"/>
              <w:rPr>
                <w:rFonts w:ascii="Arial"/>
                <w:sz w:val="22"/>
              </w:rPr>
            </w:pPr>
            <w:r>
              <w:rPr>
                <w:rFonts w:ascii="Arial"/>
                <w:spacing w:val="-2"/>
                <w:sz w:val="22"/>
              </w:rPr>
              <w:t>ABCDEJKLMN</w:t>
            </w:r>
          </w:p>
        </w:tc>
        <w:tc>
          <w:tcPr>
            <w:tcW w:w="2134" w:type="dxa"/>
            <w:tcBorders>
              <w:right w:val="single" w:sz="6" w:space="0" w:color="000000"/>
            </w:tcBorders>
          </w:tcPr>
          <w:p>
            <w:pPr>
              <w:pStyle w:val="TableParagraph"/>
              <w:rPr>
                <w:rFonts w:ascii="Times New Roman"/>
                <w:sz w:val="16"/>
              </w:rPr>
            </w:pPr>
          </w:p>
        </w:tc>
      </w:tr>
      <w:tr>
        <w:trPr>
          <w:trHeight w:val="249" w:hRule="atLeast"/>
        </w:trPr>
        <w:tc>
          <w:tcPr>
            <w:tcW w:w="1446" w:type="dxa"/>
            <w:tcBorders>
              <w:left w:val="single" w:sz="6" w:space="0" w:color="000000"/>
            </w:tcBorders>
          </w:tcPr>
          <w:p>
            <w:pPr>
              <w:pStyle w:val="TableParagraph"/>
              <w:spacing w:line="185" w:lineRule="exact" w:before="44"/>
              <w:ind w:left="309" w:right="293"/>
              <w:jc w:val="center"/>
              <w:rPr>
                <w:rFonts w:ascii="Arial"/>
                <w:sz w:val="22"/>
              </w:rPr>
            </w:pPr>
            <w:r>
              <w:rPr>
                <w:rFonts w:ascii="Arial"/>
                <w:spacing w:val="-2"/>
                <w:sz w:val="22"/>
              </w:rPr>
              <w:t>1098.00</w:t>
            </w:r>
          </w:p>
        </w:tc>
        <w:tc>
          <w:tcPr>
            <w:tcW w:w="2360" w:type="dxa"/>
          </w:tcPr>
          <w:p>
            <w:pPr>
              <w:pStyle w:val="TableParagraph"/>
              <w:spacing w:line="185" w:lineRule="exact" w:before="44"/>
              <w:ind w:left="328"/>
              <w:rPr>
                <w:rFonts w:ascii="Arial"/>
                <w:sz w:val="22"/>
              </w:rPr>
            </w:pPr>
            <w:r>
              <w:rPr>
                <w:rFonts w:ascii="Arial"/>
                <w:spacing w:val="-2"/>
                <w:sz w:val="22"/>
              </w:rPr>
              <w:t>ABCDEFJKLMN</w:t>
            </w:r>
          </w:p>
        </w:tc>
        <w:tc>
          <w:tcPr>
            <w:tcW w:w="2134" w:type="dxa"/>
            <w:tcBorders>
              <w:right w:val="single" w:sz="6" w:space="0" w:color="000000"/>
            </w:tcBorders>
          </w:tcPr>
          <w:p>
            <w:pPr>
              <w:pStyle w:val="TableParagraph"/>
              <w:spacing w:line="203" w:lineRule="exact" w:before="26"/>
              <w:ind w:left="426"/>
              <w:rPr>
                <w:rFonts w:ascii="Arial"/>
                <w:sz w:val="22"/>
              </w:rPr>
            </w:pPr>
            <w:r>
              <w:rPr>
                <w:rFonts w:ascii="Arial"/>
                <w:sz w:val="22"/>
              </w:rPr>
              <w:t>Point of </w:t>
            </w:r>
            <w:r>
              <w:rPr>
                <w:rFonts w:ascii="Arial"/>
                <w:spacing w:val="-2"/>
                <w:sz w:val="22"/>
              </w:rPr>
              <w:t>Control</w:t>
            </w:r>
          </w:p>
        </w:tc>
      </w:tr>
      <w:tr>
        <w:trPr>
          <w:trHeight w:val="240" w:hRule="atLeast"/>
        </w:trPr>
        <w:tc>
          <w:tcPr>
            <w:tcW w:w="1446" w:type="dxa"/>
            <w:tcBorders>
              <w:left w:val="single" w:sz="6" w:space="0" w:color="000000"/>
            </w:tcBorders>
          </w:tcPr>
          <w:p>
            <w:pPr>
              <w:pStyle w:val="TableParagraph"/>
              <w:spacing w:line="185" w:lineRule="exact" w:before="35"/>
              <w:ind w:left="313" w:right="283"/>
              <w:jc w:val="center"/>
              <w:rPr>
                <w:rFonts w:ascii="Arial"/>
                <w:sz w:val="22"/>
              </w:rPr>
            </w:pPr>
            <w:r>
              <w:rPr>
                <w:rFonts w:ascii="Arial"/>
                <w:spacing w:val="-2"/>
                <w:sz w:val="22"/>
              </w:rPr>
              <w:t>1097.75</w:t>
            </w:r>
          </w:p>
        </w:tc>
        <w:tc>
          <w:tcPr>
            <w:tcW w:w="2360" w:type="dxa"/>
          </w:tcPr>
          <w:p>
            <w:pPr>
              <w:pStyle w:val="TableParagraph"/>
              <w:spacing w:line="185" w:lineRule="exact" w:before="35"/>
              <w:ind w:left="335"/>
              <w:rPr>
                <w:rFonts w:ascii="Arial"/>
                <w:sz w:val="22"/>
              </w:rPr>
            </w:pPr>
            <w:r>
              <w:rPr>
                <w:rFonts w:ascii="Arial"/>
                <w:spacing w:val="-2"/>
                <w:sz w:val="22"/>
              </w:rPr>
              <w:t>ABCDEFJK</w:t>
            </w:r>
          </w:p>
        </w:tc>
        <w:tc>
          <w:tcPr>
            <w:tcW w:w="2134" w:type="dxa"/>
            <w:tcBorders>
              <w:right w:val="single" w:sz="6" w:space="0" w:color="000000"/>
            </w:tcBorders>
          </w:tcPr>
          <w:p>
            <w:pPr>
              <w:pStyle w:val="TableParagraph"/>
              <w:rPr>
                <w:rFonts w:ascii="Times New Roman"/>
                <w:sz w:val="16"/>
              </w:rPr>
            </w:pPr>
          </w:p>
        </w:tc>
      </w:tr>
      <w:tr>
        <w:trPr>
          <w:trHeight w:val="240" w:hRule="atLeast"/>
        </w:trPr>
        <w:tc>
          <w:tcPr>
            <w:tcW w:w="1446" w:type="dxa"/>
            <w:tcBorders>
              <w:left w:val="single" w:sz="6" w:space="0" w:color="000000"/>
            </w:tcBorders>
          </w:tcPr>
          <w:p>
            <w:pPr>
              <w:pStyle w:val="TableParagraph"/>
              <w:spacing w:line="185" w:lineRule="exact" w:before="35"/>
              <w:ind w:left="313" w:right="283"/>
              <w:jc w:val="center"/>
              <w:rPr>
                <w:rFonts w:ascii="Arial"/>
                <w:sz w:val="22"/>
              </w:rPr>
            </w:pPr>
            <w:r>
              <w:rPr>
                <w:rFonts w:ascii="Arial"/>
                <w:spacing w:val="-2"/>
                <w:sz w:val="22"/>
              </w:rPr>
              <w:t>1097.50</w:t>
            </w:r>
          </w:p>
        </w:tc>
        <w:tc>
          <w:tcPr>
            <w:tcW w:w="2360" w:type="dxa"/>
          </w:tcPr>
          <w:p>
            <w:pPr>
              <w:pStyle w:val="TableParagraph"/>
              <w:spacing w:line="185" w:lineRule="exact" w:before="35"/>
              <w:ind w:left="335"/>
              <w:rPr>
                <w:rFonts w:ascii="Arial"/>
                <w:sz w:val="22"/>
              </w:rPr>
            </w:pPr>
            <w:r>
              <w:rPr>
                <w:rFonts w:ascii="Arial"/>
                <w:spacing w:val="-2"/>
                <w:sz w:val="22"/>
              </w:rPr>
              <w:t>ABCDEFGHIJ</w:t>
            </w:r>
          </w:p>
        </w:tc>
        <w:tc>
          <w:tcPr>
            <w:tcW w:w="2134" w:type="dxa"/>
            <w:tcBorders>
              <w:right w:val="single" w:sz="6" w:space="0" w:color="000000"/>
            </w:tcBorders>
          </w:tcPr>
          <w:p>
            <w:pPr>
              <w:pStyle w:val="TableParagraph"/>
              <w:rPr>
                <w:rFonts w:ascii="Times New Roman"/>
                <w:sz w:val="16"/>
              </w:rPr>
            </w:pPr>
          </w:p>
        </w:tc>
      </w:tr>
      <w:tr>
        <w:trPr>
          <w:trHeight w:val="227" w:hRule="atLeast"/>
        </w:trPr>
        <w:tc>
          <w:tcPr>
            <w:tcW w:w="1446" w:type="dxa"/>
            <w:tcBorders>
              <w:left w:val="single" w:sz="6" w:space="0" w:color="000000"/>
            </w:tcBorders>
          </w:tcPr>
          <w:p>
            <w:pPr>
              <w:pStyle w:val="TableParagraph"/>
              <w:spacing w:line="172" w:lineRule="exact" w:before="35"/>
              <w:ind w:left="313" w:right="283"/>
              <w:jc w:val="center"/>
              <w:rPr>
                <w:rFonts w:ascii="Arial"/>
                <w:sz w:val="22"/>
              </w:rPr>
            </w:pPr>
            <w:r>
              <w:rPr>
                <w:rFonts w:ascii="Arial"/>
                <w:spacing w:val="-2"/>
                <w:sz w:val="22"/>
              </w:rPr>
              <w:t>1097.50</w:t>
            </w:r>
          </w:p>
        </w:tc>
        <w:tc>
          <w:tcPr>
            <w:tcW w:w="2360" w:type="dxa"/>
          </w:tcPr>
          <w:p>
            <w:pPr>
              <w:pStyle w:val="TableParagraph"/>
              <w:spacing w:line="172" w:lineRule="exact" w:before="35"/>
              <w:ind w:left="335"/>
              <w:rPr>
                <w:rFonts w:ascii="Arial"/>
                <w:sz w:val="22"/>
              </w:rPr>
            </w:pPr>
            <w:r>
              <w:rPr>
                <w:rFonts w:ascii="Arial"/>
                <w:spacing w:val="-2"/>
                <w:sz w:val="22"/>
              </w:rPr>
              <w:t>ADEFGHI</w:t>
            </w:r>
          </w:p>
        </w:tc>
        <w:tc>
          <w:tcPr>
            <w:tcW w:w="2134" w:type="dxa"/>
            <w:tcBorders>
              <w:right w:val="single" w:sz="6" w:space="0" w:color="000000"/>
            </w:tcBorders>
          </w:tcPr>
          <w:p>
            <w:pPr>
              <w:pStyle w:val="TableParagraph"/>
              <w:rPr>
                <w:rFonts w:ascii="Times New Roman"/>
                <w:sz w:val="16"/>
              </w:rPr>
            </w:pPr>
          </w:p>
        </w:tc>
      </w:tr>
      <w:tr>
        <w:trPr>
          <w:trHeight w:val="252" w:hRule="atLeast"/>
        </w:trPr>
        <w:tc>
          <w:tcPr>
            <w:tcW w:w="1446" w:type="dxa"/>
            <w:tcBorders>
              <w:left w:val="single" w:sz="6" w:space="0" w:color="000000"/>
            </w:tcBorders>
          </w:tcPr>
          <w:p>
            <w:pPr>
              <w:pStyle w:val="TableParagraph"/>
              <w:spacing w:line="185" w:lineRule="exact" w:before="47"/>
              <w:ind w:left="313" w:right="283"/>
              <w:jc w:val="center"/>
              <w:rPr>
                <w:rFonts w:ascii="Arial"/>
                <w:sz w:val="22"/>
              </w:rPr>
            </w:pPr>
            <w:r>
              <w:rPr>
                <w:rFonts w:ascii="Arial"/>
                <w:spacing w:val="-2"/>
                <w:sz w:val="22"/>
              </w:rPr>
              <w:t>1097.25</w:t>
            </w:r>
          </w:p>
        </w:tc>
        <w:tc>
          <w:tcPr>
            <w:tcW w:w="2360" w:type="dxa"/>
          </w:tcPr>
          <w:p>
            <w:pPr>
              <w:pStyle w:val="TableParagraph"/>
              <w:spacing w:line="185" w:lineRule="exact" w:before="47"/>
              <w:ind w:left="335"/>
              <w:rPr>
                <w:rFonts w:ascii="Arial"/>
                <w:sz w:val="22"/>
              </w:rPr>
            </w:pPr>
            <w:r>
              <w:rPr>
                <w:rFonts w:ascii="Arial"/>
                <w:spacing w:val="-2"/>
                <w:sz w:val="22"/>
              </w:rPr>
              <w:t>DEFGHI</w:t>
            </w:r>
          </w:p>
        </w:tc>
        <w:tc>
          <w:tcPr>
            <w:tcW w:w="2134" w:type="dxa"/>
            <w:tcBorders>
              <w:right w:val="single" w:sz="6" w:space="0" w:color="000000"/>
            </w:tcBorders>
          </w:tcPr>
          <w:p>
            <w:pPr>
              <w:pStyle w:val="TableParagraph"/>
              <w:spacing w:line="210" w:lineRule="exact" w:before="22"/>
              <w:ind w:left="434"/>
              <w:rPr>
                <w:rFonts w:ascii="Arial"/>
                <w:sz w:val="22"/>
              </w:rPr>
            </w:pPr>
            <w:r>
              <w:rPr>
                <w:rFonts w:ascii="Arial"/>
                <w:sz w:val="22"/>
              </w:rPr>
              <w:t>Value </w:t>
            </w:r>
            <w:r>
              <w:rPr>
                <w:rFonts w:ascii="Arial"/>
                <w:spacing w:val="-4"/>
                <w:sz w:val="22"/>
              </w:rPr>
              <w:t>Area</w:t>
            </w:r>
          </w:p>
        </w:tc>
      </w:tr>
      <w:tr>
        <w:trPr>
          <w:trHeight w:val="240" w:hRule="atLeast"/>
        </w:trPr>
        <w:tc>
          <w:tcPr>
            <w:tcW w:w="1446" w:type="dxa"/>
            <w:tcBorders>
              <w:left w:val="single" w:sz="6" w:space="0" w:color="000000"/>
            </w:tcBorders>
          </w:tcPr>
          <w:p>
            <w:pPr>
              <w:pStyle w:val="TableParagraph"/>
              <w:spacing w:line="185" w:lineRule="exact" w:before="35"/>
              <w:ind w:left="313" w:right="283"/>
              <w:jc w:val="center"/>
              <w:rPr>
                <w:rFonts w:ascii="Arial"/>
                <w:sz w:val="22"/>
              </w:rPr>
            </w:pPr>
            <w:r>
              <w:rPr>
                <w:rFonts w:ascii="Arial"/>
                <w:spacing w:val="-2"/>
                <w:sz w:val="22"/>
              </w:rPr>
              <w:t>1097.00</w:t>
            </w:r>
          </w:p>
        </w:tc>
        <w:tc>
          <w:tcPr>
            <w:tcW w:w="2360" w:type="dxa"/>
          </w:tcPr>
          <w:p>
            <w:pPr>
              <w:pStyle w:val="TableParagraph"/>
              <w:spacing w:line="185" w:lineRule="exact" w:before="35"/>
              <w:ind w:left="335"/>
              <w:rPr>
                <w:rFonts w:ascii="Arial"/>
                <w:sz w:val="22"/>
              </w:rPr>
            </w:pPr>
            <w:r>
              <w:rPr>
                <w:rFonts w:ascii="Arial"/>
                <w:spacing w:val="-2"/>
                <w:sz w:val="22"/>
              </w:rPr>
              <w:t>DEFGHI</w:t>
            </w:r>
          </w:p>
        </w:tc>
        <w:tc>
          <w:tcPr>
            <w:tcW w:w="2134" w:type="dxa"/>
            <w:tcBorders>
              <w:right w:val="single" w:sz="6" w:space="0" w:color="000000"/>
            </w:tcBorders>
          </w:tcPr>
          <w:p>
            <w:pPr>
              <w:pStyle w:val="TableParagraph"/>
              <w:rPr>
                <w:rFonts w:ascii="Times New Roman"/>
                <w:sz w:val="16"/>
              </w:rPr>
            </w:pPr>
          </w:p>
        </w:tc>
      </w:tr>
      <w:tr>
        <w:trPr>
          <w:trHeight w:val="240" w:hRule="atLeast"/>
        </w:trPr>
        <w:tc>
          <w:tcPr>
            <w:tcW w:w="1446" w:type="dxa"/>
            <w:tcBorders>
              <w:left w:val="single" w:sz="6" w:space="0" w:color="000000"/>
            </w:tcBorders>
          </w:tcPr>
          <w:p>
            <w:pPr>
              <w:pStyle w:val="TableParagraph"/>
              <w:spacing w:line="185" w:lineRule="exact" w:before="35"/>
              <w:ind w:left="313" w:right="285"/>
              <w:jc w:val="center"/>
              <w:rPr>
                <w:rFonts w:ascii="Arial"/>
                <w:sz w:val="22"/>
              </w:rPr>
            </w:pPr>
            <w:r>
              <w:rPr>
                <w:rFonts w:ascii="Arial"/>
                <w:spacing w:val="-2"/>
                <w:sz w:val="22"/>
              </w:rPr>
              <w:t>1096.75</w:t>
            </w:r>
          </w:p>
        </w:tc>
        <w:tc>
          <w:tcPr>
            <w:tcW w:w="2360" w:type="dxa"/>
          </w:tcPr>
          <w:p>
            <w:pPr>
              <w:pStyle w:val="TableParagraph"/>
              <w:spacing w:line="185" w:lineRule="exact" w:before="35"/>
              <w:ind w:left="334"/>
              <w:rPr>
                <w:rFonts w:ascii="Arial"/>
                <w:sz w:val="22"/>
              </w:rPr>
            </w:pPr>
            <w:r>
              <w:rPr>
                <w:rFonts w:ascii="Arial"/>
                <w:spacing w:val="-2"/>
                <w:sz w:val="22"/>
              </w:rPr>
              <w:t>DEFGHI</w:t>
            </w:r>
          </w:p>
        </w:tc>
        <w:tc>
          <w:tcPr>
            <w:tcW w:w="2134" w:type="dxa"/>
            <w:tcBorders>
              <w:right w:val="single" w:sz="6" w:space="0" w:color="000000"/>
            </w:tcBorders>
          </w:tcPr>
          <w:p>
            <w:pPr>
              <w:pStyle w:val="TableParagraph"/>
              <w:rPr>
                <w:rFonts w:ascii="Times New Roman"/>
                <w:sz w:val="16"/>
              </w:rPr>
            </w:pPr>
          </w:p>
        </w:tc>
      </w:tr>
      <w:tr>
        <w:trPr>
          <w:trHeight w:val="240" w:hRule="atLeast"/>
        </w:trPr>
        <w:tc>
          <w:tcPr>
            <w:tcW w:w="1446" w:type="dxa"/>
            <w:tcBorders>
              <w:left w:val="single" w:sz="6" w:space="0" w:color="000000"/>
            </w:tcBorders>
          </w:tcPr>
          <w:p>
            <w:pPr>
              <w:pStyle w:val="TableParagraph"/>
              <w:spacing w:line="185" w:lineRule="exact" w:before="35"/>
              <w:ind w:left="313" w:right="285"/>
              <w:jc w:val="center"/>
              <w:rPr>
                <w:rFonts w:ascii="Arial"/>
                <w:sz w:val="22"/>
              </w:rPr>
            </w:pPr>
            <w:r>
              <w:rPr>
                <w:rFonts w:ascii="Arial"/>
                <w:spacing w:val="-2"/>
                <w:sz w:val="22"/>
              </w:rPr>
              <w:t>1096.50</w:t>
            </w:r>
          </w:p>
        </w:tc>
        <w:tc>
          <w:tcPr>
            <w:tcW w:w="2360" w:type="dxa"/>
          </w:tcPr>
          <w:p>
            <w:pPr>
              <w:pStyle w:val="TableParagraph"/>
              <w:spacing w:line="185" w:lineRule="exact" w:before="35"/>
              <w:ind w:left="334"/>
              <w:rPr>
                <w:rFonts w:ascii="Arial"/>
                <w:sz w:val="22"/>
              </w:rPr>
            </w:pPr>
            <w:r>
              <w:rPr>
                <w:rFonts w:ascii="Arial"/>
                <w:spacing w:val="-4"/>
                <w:sz w:val="22"/>
              </w:rPr>
              <w:t>EFGH</w:t>
            </w:r>
          </w:p>
        </w:tc>
        <w:tc>
          <w:tcPr>
            <w:tcW w:w="2134" w:type="dxa"/>
            <w:tcBorders>
              <w:right w:val="single" w:sz="6" w:space="0" w:color="000000"/>
            </w:tcBorders>
          </w:tcPr>
          <w:p>
            <w:pPr>
              <w:pStyle w:val="TableParagraph"/>
              <w:rPr>
                <w:rFonts w:ascii="Times New Roman"/>
                <w:sz w:val="16"/>
              </w:rPr>
            </w:pPr>
          </w:p>
        </w:tc>
      </w:tr>
      <w:tr>
        <w:trPr>
          <w:trHeight w:val="240" w:hRule="atLeast"/>
        </w:trPr>
        <w:tc>
          <w:tcPr>
            <w:tcW w:w="1446" w:type="dxa"/>
            <w:tcBorders>
              <w:left w:val="single" w:sz="6" w:space="0" w:color="000000"/>
            </w:tcBorders>
          </w:tcPr>
          <w:p>
            <w:pPr>
              <w:pStyle w:val="TableParagraph"/>
              <w:spacing w:line="185" w:lineRule="exact" w:before="35"/>
              <w:ind w:left="313" w:right="288"/>
              <w:jc w:val="center"/>
              <w:rPr>
                <w:rFonts w:ascii="Arial"/>
                <w:sz w:val="22"/>
              </w:rPr>
            </w:pPr>
            <w:r>
              <w:rPr>
                <w:rFonts w:ascii="Arial"/>
                <w:spacing w:val="-2"/>
                <w:sz w:val="22"/>
              </w:rPr>
              <w:t>1096.25</w:t>
            </w:r>
          </w:p>
        </w:tc>
        <w:tc>
          <w:tcPr>
            <w:tcW w:w="2360" w:type="dxa"/>
          </w:tcPr>
          <w:p>
            <w:pPr>
              <w:pStyle w:val="TableParagraph"/>
              <w:spacing w:line="185" w:lineRule="exact" w:before="35"/>
              <w:ind w:left="332"/>
              <w:rPr>
                <w:rFonts w:ascii="Arial"/>
                <w:sz w:val="22"/>
              </w:rPr>
            </w:pPr>
            <w:r>
              <w:rPr>
                <w:rFonts w:ascii="Arial"/>
                <w:spacing w:val="-5"/>
                <w:sz w:val="22"/>
              </w:rPr>
              <w:t>EH</w:t>
            </w:r>
          </w:p>
        </w:tc>
        <w:tc>
          <w:tcPr>
            <w:tcW w:w="2134" w:type="dxa"/>
            <w:tcBorders>
              <w:right w:val="single" w:sz="6" w:space="0" w:color="000000"/>
            </w:tcBorders>
          </w:tcPr>
          <w:p>
            <w:pPr>
              <w:pStyle w:val="TableParagraph"/>
              <w:rPr>
                <w:rFonts w:ascii="Times New Roman"/>
                <w:sz w:val="16"/>
              </w:rPr>
            </w:pPr>
          </w:p>
        </w:tc>
      </w:tr>
      <w:tr>
        <w:trPr>
          <w:trHeight w:val="358" w:hRule="atLeast"/>
        </w:trPr>
        <w:tc>
          <w:tcPr>
            <w:tcW w:w="1446" w:type="dxa"/>
            <w:tcBorders>
              <w:left w:val="single" w:sz="6" w:space="0" w:color="000000"/>
              <w:bottom w:val="single" w:sz="6" w:space="0" w:color="000000"/>
            </w:tcBorders>
          </w:tcPr>
          <w:p>
            <w:pPr>
              <w:pStyle w:val="TableParagraph"/>
              <w:spacing w:before="35"/>
              <w:ind w:left="313" w:right="288"/>
              <w:jc w:val="center"/>
              <w:rPr>
                <w:rFonts w:ascii="Arial"/>
                <w:sz w:val="22"/>
              </w:rPr>
            </w:pPr>
            <w:r>
              <w:rPr>
                <w:rFonts w:ascii="Arial"/>
                <w:spacing w:val="-2"/>
                <w:sz w:val="22"/>
              </w:rPr>
              <w:t>1096.00</w:t>
            </w:r>
          </w:p>
        </w:tc>
        <w:tc>
          <w:tcPr>
            <w:tcW w:w="2360" w:type="dxa"/>
            <w:tcBorders>
              <w:bottom w:val="single" w:sz="6" w:space="0" w:color="000000"/>
            </w:tcBorders>
          </w:tcPr>
          <w:p>
            <w:pPr>
              <w:pStyle w:val="TableParagraph"/>
              <w:spacing w:before="35"/>
              <w:ind w:left="332"/>
              <w:rPr>
                <w:rFonts w:ascii="Arial"/>
                <w:sz w:val="22"/>
              </w:rPr>
            </w:pPr>
            <w:r>
              <w:rPr>
                <w:rFonts w:ascii="Arial"/>
                <w:w w:val="99"/>
                <w:sz w:val="22"/>
              </w:rPr>
              <w:t>H</w:t>
            </w:r>
          </w:p>
        </w:tc>
        <w:tc>
          <w:tcPr>
            <w:tcW w:w="2134" w:type="dxa"/>
            <w:tcBorders>
              <w:bottom w:val="single" w:sz="6" w:space="0" w:color="000000"/>
              <w:right w:val="single" w:sz="6" w:space="0" w:color="000000"/>
            </w:tcBorders>
          </w:tcPr>
          <w:p>
            <w:pPr>
              <w:pStyle w:val="TableParagraph"/>
              <w:rPr>
                <w:rFonts w:ascii="Times New Roman"/>
                <w:sz w:val="20"/>
              </w:rPr>
            </w:pPr>
          </w:p>
        </w:tc>
      </w:tr>
    </w:tbl>
    <w:p>
      <w:pPr>
        <w:spacing w:before="32"/>
        <w:ind w:left="931" w:right="0" w:firstLine="0"/>
        <w:jc w:val="left"/>
        <w:rPr>
          <w:sz w:val="16"/>
        </w:rPr>
      </w:pPr>
      <w:r>
        <w:rPr/>
        <w:pict>
          <v:group style="position:absolute;margin-left:89.805pt;margin-top:-159.366257pt;width:195.65pt;height:108pt;mso-position-horizontal-relative:page;mso-position-vertical-relative:paragraph;z-index:-19664384" id="docshapegroup230" coordorigin="1796,-3187" coordsize="3913,2160">
            <v:rect style="position:absolute;left:1803;top:-3180;width:3436;height:2145" id="docshape231" filled="false" stroked="true" strokeweight=".75pt" strokecolor="#000000">
              <v:stroke dashstyle="solid"/>
            </v:rect>
            <v:shape style="position:absolute;left:5004;top:-2423;width:705;height:1073" id="docshape232" coordorigin="5004,-2423" coordsize="705,1073" path="m5708,-1410l5706,-1416,5701,-1417,5364,-1417,5364,-1470,5244,-1410,5364,-1350,5364,-1403,5701,-1403,5706,-1405,5708,-1410xm5708,-2363l5706,-2369,5701,-2371,5124,-2371,5124,-2423,5004,-2363,5124,-2303,5124,-2355,5701,-2355,5706,-2358,5708,-2363xe" filled="true" fillcolor="#000000" stroked="false">
              <v:path arrowok="t"/>
              <v:fill type="solid"/>
            </v:shape>
            <w10:wrap type="none"/>
          </v:group>
        </w:pict>
      </w:r>
      <w:r>
        <w:rPr>
          <w:sz w:val="16"/>
        </w:rPr>
        <w:t>FIGURE</w:t>
      </w:r>
      <w:r>
        <w:rPr>
          <w:spacing w:val="4"/>
          <w:sz w:val="16"/>
        </w:rPr>
        <w:t> </w:t>
      </w:r>
      <w:r>
        <w:rPr>
          <w:sz w:val="16"/>
        </w:rPr>
        <w:t>3.1:</w:t>
      </w:r>
      <w:r>
        <w:rPr>
          <w:spacing w:val="5"/>
          <w:sz w:val="16"/>
        </w:rPr>
        <w:t> </w:t>
      </w:r>
      <w:r>
        <w:rPr>
          <w:sz w:val="16"/>
        </w:rPr>
        <w:t>Diagram</w:t>
      </w:r>
      <w:r>
        <w:rPr>
          <w:spacing w:val="5"/>
          <w:sz w:val="16"/>
        </w:rPr>
        <w:t> </w:t>
      </w:r>
      <w:r>
        <w:rPr>
          <w:sz w:val="16"/>
        </w:rPr>
        <w:t>of</w:t>
      </w:r>
      <w:r>
        <w:rPr>
          <w:spacing w:val="4"/>
          <w:sz w:val="16"/>
        </w:rPr>
        <w:t> </w:t>
      </w:r>
      <w:r>
        <w:rPr>
          <w:sz w:val="16"/>
        </w:rPr>
        <w:t>the</w:t>
      </w:r>
      <w:r>
        <w:rPr>
          <w:spacing w:val="4"/>
          <w:sz w:val="16"/>
        </w:rPr>
        <w:t> </w:t>
      </w:r>
      <w:r>
        <w:rPr>
          <w:sz w:val="16"/>
        </w:rPr>
        <w:t>Market</w:t>
      </w:r>
      <w:r>
        <w:rPr>
          <w:spacing w:val="5"/>
          <w:sz w:val="16"/>
        </w:rPr>
        <w:t> </w:t>
      </w:r>
      <w:r>
        <w:rPr>
          <w:sz w:val="16"/>
        </w:rPr>
        <w:t>Profile</w:t>
      </w:r>
      <w:r>
        <w:rPr>
          <w:spacing w:val="4"/>
          <w:sz w:val="16"/>
        </w:rPr>
        <w:t> </w:t>
      </w:r>
      <w:r>
        <w:rPr>
          <w:spacing w:val="-2"/>
          <w:sz w:val="16"/>
        </w:rPr>
        <w:t>structure</w:t>
      </w:r>
    </w:p>
    <w:p>
      <w:pPr>
        <w:pStyle w:val="BodyText"/>
        <w:spacing w:before="1"/>
      </w:pPr>
    </w:p>
    <w:p>
      <w:pPr>
        <w:pStyle w:val="BodyText"/>
        <w:ind w:left="500" w:right="134" w:firstLine="432"/>
        <w:jc w:val="both"/>
      </w:pPr>
      <w:r>
        <w:rPr/>
        <w:t>Figure 3.1 illustrates the basic structure of the Market</w:t>
      </w:r>
      <w:r>
        <w:rPr>
          <w:spacing w:val="-1"/>
        </w:rPr>
        <w:t> </w:t>
      </w:r>
      <w:r>
        <w:rPr/>
        <w:t>Profile, with</w:t>
      </w:r>
      <w:r>
        <w:rPr>
          <w:spacing w:val="-2"/>
        </w:rPr>
        <w:t> </w:t>
      </w:r>
      <w:r>
        <w:rPr/>
        <w:t>price represented on the vertical axis and time represented on the horizontal axis. The structure uses letters of the alphabet to categorize segments of time next to price, which are technically called </w:t>
      </w:r>
      <w:r>
        <w:rPr>
          <w:i/>
        </w:rPr>
        <w:t>Time Price Opportunities </w:t>
      </w:r>
      <w:r>
        <w:rPr/>
        <w:t>(TPOs). The first letter of the alphabet represents the first segment of time, which is usually the first thirty minutes of the day. The second letter will correspond</w:t>
      </w:r>
      <w:r>
        <w:rPr>
          <w:spacing w:val="40"/>
        </w:rPr>
        <w:t> </w:t>
      </w:r>
      <w:r>
        <w:rPr/>
        <w:t>to</w:t>
      </w:r>
      <w:r>
        <w:rPr>
          <w:spacing w:val="-3"/>
        </w:rPr>
        <w:t> </w:t>
      </w:r>
      <w:r>
        <w:rPr/>
        <w:t>the</w:t>
      </w:r>
      <w:r>
        <w:rPr>
          <w:spacing w:val="-3"/>
        </w:rPr>
        <w:t> </w:t>
      </w:r>
      <w:r>
        <w:rPr/>
        <w:t>second</w:t>
      </w:r>
      <w:r>
        <w:rPr>
          <w:spacing w:val="-4"/>
        </w:rPr>
        <w:t> </w:t>
      </w:r>
      <w:r>
        <w:rPr/>
        <w:t>segment</w:t>
      </w:r>
      <w:r>
        <w:rPr>
          <w:spacing w:val="-3"/>
        </w:rPr>
        <w:t> </w:t>
      </w:r>
      <w:r>
        <w:rPr/>
        <w:t>of</w:t>
      </w:r>
      <w:r>
        <w:rPr>
          <w:spacing w:val="-3"/>
        </w:rPr>
        <w:t> </w:t>
      </w:r>
      <w:r>
        <w:rPr/>
        <w:t>the</w:t>
      </w:r>
      <w:r>
        <w:rPr>
          <w:spacing w:val="-3"/>
        </w:rPr>
        <w:t> </w:t>
      </w:r>
      <w:r>
        <w:rPr/>
        <w:t>time,</w:t>
      </w:r>
      <w:r>
        <w:rPr>
          <w:spacing w:val="-3"/>
        </w:rPr>
        <w:t> </w:t>
      </w:r>
      <w:r>
        <w:rPr/>
        <w:t>which</w:t>
      </w:r>
      <w:r>
        <w:rPr>
          <w:spacing w:val="-2"/>
        </w:rPr>
        <w:t> </w:t>
      </w:r>
      <w:r>
        <w:rPr/>
        <w:t>is</w:t>
      </w:r>
      <w:r>
        <w:rPr>
          <w:spacing w:val="-3"/>
        </w:rPr>
        <w:t> </w:t>
      </w:r>
      <w:r>
        <w:rPr/>
        <w:t>the</w:t>
      </w:r>
      <w:r>
        <w:rPr>
          <w:spacing w:val="-3"/>
        </w:rPr>
        <w:t> </w:t>
      </w:r>
      <w:r>
        <w:rPr/>
        <w:t>next</w:t>
      </w:r>
      <w:r>
        <w:rPr>
          <w:spacing w:val="-3"/>
        </w:rPr>
        <w:t> </w:t>
      </w:r>
      <w:r>
        <w:rPr/>
        <w:t>thirty</w:t>
      </w:r>
      <w:r>
        <w:rPr>
          <w:spacing w:val="-3"/>
        </w:rPr>
        <w:t> </w:t>
      </w:r>
      <w:r>
        <w:rPr/>
        <w:t>minutes</w:t>
      </w:r>
      <w:r>
        <w:rPr>
          <w:spacing w:val="-3"/>
        </w:rPr>
        <w:t> </w:t>
      </w:r>
      <w:r>
        <w:rPr/>
        <w:t>of</w:t>
      </w:r>
      <w:r>
        <w:rPr>
          <w:spacing w:val="-3"/>
        </w:rPr>
        <w:t> </w:t>
      </w:r>
      <w:r>
        <w:rPr/>
        <w:t>the</w:t>
      </w:r>
      <w:r>
        <w:rPr>
          <w:spacing w:val="-3"/>
        </w:rPr>
        <w:t> </w:t>
      </w:r>
      <w:r>
        <w:rPr/>
        <w:t>day, and so forth. Each new segment of time will correspond to a new letter until trading is done for the day.</w:t>
      </w:r>
    </w:p>
    <w:p>
      <w:pPr>
        <w:pStyle w:val="BodyText"/>
        <w:ind w:left="500" w:right="135" w:firstLine="432"/>
        <w:jc w:val="both"/>
      </w:pPr>
      <w:r>
        <w:rPr/>
        <w:t>During the first segment of time, a letter “A” will be placed next to</w:t>
      </w:r>
      <w:r>
        <w:rPr>
          <w:spacing w:val="40"/>
        </w:rPr>
        <w:t> </w:t>
      </w:r>
      <w:r>
        <w:rPr/>
        <w:t>every price level that was reached during the first thirty minutes of trading.</w:t>
      </w:r>
      <w:r>
        <w:rPr>
          <w:spacing w:val="80"/>
        </w:rPr>
        <w:t> </w:t>
      </w:r>
      <w:r>
        <w:rPr/>
        <w:t>In the illustration, the market traded between 1097.50 and 1099.50 in the opening thirty minutes of trading, therefore, the letter “A” was placed next to each price interval in this range. During the second thirty minutes of trading, the market traded from 1097.50 to 1100.00, therefore, the letter “B” was placed next to each price interval in this range. The profile will continue to build out as the day progresses, providing you with a real-time account of market activity as it unfolds. The resulting bell-shaped profile will give you an accurate picture of the day’s time and price relationship, providing you will key levels of interest for the current session and future sessions.</w:t>
      </w:r>
    </w:p>
    <w:p>
      <w:pPr>
        <w:spacing w:after="0"/>
        <w:jc w:val="both"/>
        <w:sectPr>
          <w:footerReference w:type="default" r:id="rId56"/>
          <w:footerReference w:type="even" r:id="rId57"/>
          <w:pgSz w:w="8640" w:h="12960"/>
          <w:pgMar w:footer="1060" w:header="536" w:top="720" w:bottom="1260" w:left="580" w:right="580"/>
          <w:pgNumType w:start="59"/>
        </w:sectPr>
      </w:pPr>
    </w:p>
    <w:p>
      <w:pPr>
        <w:pStyle w:val="BodyText"/>
        <w:spacing w:before="5"/>
        <w:rPr>
          <w:sz w:val="18"/>
        </w:rPr>
      </w:pPr>
    </w:p>
    <w:p>
      <w:pPr>
        <w:pStyle w:val="BodyText"/>
        <w:spacing w:before="64"/>
        <w:ind w:left="140" w:right="495" w:firstLine="432"/>
        <w:jc w:val="both"/>
      </w:pPr>
      <w:r>
        <w:rPr/>
        <w:t>While the structure offers an abundance of information, the two areas that stand out are the Point of Control and the Value Area. The </w:t>
      </w:r>
      <w:r>
        <w:rPr>
          <w:i/>
        </w:rPr>
        <w:t>Point of</w:t>
      </w:r>
      <w:r>
        <w:rPr>
          <w:i/>
        </w:rPr>
        <w:t> Control (POC) </w:t>
      </w:r>
      <w:r>
        <w:rPr/>
        <w:t>is the price where the most trading activity occurred during the day, as represented by the longest line of TPOs nearest to the center of</w:t>
      </w:r>
      <w:r>
        <w:rPr>
          <w:spacing w:val="40"/>
        </w:rPr>
        <w:t> </w:t>
      </w:r>
      <w:r>
        <w:rPr/>
        <w:t>the entire structure. This price is significant because it represents the fairest price to both buyers and sellers. The </w:t>
      </w:r>
      <w:r>
        <w:rPr>
          <w:i/>
        </w:rPr>
        <w:t>Value Area </w:t>
      </w:r>
      <w:r>
        <w:rPr/>
        <w:t>is important because it illustrates where 70 percent of the trading activity occurred during the day. The top and bottom of the value area range can tell you where buyers and sellers entered the market when they perceived price to be away from fair value. We will delve into these topics in much more detail ahead.</w:t>
      </w:r>
    </w:p>
    <w:p>
      <w:pPr>
        <w:pStyle w:val="BodyText"/>
        <w:ind w:left="140" w:right="497" w:firstLine="432"/>
        <w:jc w:val="both"/>
      </w:pPr>
      <w:r>
        <w:rPr/>
        <w:t>Now that we have covered the basics of the Market Profile structure, let’s take a look at how the Money Zone interprets this information.</w:t>
      </w:r>
    </w:p>
    <w:p>
      <w:pPr>
        <w:pStyle w:val="BodyText"/>
      </w:pPr>
    </w:p>
    <w:p>
      <w:pPr>
        <w:pStyle w:val="Heading3"/>
      </w:pPr>
      <w:r>
        <w:rPr/>
        <w:pict>
          <v:shape style="position:absolute;margin-left:36.779999pt;margin-top:18.230314pt;width:341pt;height:.1pt;mso-position-horizontal-relative:page;mso-position-vertical-relative:paragraph;z-index:-15705600;mso-wrap-distance-left:0;mso-wrap-distance-right:0" id="docshape233" coordorigin="736,365" coordsize="6820,0" path="m736,365l7555,365e" filled="false" stroked="true" strokeweight=".75pt" strokecolor="#000000">
            <v:path arrowok="t"/>
            <v:stroke dashstyle="solid"/>
            <w10:wrap type="topAndBottom"/>
          </v:shape>
        </w:pict>
      </w:r>
      <w:bookmarkStart w:name="_TOC_250071" w:id="20"/>
      <w:r>
        <w:rPr>
          <w:smallCaps/>
        </w:rPr>
        <w:t>The</w:t>
      </w:r>
      <w:r>
        <w:rPr>
          <w:smallCaps/>
          <w:spacing w:val="-9"/>
        </w:rPr>
        <w:t> </w:t>
      </w:r>
      <w:r>
        <w:rPr>
          <w:smallCaps/>
        </w:rPr>
        <w:t>Money</w:t>
      </w:r>
      <w:r>
        <w:rPr>
          <w:smallCaps/>
          <w:spacing w:val="-14"/>
        </w:rPr>
        <w:t> </w:t>
      </w:r>
      <w:r>
        <w:rPr>
          <w:smallCaps/>
        </w:rPr>
        <w:t>Zone</w:t>
      </w:r>
      <w:r>
        <w:rPr>
          <w:smallCaps/>
          <w:spacing w:val="-7"/>
        </w:rPr>
        <w:t> </w:t>
      </w:r>
      <w:bookmarkEnd w:id="20"/>
      <w:r>
        <w:rPr>
          <w:smallCaps/>
          <w:spacing w:val="-2"/>
        </w:rPr>
        <w:t>Levels</w:t>
      </w:r>
    </w:p>
    <w:p>
      <w:pPr>
        <w:pStyle w:val="BodyText"/>
        <w:spacing w:before="203"/>
        <w:ind w:left="139" w:right="495" w:firstLine="432"/>
        <w:jc w:val="both"/>
      </w:pPr>
      <w:r>
        <w:rPr/>
        <w:t>The Market Profile structure offers an amazing array of information, from market psychology to price behavior. However, reading and</w:t>
      </w:r>
      <w:r>
        <w:rPr>
          <w:spacing w:val="40"/>
        </w:rPr>
        <w:t> </w:t>
      </w:r>
      <w:r>
        <w:rPr/>
        <w:t>deciphering the information in its current format falls somewhere between complex</w:t>
      </w:r>
      <w:r>
        <w:rPr>
          <w:spacing w:val="-2"/>
        </w:rPr>
        <w:t> </w:t>
      </w:r>
      <w:r>
        <w:rPr/>
        <w:t>and</w:t>
      </w:r>
      <w:r>
        <w:rPr>
          <w:spacing w:val="-3"/>
        </w:rPr>
        <w:t> </w:t>
      </w:r>
      <w:r>
        <w:rPr/>
        <w:t>dense</w:t>
      </w:r>
      <w:r>
        <w:rPr>
          <w:spacing w:val="-2"/>
        </w:rPr>
        <w:t> </w:t>
      </w:r>
      <w:r>
        <w:rPr/>
        <w:t>for</w:t>
      </w:r>
      <w:r>
        <w:rPr>
          <w:spacing w:val="-2"/>
        </w:rPr>
        <w:t> </w:t>
      </w:r>
      <w:r>
        <w:rPr/>
        <w:t>the</w:t>
      </w:r>
      <w:r>
        <w:rPr>
          <w:spacing w:val="-3"/>
        </w:rPr>
        <w:t> </w:t>
      </w:r>
      <w:r>
        <w:rPr/>
        <w:t>uninitiated</w:t>
      </w:r>
      <w:r>
        <w:rPr>
          <w:spacing w:val="-2"/>
        </w:rPr>
        <w:t> </w:t>
      </w:r>
      <w:r>
        <w:rPr/>
        <w:t>trader.</w:t>
      </w:r>
      <w:r>
        <w:rPr>
          <w:spacing w:val="-2"/>
        </w:rPr>
        <w:t> </w:t>
      </w:r>
      <w:r>
        <w:rPr/>
        <w:t>Unless</w:t>
      </w:r>
      <w:r>
        <w:rPr>
          <w:spacing w:val="-2"/>
        </w:rPr>
        <w:t> </w:t>
      </w:r>
      <w:r>
        <w:rPr/>
        <w:t>you</w:t>
      </w:r>
      <w:r>
        <w:rPr>
          <w:spacing w:val="-3"/>
        </w:rPr>
        <w:t> </w:t>
      </w:r>
      <w:r>
        <w:rPr/>
        <w:t>have</w:t>
      </w:r>
      <w:r>
        <w:rPr>
          <w:spacing w:val="-2"/>
        </w:rPr>
        <w:t> </w:t>
      </w:r>
      <w:r>
        <w:rPr/>
        <w:t>studied</w:t>
      </w:r>
      <w:r>
        <w:rPr>
          <w:spacing w:val="-2"/>
        </w:rPr>
        <w:t> </w:t>
      </w:r>
      <w:r>
        <w:rPr/>
        <w:t>Market Profile, it can be quite difficult to discern quickly what the information is telling you. Learning the nuances of using the structure for trading, while quite powerful, can be a daunting task for traders that are new to the concept. Remember, whole books are devoted to this art.</w:t>
      </w:r>
    </w:p>
    <w:p>
      <w:pPr>
        <w:pStyle w:val="BodyText"/>
        <w:ind w:left="139" w:right="494" w:firstLine="432"/>
        <w:jc w:val="both"/>
      </w:pPr>
      <w:r>
        <w:rPr/>
        <w:t>Alas, the Money Zone takes the most valuable information from the Market Profile structure and presents it in a manner that is both powerful and easy to understand. Essentially, the Money Zone uses the three most</w:t>
      </w:r>
      <w:r>
        <w:rPr>
          <w:spacing w:val="40"/>
        </w:rPr>
        <w:t> </w:t>
      </w:r>
      <w:r>
        <w:rPr/>
        <w:t>powerful levels of the Market Profile and displays the information as horizontal price levels on your charts, without the alphabet soup.</w:t>
      </w:r>
    </w:p>
    <w:p>
      <w:pPr>
        <w:pStyle w:val="BodyText"/>
        <w:ind w:left="139" w:right="494" w:firstLine="432"/>
        <w:jc w:val="both"/>
      </w:pPr>
      <w:r>
        <w:rPr/>
        <w:t>Take a look at Figure 3.2, which illustrates how the Money Zone translates the Market Profile structure into visual price levels. The Money Zone takes the point of control derived from the Market Profile and extends</w:t>
      </w:r>
      <w:r>
        <w:rPr>
          <w:spacing w:val="40"/>
        </w:rPr>
        <w:t> </w:t>
      </w:r>
      <w:r>
        <w:rPr/>
        <w:t>it as a horizontal price level for the following session. In Money Zone lingo, the point of control would also be called the </w:t>
      </w:r>
      <w:r>
        <w:rPr>
          <w:i/>
        </w:rPr>
        <w:t>Value Line (VL)</w:t>
      </w:r>
      <w:r>
        <w:rPr/>
        <w:t>. These are interchangeable</w:t>
      </w:r>
      <w:r>
        <w:rPr>
          <w:spacing w:val="-1"/>
        </w:rPr>
        <w:t> </w:t>
      </w:r>
      <w:r>
        <w:rPr/>
        <w:t>terms</w:t>
      </w:r>
      <w:r>
        <w:rPr>
          <w:spacing w:val="-1"/>
        </w:rPr>
        <w:t> </w:t>
      </w:r>
      <w:r>
        <w:rPr/>
        <w:t>as</w:t>
      </w:r>
      <w:r>
        <w:rPr>
          <w:spacing w:val="-1"/>
        </w:rPr>
        <w:t> </w:t>
      </w:r>
      <w:r>
        <w:rPr/>
        <w:t>far</w:t>
      </w:r>
      <w:r>
        <w:rPr>
          <w:spacing w:val="-1"/>
        </w:rPr>
        <w:t> </w:t>
      </w:r>
      <w:r>
        <w:rPr/>
        <w:t>as</w:t>
      </w:r>
      <w:r>
        <w:rPr>
          <w:spacing w:val="-1"/>
        </w:rPr>
        <w:t> </w:t>
      </w:r>
      <w:r>
        <w:rPr/>
        <w:t>I’m</w:t>
      </w:r>
      <w:r>
        <w:rPr>
          <w:spacing w:val="-1"/>
        </w:rPr>
        <w:t> </w:t>
      </w:r>
      <w:r>
        <w:rPr/>
        <w:t>concerned.</w:t>
      </w:r>
      <w:r>
        <w:rPr>
          <w:spacing w:val="-1"/>
        </w:rPr>
        <w:t> </w:t>
      </w:r>
      <w:r>
        <w:rPr/>
        <w:t>The</w:t>
      </w:r>
      <w:r>
        <w:rPr>
          <w:spacing w:val="-2"/>
        </w:rPr>
        <w:t> </w:t>
      </w:r>
      <w:r>
        <w:rPr/>
        <w:t>Money</w:t>
      </w:r>
      <w:r>
        <w:rPr>
          <w:spacing w:val="-1"/>
        </w:rPr>
        <w:t> </w:t>
      </w:r>
      <w:r>
        <w:rPr/>
        <w:t>Zone</w:t>
      </w:r>
      <w:r>
        <w:rPr>
          <w:spacing w:val="-2"/>
        </w:rPr>
        <w:t> </w:t>
      </w:r>
      <w:r>
        <w:rPr/>
        <w:t>also</w:t>
      </w:r>
      <w:r>
        <w:rPr>
          <w:spacing w:val="-1"/>
        </w:rPr>
        <w:t> </w:t>
      </w:r>
      <w:r>
        <w:rPr/>
        <w:t>extends the upper and lower boundaries of the value area for use in the following session as support and resistance levels. Traditionally, the upper boundary of the value area is called the </w:t>
      </w:r>
      <w:r>
        <w:rPr>
          <w:i/>
        </w:rPr>
        <w:t>Value Area High (VAH)</w:t>
      </w:r>
      <w:r>
        <w:rPr/>
        <w:t>, and the lower boundary is called the </w:t>
      </w:r>
      <w:r>
        <w:rPr>
          <w:i/>
        </w:rPr>
        <w:t>Value Area Low (VAL)</w:t>
      </w:r>
      <w:r>
        <w:rPr/>
        <w:t>. These levels can also be called the </w:t>
      </w:r>
      <w:r>
        <w:rPr>
          <w:i/>
        </w:rPr>
        <w:t>Money Zone High (MZH) </w:t>
      </w:r>
      <w:r>
        <w:rPr/>
        <w:t>and the </w:t>
      </w:r>
      <w:r>
        <w:rPr>
          <w:i/>
        </w:rPr>
        <w:t>Money Zone Low (MZL)</w:t>
      </w:r>
      <w:r>
        <w:rPr/>
        <w:t>. Throughout the remainder of the text, I will use the traditional Market Profile lingo so as not to confuse anyone. Either way, these terms refer to the same levels.</w:t>
      </w:r>
    </w:p>
    <w:p>
      <w:pPr>
        <w:spacing w:after="0"/>
        <w:jc w:val="both"/>
        <w:sectPr>
          <w:pgSz w:w="8640" w:h="12960"/>
          <w:pgMar w:header="579" w:footer="1060" w:top="760" w:bottom="126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tbl>
      <w:tblPr>
        <w:tblW w:w="0" w:type="auto"/>
        <w:jc w:val="left"/>
        <w:tblInd w:w="1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gridCol w:w="2026"/>
      </w:tblGrid>
      <w:tr>
        <w:trPr>
          <w:trHeight w:val="229" w:hRule="atLeast"/>
        </w:trPr>
        <w:tc>
          <w:tcPr>
            <w:tcW w:w="1174" w:type="dxa"/>
          </w:tcPr>
          <w:p>
            <w:pPr>
              <w:pStyle w:val="TableParagraph"/>
              <w:spacing w:line="200" w:lineRule="exact" w:before="10"/>
              <w:ind w:left="61"/>
              <w:rPr>
                <w:rFonts w:ascii="Arial"/>
                <w:sz w:val="22"/>
              </w:rPr>
            </w:pPr>
            <w:r>
              <w:rPr>
                <w:rFonts w:ascii="Arial"/>
                <w:spacing w:val="-2"/>
                <w:sz w:val="22"/>
              </w:rPr>
              <w:t>1100.00</w:t>
            </w:r>
          </w:p>
        </w:tc>
        <w:tc>
          <w:tcPr>
            <w:tcW w:w="2026" w:type="dxa"/>
          </w:tcPr>
          <w:p>
            <w:pPr>
              <w:pStyle w:val="TableParagraph"/>
              <w:spacing w:line="200" w:lineRule="exact" w:before="10"/>
              <w:ind w:left="328"/>
              <w:rPr>
                <w:rFonts w:ascii="Arial"/>
                <w:sz w:val="22"/>
              </w:rPr>
            </w:pPr>
            <w:r>
              <w:rPr>
                <w:rFonts w:ascii="Arial"/>
                <w:w w:val="99"/>
                <w:sz w:val="22"/>
              </w:rPr>
              <w:t>B</w:t>
            </w:r>
          </w:p>
        </w:tc>
      </w:tr>
      <w:tr>
        <w:trPr>
          <w:trHeight w:val="240" w:hRule="atLeast"/>
        </w:trPr>
        <w:tc>
          <w:tcPr>
            <w:tcW w:w="1174" w:type="dxa"/>
          </w:tcPr>
          <w:p>
            <w:pPr>
              <w:pStyle w:val="TableParagraph"/>
              <w:spacing w:line="200" w:lineRule="exact" w:before="20"/>
              <w:ind w:left="61"/>
              <w:rPr>
                <w:rFonts w:ascii="Arial"/>
                <w:sz w:val="22"/>
              </w:rPr>
            </w:pPr>
            <w:r>
              <w:rPr>
                <w:rFonts w:ascii="Arial"/>
                <w:spacing w:val="-2"/>
                <w:sz w:val="22"/>
              </w:rPr>
              <w:t>1099.75</w:t>
            </w:r>
          </w:p>
        </w:tc>
        <w:tc>
          <w:tcPr>
            <w:tcW w:w="2026" w:type="dxa"/>
          </w:tcPr>
          <w:p>
            <w:pPr>
              <w:pStyle w:val="TableParagraph"/>
              <w:spacing w:line="200" w:lineRule="exact" w:before="20"/>
              <w:ind w:left="328"/>
              <w:rPr>
                <w:rFonts w:ascii="Arial"/>
                <w:sz w:val="22"/>
              </w:rPr>
            </w:pPr>
            <w:r>
              <w:rPr>
                <w:rFonts w:ascii="Arial"/>
                <w:w w:val="99"/>
                <w:sz w:val="22"/>
              </w:rPr>
              <w:t>B</w:t>
            </w:r>
          </w:p>
        </w:tc>
      </w:tr>
      <w:tr>
        <w:trPr>
          <w:trHeight w:val="240" w:hRule="atLeast"/>
        </w:trPr>
        <w:tc>
          <w:tcPr>
            <w:tcW w:w="1174" w:type="dxa"/>
          </w:tcPr>
          <w:p>
            <w:pPr>
              <w:pStyle w:val="TableParagraph"/>
              <w:spacing w:line="200" w:lineRule="exact" w:before="20"/>
              <w:ind w:left="61"/>
              <w:rPr>
                <w:rFonts w:ascii="Arial"/>
                <w:sz w:val="22"/>
              </w:rPr>
            </w:pPr>
            <w:r>
              <w:rPr>
                <w:rFonts w:ascii="Arial"/>
                <w:spacing w:val="-2"/>
                <w:sz w:val="22"/>
              </w:rPr>
              <w:t>1099.50</w:t>
            </w:r>
          </w:p>
        </w:tc>
        <w:tc>
          <w:tcPr>
            <w:tcW w:w="2026" w:type="dxa"/>
          </w:tcPr>
          <w:p>
            <w:pPr>
              <w:pStyle w:val="TableParagraph"/>
              <w:spacing w:line="200" w:lineRule="exact" w:before="20"/>
              <w:ind w:left="328"/>
              <w:rPr>
                <w:rFonts w:ascii="Arial"/>
                <w:sz w:val="22"/>
              </w:rPr>
            </w:pPr>
            <w:r>
              <w:rPr>
                <w:rFonts w:ascii="Arial"/>
                <w:spacing w:val="-5"/>
                <w:sz w:val="22"/>
              </w:rPr>
              <w:t>ABM</w:t>
            </w:r>
          </w:p>
        </w:tc>
      </w:tr>
      <w:tr>
        <w:trPr>
          <w:trHeight w:val="240" w:hRule="atLeast"/>
        </w:trPr>
        <w:tc>
          <w:tcPr>
            <w:tcW w:w="1174" w:type="dxa"/>
          </w:tcPr>
          <w:p>
            <w:pPr>
              <w:pStyle w:val="TableParagraph"/>
              <w:spacing w:line="200" w:lineRule="exact" w:before="20"/>
              <w:ind w:left="60"/>
              <w:rPr>
                <w:rFonts w:ascii="Arial"/>
                <w:sz w:val="22"/>
              </w:rPr>
            </w:pPr>
            <w:r>
              <w:rPr>
                <w:rFonts w:ascii="Arial"/>
                <w:spacing w:val="-2"/>
                <w:sz w:val="22"/>
              </w:rPr>
              <w:t>1099.25</w:t>
            </w:r>
          </w:p>
        </w:tc>
        <w:tc>
          <w:tcPr>
            <w:tcW w:w="2026" w:type="dxa"/>
          </w:tcPr>
          <w:p>
            <w:pPr>
              <w:pStyle w:val="TableParagraph"/>
              <w:spacing w:line="200" w:lineRule="exact" w:before="20"/>
              <w:ind w:left="327"/>
              <w:rPr>
                <w:rFonts w:ascii="Arial"/>
                <w:sz w:val="22"/>
              </w:rPr>
            </w:pPr>
            <w:r>
              <w:rPr>
                <w:rFonts w:ascii="Arial"/>
                <w:spacing w:val="-4"/>
                <w:sz w:val="22"/>
              </w:rPr>
              <w:t>ABCM</w:t>
            </w:r>
          </w:p>
        </w:tc>
      </w:tr>
      <w:tr>
        <w:trPr>
          <w:trHeight w:val="242" w:hRule="atLeast"/>
        </w:trPr>
        <w:tc>
          <w:tcPr>
            <w:tcW w:w="1174" w:type="dxa"/>
            <w:tcBorders>
              <w:bottom w:val="single" w:sz="6" w:space="0" w:color="000000"/>
            </w:tcBorders>
          </w:tcPr>
          <w:p>
            <w:pPr>
              <w:pStyle w:val="TableParagraph"/>
              <w:spacing w:line="227" w:lineRule="exact" w:before="20"/>
              <w:ind w:left="60"/>
              <w:rPr>
                <w:rFonts w:ascii="Arial"/>
                <w:sz w:val="22"/>
              </w:rPr>
            </w:pPr>
            <w:r>
              <w:rPr>
                <w:rFonts w:ascii="Arial"/>
                <w:spacing w:val="-2"/>
                <w:sz w:val="22"/>
              </w:rPr>
              <w:t>1099.00</w:t>
            </w:r>
          </w:p>
        </w:tc>
        <w:tc>
          <w:tcPr>
            <w:tcW w:w="2026" w:type="dxa"/>
            <w:tcBorders>
              <w:bottom w:val="single" w:sz="6" w:space="0" w:color="000000"/>
            </w:tcBorders>
          </w:tcPr>
          <w:p>
            <w:pPr>
              <w:pStyle w:val="TableParagraph"/>
              <w:spacing w:line="227" w:lineRule="exact" w:before="20"/>
              <w:ind w:left="327"/>
              <w:rPr>
                <w:rFonts w:ascii="Arial"/>
                <w:sz w:val="22"/>
              </w:rPr>
            </w:pPr>
            <w:r>
              <w:rPr>
                <w:rFonts w:ascii="Arial"/>
                <w:spacing w:val="-2"/>
                <w:sz w:val="22"/>
              </w:rPr>
              <w:t>ABCLMN</w:t>
            </w:r>
          </w:p>
        </w:tc>
      </w:tr>
      <w:tr>
        <w:trPr>
          <w:trHeight w:val="222" w:hRule="atLeast"/>
        </w:trPr>
        <w:tc>
          <w:tcPr>
            <w:tcW w:w="1174" w:type="dxa"/>
            <w:tcBorders>
              <w:top w:val="single" w:sz="6" w:space="0" w:color="000000"/>
              <w:left w:val="single" w:sz="6" w:space="0" w:color="000000"/>
            </w:tcBorders>
          </w:tcPr>
          <w:p>
            <w:pPr>
              <w:pStyle w:val="TableParagraph"/>
              <w:spacing w:line="178" w:lineRule="exact"/>
              <w:ind w:left="47"/>
              <w:rPr>
                <w:rFonts w:ascii="Arial"/>
                <w:sz w:val="22"/>
              </w:rPr>
            </w:pPr>
            <w:r>
              <w:rPr>
                <w:rFonts w:ascii="Arial"/>
                <w:spacing w:val="-2"/>
                <w:sz w:val="22"/>
              </w:rPr>
              <w:t>1098.75</w:t>
            </w:r>
          </w:p>
        </w:tc>
        <w:tc>
          <w:tcPr>
            <w:tcW w:w="2026" w:type="dxa"/>
            <w:tcBorders>
              <w:top w:val="single" w:sz="6" w:space="0" w:color="000000"/>
              <w:right w:val="single" w:sz="6" w:space="0" w:color="000000"/>
            </w:tcBorders>
          </w:tcPr>
          <w:p>
            <w:pPr>
              <w:pStyle w:val="TableParagraph"/>
              <w:spacing w:line="178" w:lineRule="exact"/>
              <w:ind w:left="315"/>
              <w:rPr>
                <w:rFonts w:ascii="Arial"/>
                <w:sz w:val="22"/>
              </w:rPr>
            </w:pPr>
            <w:r>
              <w:rPr>
                <w:rFonts w:ascii="Arial"/>
                <w:spacing w:val="-2"/>
                <w:sz w:val="22"/>
              </w:rPr>
              <w:t>ABCDLMN</w:t>
            </w:r>
          </w:p>
        </w:tc>
      </w:tr>
      <w:tr>
        <w:trPr>
          <w:trHeight w:val="240" w:hRule="atLeast"/>
        </w:trPr>
        <w:tc>
          <w:tcPr>
            <w:tcW w:w="1174" w:type="dxa"/>
            <w:tcBorders>
              <w:left w:val="single" w:sz="6" w:space="0" w:color="000000"/>
            </w:tcBorders>
          </w:tcPr>
          <w:p>
            <w:pPr>
              <w:pStyle w:val="TableParagraph"/>
              <w:spacing w:line="200" w:lineRule="exact" w:before="20"/>
              <w:ind w:left="51"/>
              <w:rPr>
                <w:rFonts w:ascii="Arial"/>
                <w:sz w:val="22"/>
              </w:rPr>
            </w:pPr>
            <w:r>
              <w:rPr>
                <w:rFonts w:ascii="Arial"/>
                <w:spacing w:val="-2"/>
                <w:sz w:val="22"/>
              </w:rPr>
              <w:t>1098.50</w:t>
            </w:r>
          </w:p>
        </w:tc>
        <w:tc>
          <w:tcPr>
            <w:tcW w:w="2026" w:type="dxa"/>
            <w:tcBorders>
              <w:right w:val="single" w:sz="6" w:space="0" w:color="000000"/>
            </w:tcBorders>
          </w:tcPr>
          <w:p>
            <w:pPr>
              <w:pStyle w:val="TableParagraph"/>
              <w:spacing w:line="200" w:lineRule="exact" w:before="20"/>
              <w:ind w:left="319"/>
              <w:rPr>
                <w:rFonts w:ascii="Arial"/>
                <w:sz w:val="22"/>
              </w:rPr>
            </w:pPr>
            <w:r>
              <w:rPr>
                <w:rFonts w:ascii="Arial"/>
                <w:spacing w:val="-2"/>
                <w:sz w:val="22"/>
              </w:rPr>
              <w:t>ABCDJKLMN</w:t>
            </w:r>
          </w:p>
        </w:tc>
      </w:tr>
      <w:tr>
        <w:trPr>
          <w:trHeight w:val="240" w:hRule="atLeast"/>
        </w:trPr>
        <w:tc>
          <w:tcPr>
            <w:tcW w:w="1174" w:type="dxa"/>
            <w:tcBorders>
              <w:left w:val="single" w:sz="6" w:space="0" w:color="000000"/>
            </w:tcBorders>
          </w:tcPr>
          <w:p>
            <w:pPr>
              <w:pStyle w:val="TableParagraph"/>
              <w:spacing w:line="200" w:lineRule="exact" w:before="20"/>
              <w:ind w:left="51"/>
              <w:rPr>
                <w:rFonts w:ascii="Arial"/>
                <w:sz w:val="22"/>
              </w:rPr>
            </w:pPr>
            <w:r>
              <w:rPr>
                <w:rFonts w:ascii="Arial"/>
                <w:spacing w:val="-2"/>
                <w:sz w:val="22"/>
              </w:rPr>
              <w:t>1098.25</w:t>
            </w:r>
          </w:p>
        </w:tc>
        <w:tc>
          <w:tcPr>
            <w:tcW w:w="2026" w:type="dxa"/>
            <w:tcBorders>
              <w:right w:val="single" w:sz="6" w:space="0" w:color="000000"/>
            </w:tcBorders>
          </w:tcPr>
          <w:p>
            <w:pPr>
              <w:pStyle w:val="TableParagraph"/>
              <w:spacing w:line="200" w:lineRule="exact" w:before="20"/>
              <w:ind w:left="318"/>
              <w:rPr>
                <w:rFonts w:ascii="Arial"/>
                <w:sz w:val="22"/>
              </w:rPr>
            </w:pPr>
            <w:r>
              <w:rPr>
                <w:rFonts w:ascii="Arial"/>
                <w:spacing w:val="-2"/>
                <w:sz w:val="22"/>
              </w:rPr>
              <w:t>ABCDEJKLMN</w:t>
            </w:r>
          </w:p>
        </w:tc>
      </w:tr>
      <w:tr>
        <w:trPr>
          <w:trHeight w:val="240" w:hRule="atLeast"/>
        </w:trPr>
        <w:tc>
          <w:tcPr>
            <w:tcW w:w="1174" w:type="dxa"/>
            <w:tcBorders>
              <w:left w:val="single" w:sz="6" w:space="0" w:color="000000"/>
            </w:tcBorders>
          </w:tcPr>
          <w:p>
            <w:pPr>
              <w:pStyle w:val="TableParagraph"/>
              <w:spacing w:line="200" w:lineRule="exact" w:before="20"/>
              <w:ind w:left="51"/>
              <w:rPr>
                <w:rFonts w:ascii="Arial"/>
                <w:sz w:val="22"/>
              </w:rPr>
            </w:pPr>
            <w:r>
              <w:rPr>
                <w:rFonts w:ascii="Arial"/>
                <w:spacing w:val="-2"/>
                <w:sz w:val="22"/>
              </w:rPr>
              <w:t>1098.00</w:t>
            </w:r>
          </w:p>
        </w:tc>
        <w:tc>
          <w:tcPr>
            <w:tcW w:w="2026" w:type="dxa"/>
            <w:tcBorders>
              <w:right w:val="single" w:sz="6" w:space="0" w:color="000000"/>
            </w:tcBorders>
          </w:tcPr>
          <w:p>
            <w:pPr>
              <w:pStyle w:val="TableParagraph"/>
              <w:spacing w:line="200" w:lineRule="exact" w:before="20"/>
              <w:ind w:left="318"/>
              <w:rPr>
                <w:rFonts w:ascii="Arial"/>
                <w:sz w:val="22"/>
              </w:rPr>
            </w:pPr>
            <w:r>
              <w:rPr>
                <w:rFonts w:ascii="Arial"/>
                <w:spacing w:val="-2"/>
                <w:sz w:val="22"/>
              </w:rPr>
              <w:t>ABCDEFJKLMN</w:t>
            </w:r>
          </w:p>
        </w:tc>
      </w:tr>
      <w:tr>
        <w:trPr>
          <w:trHeight w:val="240" w:hRule="atLeast"/>
        </w:trPr>
        <w:tc>
          <w:tcPr>
            <w:tcW w:w="1174" w:type="dxa"/>
            <w:tcBorders>
              <w:left w:val="single" w:sz="6" w:space="0" w:color="000000"/>
            </w:tcBorders>
          </w:tcPr>
          <w:p>
            <w:pPr>
              <w:pStyle w:val="TableParagraph"/>
              <w:spacing w:line="200" w:lineRule="exact" w:before="20"/>
              <w:ind w:left="58"/>
              <w:rPr>
                <w:rFonts w:ascii="Arial"/>
                <w:sz w:val="22"/>
              </w:rPr>
            </w:pPr>
            <w:r>
              <w:rPr>
                <w:rFonts w:ascii="Arial"/>
                <w:spacing w:val="-2"/>
                <w:sz w:val="22"/>
              </w:rPr>
              <w:t>1097.75</w:t>
            </w:r>
          </w:p>
        </w:tc>
        <w:tc>
          <w:tcPr>
            <w:tcW w:w="2026" w:type="dxa"/>
            <w:tcBorders>
              <w:right w:val="single" w:sz="6" w:space="0" w:color="000000"/>
            </w:tcBorders>
          </w:tcPr>
          <w:p>
            <w:pPr>
              <w:pStyle w:val="TableParagraph"/>
              <w:spacing w:line="200" w:lineRule="exact" w:before="20"/>
              <w:ind w:left="326"/>
              <w:rPr>
                <w:rFonts w:ascii="Arial"/>
                <w:sz w:val="22"/>
              </w:rPr>
            </w:pPr>
            <w:r>
              <w:rPr>
                <w:rFonts w:ascii="Arial"/>
                <w:spacing w:val="-2"/>
                <w:sz w:val="22"/>
              </w:rPr>
              <w:t>ABCDEFJK</w:t>
            </w:r>
          </w:p>
        </w:tc>
      </w:tr>
      <w:tr>
        <w:trPr>
          <w:trHeight w:val="240" w:hRule="atLeast"/>
        </w:trPr>
        <w:tc>
          <w:tcPr>
            <w:tcW w:w="1174" w:type="dxa"/>
            <w:tcBorders>
              <w:left w:val="single" w:sz="6" w:space="0" w:color="000000"/>
            </w:tcBorders>
          </w:tcPr>
          <w:p>
            <w:pPr>
              <w:pStyle w:val="TableParagraph"/>
              <w:spacing w:line="200" w:lineRule="exact" w:before="20"/>
              <w:ind w:left="58"/>
              <w:rPr>
                <w:rFonts w:ascii="Arial"/>
                <w:sz w:val="22"/>
              </w:rPr>
            </w:pPr>
            <w:r>
              <w:rPr>
                <w:rFonts w:ascii="Arial"/>
                <w:spacing w:val="-2"/>
                <w:sz w:val="22"/>
              </w:rPr>
              <w:t>1097.50</w:t>
            </w:r>
          </w:p>
        </w:tc>
        <w:tc>
          <w:tcPr>
            <w:tcW w:w="2026" w:type="dxa"/>
            <w:tcBorders>
              <w:right w:val="single" w:sz="6" w:space="0" w:color="000000"/>
            </w:tcBorders>
          </w:tcPr>
          <w:p>
            <w:pPr>
              <w:pStyle w:val="TableParagraph"/>
              <w:spacing w:line="200" w:lineRule="exact" w:before="20"/>
              <w:ind w:left="326"/>
              <w:rPr>
                <w:rFonts w:ascii="Arial"/>
                <w:sz w:val="22"/>
              </w:rPr>
            </w:pPr>
            <w:r>
              <w:rPr>
                <w:rFonts w:ascii="Arial"/>
                <w:spacing w:val="-2"/>
                <w:sz w:val="22"/>
              </w:rPr>
              <w:t>ABCDEFGHIJ</w:t>
            </w:r>
          </w:p>
        </w:tc>
      </w:tr>
      <w:tr>
        <w:trPr>
          <w:trHeight w:val="240" w:hRule="atLeast"/>
        </w:trPr>
        <w:tc>
          <w:tcPr>
            <w:tcW w:w="1174" w:type="dxa"/>
            <w:tcBorders>
              <w:left w:val="single" w:sz="6" w:space="0" w:color="000000"/>
            </w:tcBorders>
          </w:tcPr>
          <w:p>
            <w:pPr>
              <w:pStyle w:val="TableParagraph"/>
              <w:spacing w:line="200" w:lineRule="exact" w:before="20"/>
              <w:ind w:left="58"/>
              <w:rPr>
                <w:rFonts w:ascii="Arial"/>
                <w:sz w:val="22"/>
              </w:rPr>
            </w:pPr>
            <w:r>
              <w:rPr>
                <w:rFonts w:ascii="Arial"/>
                <w:spacing w:val="-2"/>
                <w:sz w:val="22"/>
              </w:rPr>
              <w:t>1097.50</w:t>
            </w:r>
          </w:p>
        </w:tc>
        <w:tc>
          <w:tcPr>
            <w:tcW w:w="2026" w:type="dxa"/>
            <w:tcBorders>
              <w:right w:val="single" w:sz="6" w:space="0" w:color="000000"/>
            </w:tcBorders>
          </w:tcPr>
          <w:p>
            <w:pPr>
              <w:pStyle w:val="TableParagraph"/>
              <w:spacing w:line="200" w:lineRule="exact" w:before="20"/>
              <w:ind w:left="326"/>
              <w:rPr>
                <w:rFonts w:ascii="Arial"/>
                <w:sz w:val="22"/>
              </w:rPr>
            </w:pPr>
            <w:r>
              <w:rPr>
                <w:rFonts w:ascii="Arial"/>
                <w:spacing w:val="-2"/>
                <w:sz w:val="22"/>
              </w:rPr>
              <w:t>ADEFGHI</w:t>
            </w:r>
          </w:p>
        </w:tc>
      </w:tr>
      <w:tr>
        <w:trPr>
          <w:trHeight w:val="240" w:hRule="atLeast"/>
        </w:trPr>
        <w:tc>
          <w:tcPr>
            <w:tcW w:w="1174" w:type="dxa"/>
            <w:tcBorders>
              <w:left w:val="single" w:sz="6" w:space="0" w:color="000000"/>
            </w:tcBorders>
          </w:tcPr>
          <w:p>
            <w:pPr>
              <w:pStyle w:val="TableParagraph"/>
              <w:spacing w:line="200" w:lineRule="exact" w:before="20"/>
              <w:ind w:left="58"/>
              <w:rPr>
                <w:rFonts w:ascii="Arial"/>
                <w:sz w:val="22"/>
              </w:rPr>
            </w:pPr>
            <w:r>
              <w:rPr>
                <w:rFonts w:ascii="Arial"/>
                <w:spacing w:val="-2"/>
                <w:sz w:val="22"/>
              </w:rPr>
              <w:t>1097.25</w:t>
            </w:r>
          </w:p>
        </w:tc>
        <w:tc>
          <w:tcPr>
            <w:tcW w:w="2026" w:type="dxa"/>
            <w:tcBorders>
              <w:right w:val="single" w:sz="6" w:space="0" w:color="000000"/>
            </w:tcBorders>
          </w:tcPr>
          <w:p>
            <w:pPr>
              <w:pStyle w:val="TableParagraph"/>
              <w:spacing w:line="200" w:lineRule="exact" w:before="20"/>
              <w:ind w:left="326"/>
              <w:rPr>
                <w:rFonts w:ascii="Arial"/>
                <w:sz w:val="22"/>
              </w:rPr>
            </w:pPr>
            <w:r>
              <w:rPr>
                <w:rFonts w:ascii="Arial"/>
                <w:spacing w:val="-2"/>
                <w:sz w:val="22"/>
              </w:rPr>
              <w:t>DEFGHI</w:t>
            </w:r>
          </w:p>
        </w:tc>
      </w:tr>
      <w:tr>
        <w:trPr>
          <w:trHeight w:val="242" w:hRule="atLeast"/>
        </w:trPr>
        <w:tc>
          <w:tcPr>
            <w:tcW w:w="1174" w:type="dxa"/>
            <w:tcBorders>
              <w:left w:val="single" w:sz="6" w:space="0" w:color="000000"/>
              <w:bottom w:val="single" w:sz="6" w:space="0" w:color="000000"/>
            </w:tcBorders>
          </w:tcPr>
          <w:p>
            <w:pPr>
              <w:pStyle w:val="TableParagraph"/>
              <w:spacing w:line="221" w:lineRule="exact" w:before="20"/>
              <w:ind w:left="58"/>
              <w:rPr>
                <w:rFonts w:ascii="Arial"/>
                <w:sz w:val="22"/>
              </w:rPr>
            </w:pPr>
            <w:r>
              <w:rPr>
                <w:rFonts w:ascii="Arial"/>
                <w:spacing w:val="-2"/>
                <w:sz w:val="22"/>
              </w:rPr>
              <w:t>1097.00</w:t>
            </w:r>
          </w:p>
        </w:tc>
        <w:tc>
          <w:tcPr>
            <w:tcW w:w="2026" w:type="dxa"/>
            <w:tcBorders>
              <w:bottom w:val="single" w:sz="6" w:space="0" w:color="000000"/>
              <w:right w:val="single" w:sz="6" w:space="0" w:color="000000"/>
            </w:tcBorders>
          </w:tcPr>
          <w:p>
            <w:pPr>
              <w:pStyle w:val="TableParagraph"/>
              <w:spacing w:line="221" w:lineRule="exact" w:before="20"/>
              <w:ind w:left="326"/>
              <w:rPr>
                <w:rFonts w:ascii="Arial"/>
                <w:sz w:val="22"/>
              </w:rPr>
            </w:pPr>
            <w:r>
              <w:rPr>
                <w:rFonts w:ascii="Arial"/>
                <w:spacing w:val="-2"/>
                <w:sz w:val="22"/>
              </w:rPr>
              <w:t>DEFGHI</w:t>
            </w:r>
          </w:p>
        </w:tc>
      </w:tr>
      <w:tr>
        <w:trPr>
          <w:trHeight w:val="222" w:hRule="atLeast"/>
        </w:trPr>
        <w:tc>
          <w:tcPr>
            <w:tcW w:w="1174" w:type="dxa"/>
            <w:tcBorders>
              <w:top w:val="single" w:sz="6" w:space="0" w:color="000000"/>
            </w:tcBorders>
          </w:tcPr>
          <w:p>
            <w:pPr>
              <w:pStyle w:val="TableParagraph"/>
              <w:spacing w:line="184" w:lineRule="exact"/>
              <w:ind w:left="65"/>
              <w:rPr>
                <w:rFonts w:ascii="Arial"/>
                <w:sz w:val="22"/>
              </w:rPr>
            </w:pPr>
            <w:r>
              <w:rPr>
                <w:rFonts w:ascii="Arial"/>
                <w:spacing w:val="-2"/>
                <w:sz w:val="22"/>
              </w:rPr>
              <w:t>1096.75</w:t>
            </w:r>
          </w:p>
        </w:tc>
        <w:tc>
          <w:tcPr>
            <w:tcW w:w="2026" w:type="dxa"/>
            <w:tcBorders>
              <w:top w:val="single" w:sz="6" w:space="0" w:color="000000"/>
            </w:tcBorders>
          </w:tcPr>
          <w:p>
            <w:pPr>
              <w:pStyle w:val="TableParagraph"/>
              <w:spacing w:line="184" w:lineRule="exact"/>
              <w:ind w:left="332"/>
              <w:rPr>
                <w:rFonts w:ascii="Arial"/>
                <w:sz w:val="22"/>
              </w:rPr>
            </w:pPr>
            <w:r>
              <w:rPr>
                <w:rFonts w:ascii="Arial"/>
                <w:spacing w:val="-2"/>
                <w:sz w:val="22"/>
              </w:rPr>
              <w:t>DEFGHI</w:t>
            </w:r>
          </w:p>
        </w:tc>
      </w:tr>
      <w:tr>
        <w:trPr>
          <w:trHeight w:val="240" w:hRule="atLeast"/>
        </w:trPr>
        <w:tc>
          <w:tcPr>
            <w:tcW w:w="1174" w:type="dxa"/>
          </w:tcPr>
          <w:p>
            <w:pPr>
              <w:pStyle w:val="TableParagraph"/>
              <w:spacing w:line="200" w:lineRule="exact" w:before="20"/>
              <w:ind w:left="65"/>
              <w:rPr>
                <w:rFonts w:ascii="Arial"/>
                <w:sz w:val="22"/>
              </w:rPr>
            </w:pPr>
            <w:r>
              <w:rPr>
                <w:rFonts w:ascii="Arial"/>
                <w:spacing w:val="-2"/>
                <w:sz w:val="22"/>
              </w:rPr>
              <w:t>1096.50</w:t>
            </w:r>
          </w:p>
        </w:tc>
        <w:tc>
          <w:tcPr>
            <w:tcW w:w="2026" w:type="dxa"/>
          </w:tcPr>
          <w:p>
            <w:pPr>
              <w:pStyle w:val="TableParagraph"/>
              <w:spacing w:line="200" w:lineRule="exact" w:before="20"/>
              <w:ind w:left="332"/>
              <w:rPr>
                <w:rFonts w:ascii="Arial"/>
                <w:sz w:val="22"/>
              </w:rPr>
            </w:pPr>
            <w:r>
              <w:rPr>
                <w:rFonts w:ascii="Arial"/>
                <w:spacing w:val="-4"/>
                <w:sz w:val="22"/>
              </w:rPr>
              <w:t>EFGH</w:t>
            </w:r>
          </w:p>
        </w:tc>
      </w:tr>
      <w:tr>
        <w:trPr>
          <w:trHeight w:val="240" w:hRule="atLeast"/>
        </w:trPr>
        <w:tc>
          <w:tcPr>
            <w:tcW w:w="1174" w:type="dxa"/>
          </w:tcPr>
          <w:p>
            <w:pPr>
              <w:pStyle w:val="TableParagraph"/>
              <w:spacing w:line="200" w:lineRule="exact" w:before="20"/>
              <w:ind w:left="69"/>
              <w:rPr>
                <w:rFonts w:ascii="Arial"/>
                <w:sz w:val="22"/>
              </w:rPr>
            </w:pPr>
            <w:r>
              <w:rPr>
                <w:rFonts w:ascii="Arial"/>
                <w:spacing w:val="-2"/>
                <w:sz w:val="22"/>
              </w:rPr>
              <w:t>1096.25</w:t>
            </w:r>
          </w:p>
        </w:tc>
        <w:tc>
          <w:tcPr>
            <w:tcW w:w="2026" w:type="dxa"/>
          </w:tcPr>
          <w:p>
            <w:pPr>
              <w:pStyle w:val="TableParagraph"/>
              <w:spacing w:line="200" w:lineRule="exact" w:before="20"/>
              <w:ind w:left="337"/>
              <w:rPr>
                <w:rFonts w:ascii="Arial"/>
                <w:sz w:val="22"/>
              </w:rPr>
            </w:pPr>
            <w:r>
              <w:rPr>
                <w:rFonts w:ascii="Arial"/>
                <w:spacing w:val="-5"/>
                <w:sz w:val="22"/>
              </w:rPr>
              <w:t>EH</w:t>
            </w:r>
          </w:p>
        </w:tc>
      </w:tr>
      <w:tr>
        <w:trPr>
          <w:trHeight w:val="375" w:hRule="atLeast"/>
        </w:trPr>
        <w:tc>
          <w:tcPr>
            <w:tcW w:w="1174" w:type="dxa"/>
          </w:tcPr>
          <w:p>
            <w:pPr>
              <w:pStyle w:val="TableParagraph"/>
              <w:spacing w:before="20"/>
              <w:ind w:left="69"/>
              <w:rPr>
                <w:rFonts w:ascii="Arial"/>
                <w:sz w:val="22"/>
              </w:rPr>
            </w:pPr>
            <w:r>
              <w:rPr>
                <w:rFonts w:ascii="Arial"/>
                <w:spacing w:val="-2"/>
                <w:sz w:val="22"/>
              </w:rPr>
              <w:t>1096.00</w:t>
            </w:r>
          </w:p>
        </w:tc>
        <w:tc>
          <w:tcPr>
            <w:tcW w:w="2026" w:type="dxa"/>
          </w:tcPr>
          <w:p>
            <w:pPr>
              <w:pStyle w:val="TableParagraph"/>
              <w:spacing w:before="20"/>
              <w:ind w:left="337"/>
              <w:rPr>
                <w:rFonts w:ascii="Arial"/>
                <w:sz w:val="22"/>
              </w:rPr>
            </w:pPr>
            <w:r>
              <w:rPr>
                <w:rFonts w:ascii="Arial"/>
                <w:w w:val="99"/>
                <w:sz w:val="22"/>
              </w:rPr>
              <w:t>H</w:t>
            </w:r>
          </w:p>
        </w:tc>
      </w:tr>
    </w:tbl>
    <w:p>
      <w:pPr>
        <w:spacing w:before="9"/>
        <w:ind w:left="931" w:right="0" w:firstLine="0"/>
        <w:jc w:val="left"/>
        <w:rPr>
          <w:sz w:val="16"/>
        </w:rPr>
      </w:pPr>
      <w:r>
        <w:rPr/>
        <w:pict>
          <v:group style="position:absolute;margin-left:76.125pt;margin-top:-252.496262pt;width:297.75pt;height:253pt;mso-position-horizontal-relative:page;mso-position-vertical-relative:paragraph;z-index:-19662848" id="docshapegroup234" coordorigin="1523,-5050" coordsize="5955,5060">
            <v:rect style="position:absolute;left:1530;top:-5043;width:5940;height:5045" id="docshape235" filled="false" stroked="true" strokeweight=".75pt" strokecolor="#000000">
              <v:stroke dashstyle="solid"/>
            </v:rect>
            <v:rect style="position:absolute;left:1530;top:-5030;width:5940;height:508" id="docshape236" filled="true" fillcolor="#000000" stroked="false">
              <v:fill type="solid"/>
            </v:rect>
            <v:rect style="position:absolute;left:1530;top:-5030;width:5940;height:508" id="docshape237" filled="false" stroked="true" strokeweight=".75pt" strokecolor="#000000">
              <v:stroke dashstyle="solid"/>
            </v:rect>
            <v:shape style="position:absolute;left:5136;top:-3219;width:2194;height:2146" id="docshape238" coordorigin="5136,-3218" coordsize="2194,2146" path="m5138,-3218l5854,-3218m6622,-3218l7330,-3218m5138,-2376l5840,-2376m6610,-2376l7330,-2376m5136,-1073l5851,-1073m6580,-1073l7327,-1073e" filled="false" stroked="true" strokeweight="1.25pt" strokecolor="#000000">
              <v:path arrowok="t"/>
              <v:stroke dashstyle="solid"/>
            </v:shape>
            <v:shape style="position:absolute;left:2866;top:-4890;width:3293;height:280" type="#_x0000_t202" id="docshape239" filled="false" stroked="false">
              <v:textbox inset="0,0,0,0">
                <w:txbxContent>
                  <w:p>
                    <w:pPr>
                      <w:spacing w:line="279" w:lineRule="exact" w:before="0"/>
                      <w:ind w:left="0" w:right="0" w:firstLine="0"/>
                      <w:jc w:val="left"/>
                      <w:rPr>
                        <w:rFonts w:ascii="Verdana"/>
                        <w:sz w:val="28"/>
                      </w:rPr>
                    </w:pPr>
                    <w:r>
                      <w:rPr>
                        <w:rFonts w:ascii="Verdana"/>
                        <w:color w:val="FFFFFF"/>
                        <w:sz w:val="28"/>
                      </w:rPr>
                      <w:t>The</w:t>
                    </w:r>
                    <w:r>
                      <w:rPr>
                        <w:rFonts w:ascii="Verdana"/>
                        <w:color w:val="FFFFFF"/>
                        <w:spacing w:val="-22"/>
                        <w:sz w:val="28"/>
                      </w:rPr>
                      <w:t> </w:t>
                    </w:r>
                    <w:r>
                      <w:rPr>
                        <w:rFonts w:ascii="Verdana"/>
                        <w:color w:val="FFFFFF"/>
                        <w:sz w:val="28"/>
                      </w:rPr>
                      <w:t>Money</w:t>
                    </w:r>
                    <w:r>
                      <w:rPr>
                        <w:rFonts w:ascii="Verdana"/>
                        <w:color w:val="FFFFFF"/>
                        <w:spacing w:val="-22"/>
                        <w:sz w:val="28"/>
                      </w:rPr>
                      <w:t> </w:t>
                    </w:r>
                    <w:r>
                      <w:rPr>
                        <w:rFonts w:ascii="Verdana"/>
                        <w:color w:val="FFFFFF"/>
                        <w:sz w:val="28"/>
                      </w:rPr>
                      <w:t>Zone</w:t>
                    </w:r>
                    <w:r>
                      <w:rPr>
                        <w:rFonts w:ascii="Verdana"/>
                        <w:color w:val="FFFFFF"/>
                        <w:spacing w:val="-22"/>
                        <w:sz w:val="28"/>
                      </w:rPr>
                      <w:t> </w:t>
                    </w:r>
                    <w:r>
                      <w:rPr>
                        <w:rFonts w:ascii="Verdana"/>
                        <w:color w:val="FFFFFF"/>
                        <w:spacing w:val="-2"/>
                        <w:sz w:val="28"/>
                      </w:rPr>
                      <w:t>Levels</w:t>
                    </w:r>
                  </w:p>
                </w:txbxContent>
              </v:textbox>
              <w10:wrap type="none"/>
            </v:shape>
            <v:shape style="position:absolute;left:6010;top:-3348;width:472;height:220" type="#_x0000_t202" id="docshape240" filled="false" stroked="false">
              <v:textbox inset="0,0,0,0">
                <w:txbxContent>
                  <w:p>
                    <w:pPr>
                      <w:spacing w:line="210" w:lineRule="exact" w:before="10"/>
                      <w:ind w:left="0" w:right="0" w:firstLine="0"/>
                      <w:jc w:val="left"/>
                      <w:rPr>
                        <w:rFonts w:ascii="Arial"/>
                        <w:sz w:val="22"/>
                      </w:rPr>
                    </w:pPr>
                    <w:r>
                      <w:rPr>
                        <w:rFonts w:ascii="Arial"/>
                        <w:spacing w:val="-5"/>
                        <w:sz w:val="22"/>
                      </w:rPr>
                      <w:t>VAH</w:t>
                    </w:r>
                  </w:p>
                </w:txbxContent>
              </v:textbox>
              <w10:wrap type="none"/>
            </v:shape>
            <v:shape style="position:absolute;left:5986;top:-2497;width:496;height:220" type="#_x0000_t202" id="docshape241" filled="false" stroked="false">
              <v:textbox inset="0,0,0,0">
                <w:txbxContent>
                  <w:p>
                    <w:pPr>
                      <w:spacing w:line="210" w:lineRule="exact" w:before="10"/>
                      <w:ind w:left="0" w:right="0" w:firstLine="0"/>
                      <w:jc w:val="left"/>
                      <w:rPr>
                        <w:rFonts w:ascii="Arial"/>
                        <w:sz w:val="22"/>
                      </w:rPr>
                    </w:pPr>
                    <w:r>
                      <w:rPr>
                        <w:rFonts w:ascii="Arial"/>
                        <w:spacing w:val="-5"/>
                        <w:sz w:val="22"/>
                      </w:rPr>
                      <w:t>POC</w:t>
                    </w:r>
                  </w:p>
                </w:txbxContent>
              </v:textbox>
              <w10:wrap type="none"/>
            </v:shape>
            <v:shape style="position:absolute;left:6007;top:-1201;width:438;height:220" type="#_x0000_t202" id="docshape242" filled="false" stroked="false">
              <v:textbox inset="0,0,0,0">
                <w:txbxContent>
                  <w:p>
                    <w:pPr>
                      <w:spacing w:line="210" w:lineRule="exact" w:before="10"/>
                      <w:ind w:left="0" w:right="0" w:firstLine="0"/>
                      <w:jc w:val="left"/>
                      <w:rPr>
                        <w:rFonts w:ascii="Arial"/>
                        <w:sz w:val="22"/>
                      </w:rPr>
                    </w:pPr>
                    <w:r>
                      <w:rPr>
                        <w:rFonts w:ascii="Arial"/>
                        <w:spacing w:val="-5"/>
                        <w:sz w:val="22"/>
                      </w:rPr>
                      <w:t>VAL</w:t>
                    </w:r>
                  </w:p>
                </w:txbxContent>
              </v:textbox>
              <w10:wrap type="none"/>
            </v:shape>
            <w10:wrap type="none"/>
          </v:group>
        </w:pict>
      </w:r>
      <w:r>
        <w:rPr>
          <w:sz w:val="16"/>
        </w:rPr>
        <w:t>FIGURE</w:t>
      </w:r>
      <w:r>
        <w:rPr>
          <w:spacing w:val="4"/>
          <w:sz w:val="16"/>
        </w:rPr>
        <w:t> </w:t>
      </w:r>
      <w:r>
        <w:rPr>
          <w:sz w:val="16"/>
        </w:rPr>
        <w:t>3.2:</w:t>
      </w:r>
      <w:r>
        <w:rPr>
          <w:spacing w:val="5"/>
          <w:sz w:val="16"/>
        </w:rPr>
        <w:t> </w:t>
      </w:r>
      <w:r>
        <w:rPr>
          <w:sz w:val="16"/>
        </w:rPr>
        <w:t>Diagram</w:t>
      </w:r>
      <w:r>
        <w:rPr>
          <w:spacing w:val="5"/>
          <w:sz w:val="16"/>
        </w:rPr>
        <w:t> </w:t>
      </w:r>
      <w:r>
        <w:rPr>
          <w:sz w:val="16"/>
        </w:rPr>
        <w:t>of</w:t>
      </w:r>
      <w:r>
        <w:rPr>
          <w:spacing w:val="4"/>
          <w:sz w:val="16"/>
        </w:rPr>
        <w:t> </w:t>
      </w:r>
      <w:r>
        <w:rPr>
          <w:sz w:val="16"/>
        </w:rPr>
        <w:t>the</w:t>
      </w:r>
      <w:r>
        <w:rPr>
          <w:spacing w:val="4"/>
          <w:sz w:val="16"/>
        </w:rPr>
        <w:t> </w:t>
      </w:r>
      <w:r>
        <w:rPr>
          <w:sz w:val="16"/>
        </w:rPr>
        <w:t>Money</w:t>
      </w:r>
      <w:r>
        <w:rPr>
          <w:spacing w:val="4"/>
          <w:sz w:val="16"/>
        </w:rPr>
        <w:t> </w:t>
      </w:r>
      <w:r>
        <w:rPr>
          <w:sz w:val="16"/>
        </w:rPr>
        <w:t>Zone</w:t>
      </w:r>
      <w:r>
        <w:rPr>
          <w:spacing w:val="4"/>
          <w:sz w:val="16"/>
        </w:rPr>
        <w:t> </w:t>
      </w:r>
      <w:r>
        <w:rPr>
          <w:spacing w:val="-2"/>
          <w:sz w:val="16"/>
        </w:rPr>
        <w:t>levels</w:t>
      </w:r>
    </w:p>
    <w:p>
      <w:pPr>
        <w:pStyle w:val="BodyText"/>
        <w:spacing w:before="2"/>
      </w:pPr>
    </w:p>
    <w:p>
      <w:pPr>
        <w:pStyle w:val="BodyText"/>
        <w:ind w:left="500" w:right="135" w:firstLine="432"/>
        <w:jc w:val="both"/>
      </w:pPr>
      <w:r>
        <w:rPr/>
        <w:t>Now that we have an understanding of how the Money Zone interprets the data from the Market Profile structure, let’s proceed to a more in depth discussion of these powerful levels.</w:t>
      </w:r>
    </w:p>
    <w:p>
      <w:pPr>
        <w:pStyle w:val="BodyText"/>
      </w:pPr>
    </w:p>
    <w:p>
      <w:pPr>
        <w:pStyle w:val="BodyText"/>
        <w:spacing w:before="10"/>
        <w:rPr>
          <w:sz w:val="21"/>
        </w:rPr>
      </w:pPr>
    </w:p>
    <w:p>
      <w:pPr>
        <w:pStyle w:val="Heading3"/>
        <w:ind w:left="500"/>
      </w:pPr>
      <w:r>
        <w:rPr/>
        <w:pict>
          <v:shape style="position:absolute;margin-left:54.779999pt;margin-top:18.290316pt;width:341pt;height:.1pt;mso-position-horizontal-relative:page;mso-position-vertical-relative:paragraph;z-index:-15705088;mso-wrap-distance-left:0;mso-wrap-distance-right:0" id="docshape243" coordorigin="1096,366" coordsize="6820,0" path="m1096,366l7915,366e" filled="false" stroked="true" strokeweight=".75pt" strokecolor="#000000">
            <v:path arrowok="t"/>
            <v:stroke dashstyle="solid"/>
            <w10:wrap type="topAndBottom"/>
          </v:shape>
        </w:pict>
      </w:r>
      <w:bookmarkStart w:name="_TOC_250070" w:id="21"/>
      <w:r>
        <w:rPr>
          <w:smallCaps/>
        </w:rPr>
        <w:t>The</w:t>
      </w:r>
      <w:r>
        <w:rPr>
          <w:smallCaps/>
          <w:spacing w:val="-7"/>
        </w:rPr>
        <w:t> </w:t>
      </w:r>
      <w:r>
        <w:rPr>
          <w:smallCaps/>
        </w:rPr>
        <w:t>Point</w:t>
      </w:r>
      <w:r>
        <w:rPr>
          <w:smallCaps/>
          <w:spacing w:val="-9"/>
        </w:rPr>
        <w:t> </w:t>
      </w:r>
      <w:r>
        <w:rPr>
          <w:smallCaps/>
        </w:rPr>
        <w:t>of</w:t>
      </w:r>
      <w:r>
        <w:rPr>
          <w:smallCaps/>
          <w:spacing w:val="-6"/>
        </w:rPr>
        <w:t> </w:t>
      </w:r>
      <w:bookmarkEnd w:id="21"/>
      <w:r>
        <w:rPr>
          <w:smallCaps/>
          <w:spacing w:val="-2"/>
        </w:rPr>
        <w:t>Control</w:t>
      </w:r>
    </w:p>
    <w:p>
      <w:pPr>
        <w:pStyle w:val="BodyText"/>
        <w:spacing w:before="202"/>
        <w:ind w:left="500" w:right="137" w:firstLine="432"/>
        <w:jc w:val="both"/>
      </w:pPr>
      <w:r>
        <w:rPr/>
        <w:t>If you had to choose only one price point that you could use as a reference for the day’s trading activity, it should be the point of control. As you recall, the point of control is where the most trading activity occurred on any given day. As such, this price is considered to be the fairest value between buyers and sellers. Having the point of control plotted on your</w:t>
      </w:r>
      <w:r>
        <w:rPr>
          <w:spacing w:val="40"/>
        </w:rPr>
        <w:t> </w:t>
      </w:r>
      <w:r>
        <w:rPr/>
        <w:t>charts gives you the pulse of the market as it pertains to valuation. If price extends too far above the point of control, you may see responsive sellers enter the market to push price back toward fair value, which is inherently represented through the point of control. Likewise, if price moves too far below the point of control, responsive buyers will enter the market to push price back toward fair value.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39" w:right="496" w:firstLine="432"/>
        <w:jc w:val="both"/>
      </w:pPr>
      <w:r>
        <w:rPr/>
        <w:t>Take a look at Figure 3.3, which shows a two-day view of the Mini- Sized Dow futures contract. The point of control is clearly plotted for the December</w:t>
      </w:r>
      <w:r>
        <w:rPr>
          <w:spacing w:val="-10"/>
        </w:rPr>
        <w:t> </w:t>
      </w:r>
      <w:r>
        <w:rPr/>
        <w:t>3</w:t>
      </w:r>
      <w:r>
        <w:rPr>
          <w:spacing w:val="-14"/>
        </w:rPr>
        <w:t> </w:t>
      </w:r>
      <w:r>
        <w:rPr/>
        <w:t>trading</w:t>
      </w:r>
      <w:r>
        <w:rPr>
          <w:spacing w:val="-2"/>
        </w:rPr>
        <w:t> </w:t>
      </w:r>
      <w:r>
        <w:rPr/>
        <w:t>session.</w:t>
      </w:r>
      <w:r>
        <w:rPr>
          <w:spacing w:val="-2"/>
        </w:rPr>
        <w:t> </w:t>
      </w:r>
      <w:r>
        <w:rPr/>
        <w:t>Remember,</w:t>
      </w:r>
      <w:r>
        <w:rPr>
          <w:spacing w:val="-2"/>
        </w:rPr>
        <w:t> </w:t>
      </w:r>
      <w:r>
        <w:rPr/>
        <w:t>the</w:t>
      </w:r>
      <w:r>
        <w:rPr>
          <w:spacing w:val="-2"/>
        </w:rPr>
        <w:t> </w:t>
      </w:r>
      <w:r>
        <w:rPr/>
        <w:t>Money</w:t>
      </w:r>
      <w:r>
        <w:rPr>
          <w:spacing w:val="-5"/>
        </w:rPr>
        <w:t> </w:t>
      </w:r>
      <w:r>
        <w:rPr/>
        <w:t>Zone</w:t>
      </w:r>
      <w:r>
        <w:rPr>
          <w:spacing w:val="-2"/>
        </w:rPr>
        <w:t> </w:t>
      </w:r>
      <w:r>
        <w:rPr/>
        <w:t>uses</w:t>
      </w:r>
      <w:r>
        <w:rPr>
          <w:spacing w:val="-2"/>
        </w:rPr>
        <w:t> </w:t>
      </w:r>
      <w:r>
        <w:rPr/>
        <w:t>the</w:t>
      </w:r>
      <w:r>
        <w:rPr>
          <w:spacing w:val="-2"/>
        </w:rPr>
        <w:t> </w:t>
      </w:r>
      <w:r>
        <w:rPr/>
        <w:t>prior</w:t>
      </w:r>
      <w:r>
        <w:rPr>
          <w:spacing w:val="-3"/>
        </w:rPr>
        <w:t> </w:t>
      </w:r>
      <w:r>
        <w:rPr/>
        <w:t>day’s trading information to forecast pertinent price levels for the following day. Therefore, the trading activity from December 2 dictated where the point of control would be located for the following day.</w:t>
      </w:r>
    </w:p>
    <w:p>
      <w:pPr>
        <w:pStyle w:val="BodyText"/>
        <w:spacing w:before="2"/>
        <w:rPr>
          <w:sz w:val="20"/>
        </w:rPr>
      </w:pPr>
      <w:r>
        <w:rPr/>
        <w:drawing>
          <wp:anchor distT="0" distB="0" distL="0" distR="0" allowOverlap="1" layoutInCell="1" locked="0" behindDoc="0" simplePos="0" relativeHeight="48">
            <wp:simplePos x="0" y="0"/>
            <wp:positionH relativeFrom="page">
              <wp:posOffset>457200</wp:posOffset>
            </wp:positionH>
            <wp:positionV relativeFrom="paragraph">
              <wp:posOffset>162759</wp:posOffset>
            </wp:positionV>
            <wp:extent cx="4342904" cy="3103054"/>
            <wp:effectExtent l="0" t="0" r="0" b="0"/>
            <wp:wrapTopAndBottom/>
            <wp:docPr id="55" name="image29.png"/>
            <wp:cNvGraphicFramePr>
              <a:graphicFrameLocks noChangeAspect="1"/>
            </wp:cNvGraphicFramePr>
            <a:graphic>
              <a:graphicData uri="http://schemas.openxmlformats.org/drawingml/2006/picture">
                <pic:pic>
                  <pic:nvPicPr>
                    <pic:cNvPr id="56" name="image29.png"/>
                    <pic:cNvPicPr/>
                  </pic:nvPicPr>
                  <pic:blipFill>
                    <a:blip r:embed="rId62"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3.3:</w:t>
      </w:r>
      <w:r>
        <w:rPr>
          <w:spacing w:val="2"/>
          <w:sz w:val="16"/>
        </w:rPr>
        <w:t> </w:t>
      </w:r>
      <w:r>
        <w:rPr>
          <w:sz w:val="16"/>
        </w:rPr>
        <w:t>The</w:t>
      </w:r>
      <w:r>
        <w:rPr>
          <w:spacing w:val="3"/>
          <w:sz w:val="16"/>
        </w:rPr>
        <w:t> </w:t>
      </w:r>
      <w:r>
        <w:rPr>
          <w:sz w:val="16"/>
        </w:rPr>
        <w:t>point</w:t>
      </w:r>
      <w:r>
        <w:rPr>
          <w:spacing w:val="1"/>
          <w:sz w:val="16"/>
        </w:rPr>
        <w:t> </w:t>
      </w:r>
      <w:r>
        <w:rPr>
          <w:sz w:val="16"/>
        </w:rPr>
        <w:t>of</w:t>
      </w:r>
      <w:r>
        <w:rPr>
          <w:spacing w:val="1"/>
          <w:sz w:val="16"/>
        </w:rPr>
        <w:t> </w:t>
      </w:r>
      <w:r>
        <w:rPr>
          <w:sz w:val="16"/>
        </w:rPr>
        <w:t>control</w:t>
      </w:r>
      <w:r>
        <w:rPr>
          <w:spacing w:val="2"/>
          <w:sz w:val="16"/>
        </w:rPr>
        <w:t> </w:t>
      </w:r>
      <w:r>
        <w:rPr>
          <w:sz w:val="16"/>
        </w:rPr>
        <w:t>shows</w:t>
      </w:r>
      <w:r>
        <w:rPr>
          <w:spacing w:val="1"/>
          <w:sz w:val="16"/>
        </w:rPr>
        <w:t> </w:t>
      </w:r>
      <w:r>
        <w:rPr>
          <w:sz w:val="16"/>
        </w:rPr>
        <w:t>the</w:t>
      </w:r>
      <w:r>
        <w:rPr>
          <w:spacing w:val="1"/>
          <w:sz w:val="16"/>
        </w:rPr>
        <w:t> </w:t>
      </w:r>
      <w:r>
        <w:rPr>
          <w:sz w:val="16"/>
        </w:rPr>
        <w:t>fairest</w:t>
      </w:r>
      <w:r>
        <w:rPr>
          <w:spacing w:val="2"/>
          <w:sz w:val="16"/>
        </w:rPr>
        <w:t> </w:t>
      </w:r>
      <w:r>
        <w:rPr>
          <w:sz w:val="16"/>
        </w:rPr>
        <w:t>price</w:t>
      </w:r>
      <w:r>
        <w:rPr>
          <w:spacing w:val="1"/>
          <w:sz w:val="16"/>
        </w:rPr>
        <w:t> </w:t>
      </w:r>
      <w:r>
        <w:rPr>
          <w:sz w:val="16"/>
        </w:rPr>
        <w:t>in</w:t>
      </w:r>
      <w:r>
        <w:rPr>
          <w:spacing w:val="2"/>
          <w:sz w:val="16"/>
        </w:rPr>
        <w:t> </w:t>
      </w:r>
      <w:r>
        <w:rPr>
          <w:sz w:val="16"/>
        </w:rPr>
        <w:t>the</w:t>
      </w:r>
      <w:r>
        <w:rPr>
          <w:spacing w:val="1"/>
          <w:sz w:val="16"/>
        </w:rPr>
        <w:t> </w:t>
      </w:r>
      <w:r>
        <w:rPr>
          <w:spacing w:val="-2"/>
          <w:sz w:val="16"/>
        </w:rPr>
        <w:t>chart.</w:t>
      </w:r>
    </w:p>
    <w:p>
      <w:pPr>
        <w:pStyle w:val="BodyText"/>
        <w:spacing w:before="8"/>
        <w:rPr>
          <w:sz w:val="21"/>
        </w:rPr>
      </w:pPr>
    </w:p>
    <w:p>
      <w:pPr>
        <w:pStyle w:val="BodyText"/>
        <w:ind w:left="140" w:right="496" w:firstLine="432"/>
        <w:jc w:val="both"/>
      </w:pPr>
      <w:r>
        <w:rPr/>
        <w:t>In this example, the point of control is 10,437, which represents the fairest</w:t>
      </w:r>
      <w:r>
        <w:rPr>
          <w:spacing w:val="-2"/>
        </w:rPr>
        <w:t> </w:t>
      </w:r>
      <w:r>
        <w:rPr/>
        <w:t>value</w:t>
      </w:r>
      <w:r>
        <w:rPr>
          <w:spacing w:val="-2"/>
        </w:rPr>
        <w:t> </w:t>
      </w:r>
      <w:r>
        <w:rPr/>
        <w:t>between</w:t>
      </w:r>
      <w:r>
        <w:rPr>
          <w:spacing w:val="-3"/>
        </w:rPr>
        <w:t> </w:t>
      </w:r>
      <w:r>
        <w:rPr/>
        <w:t>buyers</w:t>
      </w:r>
      <w:r>
        <w:rPr>
          <w:spacing w:val="-3"/>
        </w:rPr>
        <w:t> </w:t>
      </w:r>
      <w:r>
        <w:rPr/>
        <w:t>and</w:t>
      </w:r>
      <w:r>
        <w:rPr>
          <w:spacing w:val="-3"/>
        </w:rPr>
        <w:t> </w:t>
      </w:r>
      <w:r>
        <w:rPr/>
        <w:t>sellers</w:t>
      </w:r>
      <w:r>
        <w:rPr>
          <w:spacing w:val="-1"/>
        </w:rPr>
        <w:t> </w:t>
      </w:r>
      <w:r>
        <w:rPr/>
        <w:t>from</w:t>
      </w:r>
      <w:r>
        <w:rPr>
          <w:spacing w:val="-2"/>
        </w:rPr>
        <w:t> </w:t>
      </w:r>
      <w:r>
        <w:rPr/>
        <w:t>the</w:t>
      </w:r>
      <w:r>
        <w:rPr>
          <w:spacing w:val="-3"/>
        </w:rPr>
        <w:t> </w:t>
      </w:r>
      <w:r>
        <w:rPr/>
        <w:t>prior</w:t>
      </w:r>
      <w:r>
        <w:rPr>
          <w:spacing w:val="-4"/>
        </w:rPr>
        <w:t> </w:t>
      </w:r>
      <w:r>
        <w:rPr/>
        <w:t>day.</w:t>
      </w:r>
      <w:r>
        <w:rPr>
          <w:spacing w:val="-3"/>
        </w:rPr>
        <w:t> </w:t>
      </w:r>
      <w:r>
        <w:rPr/>
        <w:t>Just</w:t>
      </w:r>
      <w:r>
        <w:rPr>
          <w:spacing w:val="-4"/>
        </w:rPr>
        <w:t> </w:t>
      </w:r>
      <w:r>
        <w:rPr/>
        <w:t>by</w:t>
      </w:r>
      <w:r>
        <w:rPr>
          <w:spacing w:val="-5"/>
        </w:rPr>
        <w:t> </w:t>
      </w:r>
      <w:r>
        <w:rPr/>
        <w:t>looking</w:t>
      </w:r>
      <w:r>
        <w:rPr>
          <w:spacing w:val="-3"/>
        </w:rPr>
        <w:t> </w:t>
      </w:r>
      <w:r>
        <w:rPr/>
        <w:t>at the prior day, you can see that most of the day’s trading activity did indeed occur around the 10,437 level. Why do we want to use a prior day’s information for the following session? Isn’t the information old news by then? By understanding where the market perceived value to be fairest in the prior session, we are able to use this information to help us determine price valuation for the current session.</w:t>
      </w:r>
    </w:p>
    <w:p>
      <w:pPr>
        <w:pStyle w:val="BodyText"/>
        <w:spacing w:before="1"/>
        <w:ind w:left="140" w:right="497" w:firstLine="719"/>
        <w:jc w:val="both"/>
      </w:pPr>
      <w:r>
        <w:rPr/>
        <w:t>Notice how the market opened the session with early strength on December 3. Price rallied to 10,499, but immediately began to reverse from that level. As I mentioned earlier, responsive sellers are looking to enter the market with sell orders when they perceive price to be overvalued. In this instance,</w:t>
      </w:r>
      <w:r>
        <w:rPr>
          <w:spacing w:val="32"/>
        </w:rPr>
        <w:t> </w:t>
      </w:r>
      <w:r>
        <w:rPr/>
        <w:t>price</w:t>
      </w:r>
      <w:r>
        <w:rPr>
          <w:spacing w:val="32"/>
        </w:rPr>
        <w:t> </w:t>
      </w:r>
      <w:r>
        <w:rPr/>
        <w:t>was</w:t>
      </w:r>
      <w:r>
        <w:rPr>
          <w:spacing w:val="32"/>
        </w:rPr>
        <w:t> </w:t>
      </w:r>
      <w:r>
        <w:rPr/>
        <w:t>indeed</w:t>
      </w:r>
      <w:r>
        <w:rPr>
          <w:spacing w:val="33"/>
        </w:rPr>
        <w:t> </w:t>
      </w:r>
      <w:r>
        <w:rPr/>
        <w:t>overvalued</w:t>
      </w:r>
      <w:r>
        <w:rPr>
          <w:spacing w:val="31"/>
        </w:rPr>
        <w:t> </w:t>
      </w:r>
      <w:r>
        <w:rPr/>
        <w:t>and</w:t>
      </w:r>
      <w:r>
        <w:rPr>
          <w:spacing w:val="32"/>
        </w:rPr>
        <w:t> </w:t>
      </w:r>
      <w:r>
        <w:rPr/>
        <w:t>responsive</w:t>
      </w:r>
      <w:r>
        <w:rPr>
          <w:spacing w:val="32"/>
        </w:rPr>
        <w:t> </w:t>
      </w:r>
      <w:r>
        <w:rPr/>
        <w:t>sellers</w:t>
      </w:r>
      <w:r>
        <w:rPr>
          <w:spacing w:val="32"/>
        </w:rPr>
        <w:t> </w:t>
      </w:r>
      <w:r>
        <w:rPr/>
        <w:t>were</w:t>
      </w:r>
      <w:r>
        <w:rPr>
          <w:spacing w:val="32"/>
        </w:rPr>
        <w:t> </w:t>
      </w:r>
      <w:r>
        <w:rPr/>
        <w:t>able</w:t>
      </w:r>
      <w:r>
        <w:rPr>
          <w:spacing w:val="32"/>
        </w:rPr>
        <w:t> </w:t>
      </w:r>
      <w:r>
        <w:rPr>
          <w:spacing w:val="-5"/>
        </w:rPr>
        <w:t>to</w:t>
      </w:r>
    </w:p>
    <w:p>
      <w:pPr>
        <w:pStyle w:val="BodyText"/>
        <w:ind w:left="110"/>
        <w:jc w:val="both"/>
      </w:pPr>
      <w:r>
        <w:rPr>
          <w:spacing w:val="-26"/>
          <w:u w:val="single"/>
        </w:rPr>
        <w:t> </w:t>
      </w:r>
      <w:r>
        <w:rPr>
          <w:u w:val="single"/>
        </w:rPr>
        <w:t>push price</w:t>
      </w:r>
      <w:r>
        <w:rPr>
          <w:spacing w:val="2"/>
          <w:u w:val="single"/>
        </w:rPr>
        <w:t> </w:t>
      </w:r>
      <w:r>
        <w:rPr>
          <w:u w:val="single"/>
        </w:rPr>
        <w:t>back</w:t>
      </w:r>
      <w:r>
        <w:rPr>
          <w:spacing w:val="2"/>
          <w:u w:val="single"/>
        </w:rPr>
        <w:t> </w:t>
      </w:r>
      <w:r>
        <w:rPr>
          <w:u w:val="single"/>
        </w:rPr>
        <w:t>toward</w:t>
      </w:r>
      <w:r>
        <w:rPr>
          <w:spacing w:val="3"/>
          <w:u w:val="single"/>
        </w:rPr>
        <w:t> </w:t>
      </w:r>
      <w:r>
        <w:rPr>
          <w:u w:val="single"/>
        </w:rPr>
        <w:t>the</w:t>
      </w:r>
      <w:r>
        <w:rPr>
          <w:spacing w:val="2"/>
          <w:u w:val="single"/>
        </w:rPr>
        <w:t> </w:t>
      </w:r>
      <w:r>
        <w:rPr>
          <w:u w:val="single"/>
        </w:rPr>
        <w:t>point</w:t>
      </w:r>
      <w:r>
        <w:rPr>
          <w:spacing w:val="1"/>
          <w:u w:val="single"/>
        </w:rPr>
        <w:t> </w:t>
      </w:r>
      <w:r>
        <w:rPr>
          <w:u w:val="single"/>
        </w:rPr>
        <w:t>of</w:t>
      </w:r>
      <w:r>
        <w:rPr>
          <w:spacing w:val="3"/>
          <w:u w:val="single"/>
        </w:rPr>
        <w:t> </w:t>
      </w:r>
      <w:r>
        <w:rPr>
          <w:u w:val="single"/>
        </w:rPr>
        <w:t>control,</w:t>
      </w:r>
      <w:r>
        <w:rPr>
          <w:spacing w:val="2"/>
          <w:u w:val="single"/>
        </w:rPr>
        <w:t> </w:t>
      </w:r>
      <w:r>
        <w:rPr>
          <w:u w:val="single"/>
        </w:rPr>
        <w:t>which</w:t>
      </w:r>
      <w:r>
        <w:rPr>
          <w:spacing w:val="3"/>
          <w:u w:val="single"/>
        </w:rPr>
        <w:t> </w:t>
      </w:r>
      <w:r>
        <w:rPr>
          <w:u w:val="single"/>
        </w:rPr>
        <w:t>was</w:t>
      </w:r>
      <w:r>
        <w:rPr>
          <w:spacing w:val="2"/>
          <w:u w:val="single"/>
        </w:rPr>
        <w:t> </w:t>
      </w:r>
      <w:r>
        <w:rPr>
          <w:u w:val="single"/>
        </w:rPr>
        <w:t>the</w:t>
      </w:r>
      <w:r>
        <w:rPr>
          <w:spacing w:val="2"/>
          <w:u w:val="single"/>
        </w:rPr>
        <w:t> </w:t>
      </w:r>
      <w:r>
        <w:rPr>
          <w:u w:val="single"/>
        </w:rPr>
        <w:t>fairest</w:t>
      </w:r>
      <w:r>
        <w:rPr>
          <w:spacing w:val="3"/>
          <w:u w:val="single"/>
        </w:rPr>
        <w:t> </w:t>
      </w:r>
      <w:r>
        <w:rPr>
          <w:u w:val="single"/>
        </w:rPr>
        <w:t>price</w:t>
      </w:r>
      <w:r>
        <w:rPr>
          <w:spacing w:val="2"/>
          <w:u w:val="single"/>
        </w:rPr>
        <w:t> </w:t>
      </w:r>
      <w:r>
        <w:rPr>
          <w:spacing w:val="-4"/>
          <w:u w:val="single"/>
        </w:rPr>
        <w:t>from</w:t>
      </w:r>
    </w:p>
    <w:p>
      <w:pPr>
        <w:spacing w:after="0"/>
        <w:jc w:val="both"/>
        <w:sectPr>
          <w:headerReference w:type="even" r:id="rId58"/>
          <w:headerReference w:type="default" r:id="rId59"/>
          <w:footerReference w:type="even" r:id="rId60"/>
          <w:footerReference w:type="default" r:id="rId61"/>
          <w:pgSz w:w="8640" w:h="12960"/>
          <w:pgMar w:header="579" w:footer="985" w:top="760" w:bottom="1180" w:left="580" w:right="580"/>
          <w:pgNumType w:start="62"/>
        </w:sectPr>
      </w:pPr>
    </w:p>
    <w:p>
      <w:pPr>
        <w:pStyle w:val="BodyText"/>
        <w:spacing w:before="3"/>
      </w:pPr>
    </w:p>
    <w:p>
      <w:pPr>
        <w:pStyle w:val="BodyText"/>
        <w:spacing w:before="64"/>
        <w:ind w:left="500" w:right="141"/>
        <w:jc w:val="both"/>
      </w:pPr>
      <w:r>
        <w:rPr/>
        <w:t>the prior session. Therefore, responsive sellers were able to move price from 10,499 back to fair value at 10,437.</w:t>
      </w:r>
    </w:p>
    <w:p>
      <w:pPr>
        <w:pStyle w:val="BodyText"/>
        <w:ind w:left="500" w:right="135" w:firstLine="719"/>
        <w:jc w:val="both"/>
      </w:pPr>
      <w:r>
        <w:rPr/>
        <w:t>Later in the session, price moved too far below the point of control, which triggered responsive buying activity. Responsive buyers entered the market when they perceived price to be undervalued and eventually pushed price from 10,396 back to fair value at 10,437. Essentially, using the prior day’s information to generate the point of control for the next day gave us a way to measure when price was over and undervalued. In essence, the point of control allowed us to keep our finger on the pulse of the market, as buyers and sellers jostled for position.</w:t>
      </w:r>
    </w:p>
    <w:p>
      <w:pPr>
        <w:pStyle w:val="BodyText"/>
        <w:ind w:left="500" w:right="134" w:firstLine="432"/>
        <w:jc w:val="both"/>
      </w:pPr>
      <w:r>
        <w:rPr/>
        <w:t>Let’s take one more look at Figure 3.3. After responsive buyers and sellers were able to set the day’s extremes in the first hour of the session, thereby creating the day’s initial balance, price basically hugged fair value</w:t>
      </w:r>
      <w:r>
        <w:rPr>
          <w:spacing w:val="40"/>
        </w:rPr>
        <w:t> </w:t>
      </w:r>
      <w:r>
        <w:rPr/>
        <w:t>for most of the day. However, the market’s perception of value clearly changed later in the session, as initiative sellers overwhelmed the IBL and took control of the close. The late-day decline essentially led to an Expanded Typical Day scenario.</w:t>
      </w:r>
    </w:p>
    <w:p>
      <w:pPr>
        <w:pStyle w:val="BodyText"/>
        <w:ind w:left="500" w:right="135" w:firstLine="432"/>
        <w:jc w:val="both"/>
      </w:pPr>
      <w:r>
        <w:rPr/>
        <w:t>The difference between responsive and initiative behavior is clearly evident in this example. As you recall, responsive behavior will move price back toward a perceived area of value, but does not have the conviction to influence price on a larger scale. On the other hand, initiative behavior has much more conviction and confidence behind its actions, which provides the ability to influence price movement significantly. The late-day sell-off</w:t>
      </w:r>
      <w:r>
        <w:rPr>
          <w:spacing w:val="40"/>
        </w:rPr>
        <w:t> </w:t>
      </w:r>
      <w:r>
        <w:rPr/>
        <w:t>clearly had more conviction behind its movement than the day’s early responsive behaviors. Your ability to determine who is influencing the</w:t>
      </w:r>
      <w:r>
        <w:rPr>
          <w:spacing w:val="40"/>
        </w:rPr>
        <w:t> </w:t>
      </w:r>
      <w:r>
        <w:rPr/>
        <w:t>market will allow you to judge the strength and conviction of price </w:t>
      </w:r>
      <w:r>
        <w:rPr>
          <w:spacing w:val="-2"/>
        </w:rPr>
        <w:t>movement.</w:t>
      </w:r>
    </w:p>
    <w:p>
      <w:pPr>
        <w:pStyle w:val="BodyText"/>
        <w:spacing w:before="11"/>
        <w:rPr>
          <w:sz w:val="21"/>
        </w:rPr>
      </w:pPr>
    </w:p>
    <w:p>
      <w:pPr>
        <w:pStyle w:val="Heading3"/>
        <w:ind w:left="500"/>
        <w:jc w:val="both"/>
      </w:pPr>
      <w:r>
        <w:rPr/>
        <w:pict>
          <v:shape style="position:absolute;margin-left:54.779999pt;margin-top:18.290312pt;width:341pt;height:.1pt;mso-position-horizontal-relative:page;mso-position-vertical-relative:paragraph;z-index:-15703552;mso-wrap-distance-left:0;mso-wrap-distance-right:0" id="docshape249" coordorigin="1096,366" coordsize="6820,0" path="m1096,366l7915,366e" filled="false" stroked="true" strokeweight=".75pt" strokecolor="#000000">
            <v:path arrowok="t"/>
            <v:stroke dashstyle="solid"/>
            <w10:wrap type="topAndBottom"/>
          </v:shape>
        </w:pict>
      </w:r>
      <w:bookmarkStart w:name="_TOC_250069" w:id="22"/>
      <w:r>
        <w:rPr>
          <w:smallCaps/>
        </w:rPr>
        <w:t>The</w:t>
      </w:r>
      <w:r>
        <w:rPr>
          <w:smallCaps/>
          <w:spacing w:val="-9"/>
        </w:rPr>
        <w:t> </w:t>
      </w:r>
      <w:r>
        <w:rPr>
          <w:smallCaps/>
        </w:rPr>
        <w:t>Developing</w:t>
      </w:r>
      <w:r>
        <w:rPr>
          <w:smallCaps/>
          <w:spacing w:val="-8"/>
        </w:rPr>
        <w:t> </w:t>
      </w:r>
      <w:r>
        <w:rPr>
          <w:smallCaps/>
        </w:rPr>
        <w:t>Point</w:t>
      </w:r>
      <w:r>
        <w:rPr>
          <w:smallCaps/>
          <w:spacing w:val="-11"/>
        </w:rPr>
        <w:t> </w:t>
      </w:r>
      <w:r>
        <w:rPr>
          <w:smallCaps/>
        </w:rPr>
        <w:t>of</w:t>
      </w:r>
      <w:r>
        <w:rPr>
          <w:smallCaps/>
          <w:spacing w:val="-8"/>
        </w:rPr>
        <w:t> </w:t>
      </w:r>
      <w:bookmarkEnd w:id="22"/>
      <w:r>
        <w:rPr>
          <w:smallCaps/>
          <w:spacing w:val="-2"/>
        </w:rPr>
        <w:t>Control</w:t>
      </w:r>
    </w:p>
    <w:p>
      <w:pPr>
        <w:pStyle w:val="BodyText"/>
        <w:spacing w:before="202"/>
        <w:ind w:left="499" w:right="135" w:firstLine="432"/>
        <w:jc w:val="both"/>
      </w:pPr>
      <w:r>
        <w:rPr/>
        <w:t>Many traders find great value in using the Market Profile structure as it develops in real time. As such, the Money Zone has the ability to plot the pertinent levels of the MP structure as they develop in real time. The </w:t>
      </w:r>
      <w:r>
        <w:rPr>
          <w:i/>
        </w:rPr>
        <w:t>Developing Point of Control (DPOC) </w:t>
      </w:r>
      <w:r>
        <w:rPr/>
        <w:t>indicator dynamically updates as new data enters the market, calculating fair value bar by bar. The Money Zone calls this feature the </w:t>
      </w:r>
      <w:r>
        <w:rPr>
          <w:i/>
        </w:rPr>
        <w:t>Developing Value Line (DVL)</w:t>
      </w:r>
      <w:r>
        <w:rPr/>
        <w:t>. This process is identical to the way that the Market Profile calculates its point of control throughout the day as the bell-curved structure develops in real time. Essentially, the DPOC</w:t>
      </w:r>
      <w:r>
        <w:rPr>
          <w:spacing w:val="-2"/>
        </w:rPr>
        <w:t> </w:t>
      </w:r>
      <w:r>
        <w:rPr/>
        <w:t>allows</w:t>
      </w:r>
      <w:r>
        <w:rPr>
          <w:spacing w:val="-2"/>
        </w:rPr>
        <w:t> </w:t>
      </w:r>
      <w:r>
        <w:rPr/>
        <w:t>you</w:t>
      </w:r>
      <w:r>
        <w:rPr>
          <w:spacing w:val="-2"/>
        </w:rPr>
        <w:t> </w:t>
      </w:r>
      <w:r>
        <w:rPr/>
        <w:t>to</w:t>
      </w:r>
      <w:r>
        <w:rPr>
          <w:spacing w:val="-2"/>
        </w:rPr>
        <w:t> </w:t>
      </w:r>
      <w:r>
        <w:rPr/>
        <w:t>keep</w:t>
      </w:r>
      <w:r>
        <w:rPr>
          <w:spacing w:val="-3"/>
        </w:rPr>
        <w:t> </w:t>
      </w:r>
      <w:r>
        <w:rPr/>
        <w:t>your</w:t>
      </w:r>
      <w:r>
        <w:rPr>
          <w:spacing w:val="-2"/>
        </w:rPr>
        <w:t> </w:t>
      </w:r>
      <w:r>
        <w:rPr/>
        <w:t>finger</w:t>
      </w:r>
      <w:r>
        <w:rPr>
          <w:spacing w:val="-2"/>
        </w:rPr>
        <w:t> </w:t>
      </w:r>
      <w:r>
        <w:rPr/>
        <w:t>on</w:t>
      </w:r>
      <w:r>
        <w:rPr>
          <w:spacing w:val="-2"/>
        </w:rPr>
        <w:t> </w:t>
      </w:r>
      <w:r>
        <w:rPr/>
        <w:t>the</w:t>
      </w:r>
      <w:r>
        <w:rPr>
          <w:spacing w:val="-2"/>
        </w:rPr>
        <w:t> </w:t>
      </w:r>
      <w:r>
        <w:rPr/>
        <w:t>pulse</w:t>
      </w:r>
      <w:r>
        <w:rPr>
          <w:spacing w:val="-2"/>
        </w:rPr>
        <w:t> </w:t>
      </w:r>
      <w:r>
        <w:rPr/>
        <w:t>of</w:t>
      </w:r>
      <w:r>
        <w:rPr>
          <w:spacing w:val="-3"/>
        </w:rPr>
        <w:t> </w:t>
      </w:r>
      <w:r>
        <w:rPr/>
        <w:t>the</w:t>
      </w:r>
      <w:r>
        <w:rPr>
          <w:spacing w:val="-2"/>
        </w:rPr>
        <w:t> </w:t>
      </w:r>
      <w:r>
        <w:rPr/>
        <w:t>market’s</w:t>
      </w:r>
      <w:r>
        <w:rPr>
          <w:spacing w:val="-2"/>
        </w:rPr>
        <w:t> </w:t>
      </w:r>
      <w:r>
        <w:rPr/>
        <w:t>perception of fair value as it dynamically changes throughout the day.</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8" w:firstLine="432"/>
        <w:jc w:val="both"/>
      </w:pPr>
      <w:r>
        <w:rPr/>
        <w:t>What’s great about this indicator is that it allows you to see where the static point of control will be located in the upcoming session. Essentially,</w:t>
      </w:r>
      <w:r>
        <w:rPr>
          <w:spacing w:val="40"/>
        </w:rPr>
        <w:t> </w:t>
      </w:r>
      <w:r>
        <w:rPr/>
        <w:t>the level at which the DPOC closes the current session will become the static POC</w:t>
      </w:r>
      <w:r>
        <w:rPr>
          <w:spacing w:val="31"/>
        </w:rPr>
        <w:t> </w:t>
      </w:r>
      <w:r>
        <w:rPr/>
        <w:t>for</w:t>
      </w:r>
      <w:r>
        <w:rPr>
          <w:spacing w:val="31"/>
        </w:rPr>
        <w:t> </w:t>
      </w:r>
      <w:r>
        <w:rPr/>
        <w:t>the</w:t>
      </w:r>
      <w:r>
        <w:rPr>
          <w:spacing w:val="30"/>
        </w:rPr>
        <w:t> </w:t>
      </w:r>
      <w:r>
        <w:rPr/>
        <w:t>upcoming</w:t>
      </w:r>
      <w:r>
        <w:rPr>
          <w:spacing w:val="31"/>
        </w:rPr>
        <w:t> </w:t>
      </w:r>
      <w:r>
        <w:rPr/>
        <w:t>day.</w:t>
      </w:r>
      <w:r>
        <w:rPr>
          <w:spacing w:val="32"/>
        </w:rPr>
        <w:t> </w:t>
      </w:r>
      <w:r>
        <w:rPr/>
        <w:t>Take</w:t>
      </w:r>
      <w:r>
        <w:rPr>
          <w:spacing w:val="31"/>
        </w:rPr>
        <w:t> </w:t>
      </w:r>
      <w:r>
        <w:rPr/>
        <w:t>a</w:t>
      </w:r>
      <w:r>
        <w:rPr>
          <w:spacing w:val="31"/>
        </w:rPr>
        <w:t> </w:t>
      </w:r>
      <w:r>
        <w:rPr/>
        <w:t>look</w:t>
      </w:r>
      <w:r>
        <w:rPr>
          <w:spacing w:val="31"/>
        </w:rPr>
        <w:t> </w:t>
      </w:r>
      <w:r>
        <w:rPr/>
        <w:t>at</w:t>
      </w:r>
      <w:r>
        <w:rPr>
          <w:spacing w:val="32"/>
        </w:rPr>
        <w:t> </w:t>
      </w:r>
      <w:r>
        <w:rPr/>
        <w:t>Figure</w:t>
      </w:r>
      <w:r>
        <w:rPr>
          <w:spacing w:val="30"/>
        </w:rPr>
        <w:t> </w:t>
      </w:r>
      <w:r>
        <w:rPr/>
        <w:t>3.4,</w:t>
      </w:r>
      <w:r>
        <w:rPr>
          <w:spacing w:val="31"/>
        </w:rPr>
        <w:t> </w:t>
      </w:r>
      <w:r>
        <w:rPr/>
        <w:t>which</w:t>
      </w:r>
      <w:r>
        <w:rPr>
          <w:spacing w:val="30"/>
        </w:rPr>
        <w:t> </w:t>
      </w:r>
      <w:r>
        <w:rPr/>
        <w:t>is</w:t>
      </w:r>
      <w:r>
        <w:rPr>
          <w:spacing w:val="32"/>
        </w:rPr>
        <w:t> </w:t>
      </w:r>
      <w:r>
        <w:rPr/>
        <w:t>the</w:t>
      </w:r>
      <w:r>
        <w:rPr>
          <w:spacing w:val="31"/>
        </w:rPr>
        <w:t> </w:t>
      </w:r>
      <w:r>
        <w:rPr>
          <w:spacing w:val="-4"/>
        </w:rPr>
        <w:t>same</w:t>
      </w:r>
    </w:p>
    <w:p>
      <w:pPr>
        <w:spacing w:line="36" w:lineRule="exact" w:before="0"/>
        <w:ind w:left="0" w:right="1605" w:firstLine="0"/>
        <w:jc w:val="right"/>
        <w:rPr>
          <w:sz w:val="14"/>
        </w:rPr>
      </w:pPr>
      <w:r>
        <w:rPr>
          <w:spacing w:val="-5"/>
          <w:sz w:val="14"/>
        </w:rPr>
        <w:t>nd</w:t>
      </w:r>
    </w:p>
    <w:p>
      <w:pPr>
        <w:pStyle w:val="BodyText"/>
        <w:spacing w:line="218" w:lineRule="exact"/>
        <w:ind w:left="140"/>
      </w:pPr>
      <w:r>
        <w:rPr/>
        <w:t>chart</w:t>
      </w:r>
      <w:r>
        <w:rPr>
          <w:spacing w:val="40"/>
        </w:rPr>
        <w:t> </w:t>
      </w:r>
      <w:r>
        <w:rPr/>
        <w:t>of</w:t>
      </w:r>
      <w:r>
        <w:rPr>
          <w:spacing w:val="41"/>
        </w:rPr>
        <w:t> </w:t>
      </w:r>
      <w:r>
        <w:rPr/>
        <w:t>the</w:t>
      </w:r>
      <w:r>
        <w:rPr>
          <w:spacing w:val="40"/>
        </w:rPr>
        <w:t> </w:t>
      </w:r>
      <w:r>
        <w:rPr/>
        <w:t>YM</w:t>
      </w:r>
      <w:r>
        <w:rPr>
          <w:spacing w:val="41"/>
        </w:rPr>
        <w:t> </w:t>
      </w:r>
      <w:r>
        <w:rPr/>
        <w:t>we</w:t>
      </w:r>
      <w:r>
        <w:rPr>
          <w:spacing w:val="41"/>
        </w:rPr>
        <w:t> </w:t>
      </w:r>
      <w:r>
        <w:rPr/>
        <w:t>studied</w:t>
      </w:r>
      <w:r>
        <w:rPr>
          <w:spacing w:val="40"/>
        </w:rPr>
        <w:t> </w:t>
      </w:r>
      <w:r>
        <w:rPr/>
        <w:t>moments</w:t>
      </w:r>
      <w:r>
        <w:rPr>
          <w:spacing w:val="42"/>
        </w:rPr>
        <w:t> </w:t>
      </w:r>
      <w:r>
        <w:rPr/>
        <w:t>ago.</w:t>
      </w:r>
      <w:r>
        <w:rPr>
          <w:spacing w:val="41"/>
        </w:rPr>
        <w:t> </w:t>
      </w:r>
      <w:r>
        <w:rPr/>
        <w:t>On</w:t>
      </w:r>
      <w:r>
        <w:rPr>
          <w:spacing w:val="40"/>
        </w:rPr>
        <w:t> </w:t>
      </w:r>
      <w:r>
        <w:rPr/>
        <w:t>December</w:t>
      </w:r>
      <w:r>
        <w:rPr>
          <w:spacing w:val="40"/>
        </w:rPr>
        <w:t> </w:t>
      </w:r>
      <w:r>
        <w:rPr/>
        <w:t>2</w:t>
      </w:r>
      <w:r>
        <w:rPr>
          <w:spacing w:val="54"/>
          <w:w w:val="150"/>
        </w:rPr>
        <w:t> </w:t>
      </w:r>
      <w:r>
        <w:rPr/>
        <w:t>,</w:t>
      </w:r>
      <w:r>
        <w:rPr>
          <w:spacing w:val="41"/>
        </w:rPr>
        <w:t> </w:t>
      </w:r>
      <w:r>
        <w:rPr/>
        <w:t>the</w:t>
      </w:r>
      <w:r>
        <w:rPr>
          <w:spacing w:val="41"/>
        </w:rPr>
        <w:t> </w:t>
      </w:r>
      <w:r>
        <w:rPr>
          <w:spacing w:val="-4"/>
        </w:rPr>
        <w:t>DPOC</w:t>
      </w:r>
    </w:p>
    <w:p>
      <w:pPr>
        <w:pStyle w:val="BodyText"/>
        <w:ind w:left="140" w:right="496"/>
        <w:jc w:val="both"/>
      </w:pPr>
      <w:r>
        <w:rPr/>
        <w:t>actually began the day with a higher level of perceived value. However, as the day progressed, more and more trading activity occurred at lower price levels,</w:t>
      </w:r>
      <w:r>
        <w:rPr>
          <w:spacing w:val="44"/>
        </w:rPr>
        <w:t> </w:t>
      </w:r>
      <w:r>
        <w:rPr/>
        <w:t>which</w:t>
      </w:r>
      <w:r>
        <w:rPr>
          <w:spacing w:val="45"/>
        </w:rPr>
        <w:t> </w:t>
      </w:r>
      <w:r>
        <w:rPr/>
        <w:t>essentially</w:t>
      </w:r>
      <w:r>
        <w:rPr>
          <w:spacing w:val="44"/>
        </w:rPr>
        <w:t> </w:t>
      </w:r>
      <w:r>
        <w:rPr/>
        <w:t>shifted</w:t>
      </w:r>
      <w:r>
        <w:rPr>
          <w:spacing w:val="44"/>
        </w:rPr>
        <w:t> </w:t>
      </w:r>
      <w:r>
        <w:rPr/>
        <w:t>the</w:t>
      </w:r>
      <w:r>
        <w:rPr>
          <w:spacing w:val="44"/>
        </w:rPr>
        <w:t> </w:t>
      </w:r>
      <w:r>
        <w:rPr/>
        <w:t>DPOC</w:t>
      </w:r>
      <w:r>
        <w:rPr>
          <w:spacing w:val="44"/>
        </w:rPr>
        <w:t> </w:t>
      </w:r>
      <w:r>
        <w:rPr/>
        <w:t>lower.</w:t>
      </w:r>
      <w:r>
        <w:rPr>
          <w:spacing w:val="45"/>
        </w:rPr>
        <w:t> </w:t>
      </w:r>
      <w:r>
        <w:rPr/>
        <w:t>Eventually,</w:t>
      </w:r>
      <w:r>
        <w:rPr>
          <w:spacing w:val="43"/>
        </w:rPr>
        <w:t> </w:t>
      </w:r>
      <w:r>
        <w:rPr/>
        <w:t>the</w:t>
      </w:r>
      <w:r>
        <w:rPr>
          <w:spacing w:val="44"/>
        </w:rPr>
        <w:t> </w:t>
      </w:r>
      <w:r>
        <w:rPr>
          <w:spacing w:val="-4"/>
        </w:rPr>
        <w:t>DPOC</w:t>
      </w:r>
    </w:p>
    <w:p>
      <w:pPr>
        <w:spacing w:line="37" w:lineRule="exact" w:before="0"/>
        <w:ind w:left="1950" w:right="0" w:firstLine="0"/>
        <w:jc w:val="left"/>
        <w:rPr>
          <w:sz w:val="14"/>
        </w:rPr>
      </w:pPr>
      <w:r>
        <w:rPr>
          <w:spacing w:val="-5"/>
          <w:sz w:val="14"/>
        </w:rPr>
        <w:t>nd</w:t>
      </w:r>
    </w:p>
    <w:p>
      <w:pPr>
        <w:spacing w:after="0" w:line="37" w:lineRule="exact"/>
        <w:jc w:val="left"/>
        <w:rPr>
          <w:sz w:val="14"/>
        </w:rPr>
        <w:sectPr>
          <w:headerReference w:type="even" r:id="rId63"/>
          <w:headerReference w:type="default" r:id="rId64"/>
          <w:footerReference w:type="even" r:id="rId65"/>
          <w:footerReference w:type="default" r:id="rId66"/>
          <w:pgSz w:w="8640" w:h="12960"/>
          <w:pgMar w:header="579" w:footer="1060" w:top="760" w:bottom="1260" w:left="580" w:right="580"/>
          <w:pgNumType w:start="64"/>
        </w:sectPr>
      </w:pPr>
    </w:p>
    <w:p>
      <w:pPr>
        <w:pStyle w:val="BodyText"/>
        <w:spacing w:line="204" w:lineRule="exact"/>
        <w:ind w:left="140"/>
      </w:pPr>
      <w:r>
        <w:rPr/>
        <w:t>closed</w:t>
      </w:r>
      <w:r>
        <w:rPr>
          <w:spacing w:val="55"/>
        </w:rPr>
        <w:t> </w:t>
      </w:r>
      <w:r>
        <w:rPr/>
        <w:t>December</w:t>
      </w:r>
      <w:r>
        <w:rPr>
          <w:spacing w:val="55"/>
        </w:rPr>
        <w:t> </w:t>
      </w:r>
      <w:r>
        <w:rPr>
          <w:spacing w:val="-10"/>
        </w:rPr>
        <w:t>2</w:t>
      </w:r>
    </w:p>
    <w:p>
      <w:pPr>
        <w:spacing w:line="48" w:lineRule="exact" w:before="0"/>
        <w:ind w:left="1226" w:right="0" w:firstLine="0"/>
        <w:jc w:val="left"/>
        <w:rPr>
          <w:sz w:val="14"/>
        </w:rPr>
      </w:pPr>
      <w:r>
        <w:rPr>
          <w:spacing w:val="-5"/>
          <w:sz w:val="14"/>
        </w:rPr>
        <w:t>rd</w:t>
      </w:r>
    </w:p>
    <w:p>
      <w:pPr>
        <w:pStyle w:val="BodyText"/>
        <w:spacing w:line="217" w:lineRule="exact"/>
        <w:ind w:left="140"/>
      </w:pPr>
      <w:r>
        <w:rPr/>
        <w:br w:type="column"/>
      </w:r>
      <w:r>
        <w:rPr/>
        <w:t>at</w:t>
      </w:r>
      <w:r>
        <w:rPr>
          <w:spacing w:val="58"/>
        </w:rPr>
        <w:t> </w:t>
      </w:r>
      <w:r>
        <w:rPr/>
        <w:t>10,437,</w:t>
      </w:r>
      <w:r>
        <w:rPr>
          <w:spacing w:val="58"/>
        </w:rPr>
        <w:t> </w:t>
      </w:r>
      <w:r>
        <w:rPr/>
        <w:t>which</w:t>
      </w:r>
      <w:r>
        <w:rPr>
          <w:spacing w:val="58"/>
        </w:rPr>
        <w:t> </w:t>
      </w:r>
      <w:r>
        <w:rPr/>
        <w:t>then</w:t>
      </w:r>
      <w:r>
        <w:rPr>
          <w:spacing w:val="58"/>
        </w:rPr>
        <w:t> </w:t>
      </w:r>
      <w:r>
        <w:rPr/>
        <w:t>became</w:t>
      </w:r>
      <w:r>
        <w:rPr>
          <w:spacing w:val="57"/>
        </w:rPr>
        <w:t> </w:t>
      </w:r>
      <w:r>
        <w:rPr/>
        <w:t>the</w:t>
      </w:r>
      <w:r>
        <w:rPr>
          <w:spacing w:val="59"/>
        </w:rPr>
        <w:t> </w:t>
      </w:r>
      <w:r>
        <w:rPr/>
        <w:t>static</w:t>
      </w:r>
      <w:r>
        <w:rPr>
          <w:spacing w:val="58"/>
        </w:rPr>
        <w:t> </w:t>
      </w:r>
      <w:r>
        <w:rPr/>
        <w:t>POC</w:t>
      </w:r>
      <w:r>
        <w:rPr>
          <w:spacing w:val="59"/>
        </w:rPr>
        <w:t> </w:t>
      </w:r>
      <w:r>
        <w:rPr>
          <w:spacing w:val="-5"/>
        </w:rPr>
        <w:t>for</w:t>
      </w:r>
    </w:p>
    <w:p>
      <w:pPr>
        <w:spacing w:after="0" w:line="217" w:lineRule="exact"/>
        <w:sectPr>
          <w:type w:val="continuous"/>
          <w:pgSz w:w="8640" w:h="12960"/>
          <w:pgMar w:header="536" w:footer="985" w:top="1480" w:bottom="280" w:left="580" w:right="580"/>
          <w:cols w:num="2" w:equalWidth="0">
            <w:col w:w="1992" w:space="78"/>
            <w:col w:w="5410"/>
          </w:cols>
        </w:sectPr>
      </w:pPr>
    </w:p>
    <w:p>
      <w:pPr>
        <w:pStyle w:val="BodyText"/>
        <w:spacing w:line="217" w:lineRule="exact"/>
        <w:ind w:left="140"/>
      </w:pPr>
      <w:r>
        <w:rPr/>
        <w:t>December</w:t>
      </w:r>
      <w:r>
        <w:rPr>
          <w:spacing w:val="15"/>
        </w:rPr>
        <w:t> </w:t>
      </w:r>
      <w:r>
        <w:rPr/>
        <w:t>3</w:t>
      </w:r>
      <w:r>
        <w:rPr>
          <w:spacing w:val="57"/>
        </w:rPr>
        <w:t> </w:t>
      </w:r>
      <w:r>
        <w:rPr/>
        <w:t>.</w:t>
      </w:r>
      <w:r>
        <w:rPr>
          <w:spacing w:val="14"/>
        </w:rPr>
        <w:t> </w:t>
      </w:r>
      <w:r>
        <w:rPr/>
        <w:t>As</w:t>
      </w:r>
      <w:r>
        <w:rPr>
          <w:spacing w:val="16"/>
        </w:rPr>
        <w:t> </w:t>
      </w:r>
      <w:r>
        <w:rPr/>
        <w:t>you</w:t>
      </w:r>
      <w:r>
        <w:rPr>
          <w:spacing w:val="14"/>
        </w:rPr>
        <w:t> </w:t>
      </w:r>
      <w:r>
        <w:rPr/>
        <w:t>will</w:t>
      </w:r>
      <w:r>
        <w:rPr>
          <w:spacing w:val="15"/>
        </w:rPr>
        <w:t> </w:t>
      </w:r>
      <w:r>
        <w:rPr/>
        <w:t>soon</w:t>
      </w:r>
      <w:r>
        <w:rPr>
          <w:spacing w:val="15"/>
        </w:rPr>
        <w:t> </w:t>
      </w:r>
      <w:r>
        <w:rPr/>
        <w:t>see,</w:t>
      </w:r>
      <w:r>
        <w:rPr>
          <w:spacing w:val="16"/>
        </w:rPr>
        <w:t> </w:t>
      </w:r>
      <w:r>
        <w:rPr/>
        <w:t>this</w:t>
      </w:r>
      <w:r>
        <w:rPr>
          <w:spacing w:val="15"/>
        </w:rPr>
        <w:t> </w:t>
      </w:r>
      <w:r>
        <w:rPr/>
        <w:t>little</w:t>
      </w:r>
      <w:r>
        <w:rPr>
          <w:spacing w:val="15"/>
        </w:rPr>
        <w:t> </w:t>
      </w:r>
      <w:r>
        <w:rPr/>
        <w:t>trick</w:t>
      </w:r>
      <w:r>
        <w:rPr>
          <w:spacing w:val="16"/>
        </w:rPr>
        <w:t> </w:t>
      </w:r>
      <w:r>
        <w:rPr/>
        <w:t>will</w:t>
      </w:r>
      <w:r>
        <w:rPr>
          <w:spacing w:val="15"/>
        </w:rPr>
        <w:t> </w:t>
      </w:r>
      <w:r>
        <w:rPr/>
        <w:t>become</w:t>
      </w:r>
      <w:r>
        <w:rPr>
          <w:spacing w:val="16"/>
        </w:rPr>
        <w:t> </w:t>
      </w:r>
      <w:r>
        <w:rPr/>
        <w:t>an</w:t>
      </w:r>
      <w:r>
        <w:rPr>
          <w:spacing w:val="16"/>
        </w:rPr>
        <w:t> </w:t>
      </w:r>
      <w:r>
        <w:rPr>
          <w:spacing w:val="-2"/>
        </w:rPr>
        <w:t>integral</w:t>
      </w:r>
    </w:p>
    <w:p>
      <w:pPr>
        <w:pStyle w:val="BodyText"/>
        <w:ind w:left="139"/>
      </w:pPr>
      <w:r>
        <w:rPr/>
        <w:t>part</w:t>
      </w:r>
      <w:r>
        <w:rPr>
          <w:spacing w:val="-2"/>
        </w:rPr>
        <w:t> </w:t>
      </w:r>
      <w:r>
        <w:rPr/>
        <w:t>of</w:t>
      </w:r>
      <w:r>
        <w:rPr>
          <w:spacing w:val="-1"/>
        </w:rPr>
        <w:t> </w:t>
      </w:r>
      <w:r>
        <w:rPr/>
        <w:t>how</w:t>
      </w:r>
      <w:r>
        <w:rPr>
          <w:spacing w:val="-1"/>
        </w:rPr>
        <w:t> </w:t>
      </w:r>
      <w:r>
        <w:rPr/>
        <w:t>I</w:t>
      </w:r>
      <w:r>
        <w:rPr>
          <w:spacing w:val="-3"/>
        </w:rPr>
        <w:t> </w:t>
      </w:r>
      <w:r>
        <w:rPr/>
        <w:t>approach</w:t>
      </w:r>
      <w:r>
        <w:rPr>
          <w:spacing w:val="-1"/>
        </w:rPr>
        <w:t> </w:t>
      </w:r>
      <w:r>
        <w:rPr/>
        <w:t>the</w:t>
      </w:r>
      <w:r>
        <w:rPr>
          <w:spacing w:val="-3"/>
        </w:rPr>
        <w:t> </w:t>
      </w:r>
      <w:r>
        <w:rPr>
          <w:spacing w:val="-2"/>
        </w:rPr>
        <w:t>market.</w:t>
      </w:r>
    </w:p>
    <w:p>
      <w:pPr>
        <w:pStyle w:val="BodyText"/>
        <w:spacing w:before="2"/>
        <w:rPr>
          <w:sz w:val="20"/>
        </w:rPr>
      </w:pPr>
      <w:r>
        <w:rPr/>
        <w:drawing>
          <wp:anchor distT="0" distB="0" distL="0" distR="0" allowOverlap="1" layoutInCell="1" locked="0" behindDoc="0" simplePos="0" relativeHeight="50">
            <wp:simplePos x="0" y="0"/>
            <wp:positionH relativeFrom="page">
              <wp:posOffset>457200</wp:posOffset>
            </wp:positionH>
            <wp:positionV relativeFrom="paragraph">
              <wp:posOffset>162714</wp:posOffset>
            </wp:positionV>
            <wp:extent cx="4342904" cy="3103054"/>
            <wp:effectExtent l="0" t="0" r="0" b="0"/>
            <wp:wrapTopAndBottom/>
            <wp:docPr id="57" name="image30.png"/>
            <wp:cNvGraphicFramePr>
              <a:graphicFrameLocks noChangeAspect="1"/>
            </wp:cNvGraphicFramePr>
            <a:graphic>
              <a:graphicData uri="http://schemas.openxmlformats.org/drawingml/2006/picture">
                <pic:pic>
                  <pic:nvPicPr>
                    <pic:cNvPr id="58" name="image30.png"/>
                    <pic:cNvPicPr/>
                  </pic:nvPicPr>
                  <pic:blipFill>
                    <a:blip r:embed="rId67" cstate="print"/>
                    <a:stretch>
                      <a:fillRect/>
                    </a:stretch>
                  </pic:blipFill>
                  <pic:spPr>
                    <a:xfrm>
                      <a:off x="0" y="0"/>
                      <a:ext cx="4342904" cy="3103054"/>
                    </a:xfrm>
                    <a:prstGeom prst="rect">
                      <a:avLst/>
                    </a:prstGeom>
                  </pic:spPr>
                </pic:pic>
              </a:graphicData>
            </a:graphic>
          </wp:anchor>
        </w:drawing>
      </w:r>
    </w:p>
    <w:p>
      <w:pPr>
        <w:spacing w:before="0"/>
        <w:ind w:left="140" w:right="0" w:firstLine="0"/>
        <w:jc w:val="left"/>
        <w:rPr>
          <w:sz w:val="16"/>
        </w:rPr>
      </w:pPr>
      <w:r>
        <w:rPr>
          <w:sz w:val="16"/>
        </w:rPr>
        <w:t>FIGURE</w:t>
      </w:r>
      <w:r>
        <w:rPr>
          <w:spacing w:val="1"/>
          <w:sz w:val="16"/>
        </w:rPr>
        <w:t> </w:t>
      </w:r>
      <w:r>
        <w:rPr>
          <w:sz w:val="16"/>
        </w:rPr>
        <w:t>3.4:</w:t>
      </w:r>
      <w:r>
        <w:rPr>
          <w:spacing w:val="3"/>
          <w:sz w:val="16"/>
        </w:rPr>
        <w:t> </w:t>
      </w:r>
      <w:r>
        <w:rPr>
          <w:sz w:val="16"/>
        </w:rPr>
        <w:t>The</w:t>
      </w:r>
      <w:r>
        <w:rPr>
          <w:spacing w:val="3"/>
          <w:sz w:val="16"/>
        </w:rPr>
        <w:t> </w:t>
      </w:r>
      <w:r>
        <w:rPr>
          <w:sz w:val="16"/>
        </w:rPr>
        <w:t>developing</w:t>
      </w:r>
      <w:r>
        <w:rPr>
          <w:spacing w:val="2"/>
          <w:sz w:val="16"/>
        </w:rPr>
        <w:t> </w:t>
      </w:r>
      <w:r>
        <w:rPr>
          <w:sz w:val="16"/>
        </w:rPr>
        <w:t>point of</w:t>
      </w:r>
      <w:r>
        <w:rPr>
          <w:spacing w:val="2"/>
          <w:sz w:val="16"/>
        </w:rPr>
        <w:t> </w:t>
      </w:r>
      <w:r>
        <w:rPr>
          <w:sz w:val="16"/>
        </w:rPr>
        <w:t>control</w:t>
      </w:r>
      <w:r>
        <w:rPr>
          <w:spacing w:val="2"/>
          <w:sz w:val="16"/>
        </w:rPr>
        <w:t> </w:t>
      </w:r>
      <w:r>
        <w:rPr>
          <w:sz w:val="16"/>
        </w:rPr>
        <w:t>dynamically</w:t>
      </w:r>
      <w:r>
        <w:rPr>
          <w:spacing w:val="1"/>
          <w:sz w:val="16"/>
        </w:rPr>
        <w:t> </w:t>
      </w:r>
      <w:r>
        <w:rPr>
          <w:sz w:val="16"/>
        </w:rPr>
        <w:t>updates</w:t>
      </w:r>
      <w:r>
        <w:rPr>
          <w:spacing w:val="2"/>
          <w:sz w:val="16"/>
        </w:rPr>
        <w:t> </w:t>
      </w:r>
      <w:r>
        <w:rPr>
          <w:sz w:val="16"/>
        </w:rPr>
        <w:t>fair</w:t>
      </w:r>
      <w:r>
        <w:rPr>
          <w:spacing w:val="2"/>
          <w:sz w:val="16"/>
        </w:rPr>
        <w:t> </w:t>
      </w:r>
      <w:r>
        <w:rPr>
          <w:spacing w:val="-2"/>
          <w:sz w:val="16"/>
        </w:rPr>
        <w:t>value.</w:t>
      </w:r>
    </w:p>
    <w:p>
      <w:pPr>
        <w:pStyle w:val="BodyText"/>
        <w:spacing w:before="7"/>
        <w:rPr>
          <w:sz w:val="21"/>
        </w:rPr>
      </w:pPr>
    </w:p>
    <w:p>
      <w:pPr>
        <w:pStyle w:val="Heading3"/>
      </w:pPr>
      <w:r>
        <w:rPr/>
        <w:pict>
          <v:shape style="position:absolute;margin-left:36.779999pt;margin-top:18.290314pt;width:341pt;height:.1pt;mso-position-horizontal-relative:page;mso-position-vertical-relative:paragraph;z-index:-15702528;mso-wrap-distance-left:0;mso-wrap-distance-right:0" id="docshape255" coordorigin="736,366" coordsize="6820,0" path="m736,366l7555,366e" filled="false" stroked="true" strokeweight=".75pt" strokecolor="#000000">
            <v:path arrowok="t"/>
            <v:stroke dashstyle="solid"/>
            <w10:wrap type="topAndBottom"/>
          </v:shape>
        </w:pict>
      </w:r>
      <w:bookmarkStart w:name="_TOC_250068" w:id="23"/>
      <w:r>
        <w:rPr>
          <w:smallCaps/>
        </w:rPr>
        <w:t>The</w:t>
      </w:r>
      <w:r>
        <w:rPr>
          <w:smallCaps/>
          <w:spacing w:val="-6"/>
        </w:rPr>
        <w:t> </w:t>
      </w:r>
      <w:r>
        <w:rPr>
          <w:smallCaps/>
        </w:rPr>
        <w:t>Value</w:t>
      </w:r>
      <w:r>
        <w:rPr>
          <w:smallCaps/>
          <w:spacing w:val="-6"/>
        </w:rPr>
        <w:t> </w:t>
      </w:r>
      <w:bookmarkEnd w:id="23"/>
      <w:r>
        <w:rPr>
          <w:smallCaps/>
          <w:spacing w:val="-4"/>
        </w:rPr>
        <w:t>Area</w:t>
      </w:r>
    </w:p>
    <w:p>
      <w:pPr>
        <w:pStyle w:val="BodyText"/>
        <w:spacing w:before="202"/>
        <w:ind w:left="139" w:right="496" w:firstLine="432"/>
        <w:jc w:val="both"/>
      </w:pPr>
      <w:r>
        <w:rPr/>
        <w:t>When price moves away from the point of control, market participants will enter the market when they perceive price to be over or undervalued. Technically, responsive buying and initiative selling occur below value,</w:t>
      </w:r>
      <w:r>
        <w:rPr>
          <w:spacing w:val="40"/>
        </w:rPr>
        <w:t> </w:t>
      </w:r>
      <w:r>
        <w:rPr/>
        <w:t>while responsive selling and initiative buying occur above value. The value area helps to determine when price is above or below value. Remember, the value</w:t>
      </w:r>
      <w:r>
        <w:rPr>
          <w:spacing w:val="26"/>
        </w:rPr>
        <w:t> </w:t>
      </w:r>
      <w:r>
        <w:rPr/>
        <w:t>area</w:t>
      </w:r>
      <w:r>
        <w:rPr>
          <w:spacing w:val="26"/>
        </w:rPr>
        <w:t> </w:t>
      </w:r>
      <w:r>
        <w:rPr/>
        <w:t>is</w:t>
      </w:r>
      <w:r>
        <w:rPr>
          <w:spacing w:val="28"/>
        </w:rPr>
        <w:t> </w:t>
      </w:r>
      <w:r>
        <w:rPr/>
        <w:t>where</w:t>
      </w:r>
      <w:r>
        <w:rPr>
          <w:spacing w:val="27"/>
        </w:rPr>
        <w:t> </w:t>
      </w:r>
      <w:r>
        <w:rPr/>
        <w:t>70</w:t>
      </w:r>
      <w:r>
        <w:rPr>
          <w:spacing w:val="26"/>
        </w:rPr>
        <w:t> </w:t>
      </w:r>
      <w:r>
        <w:rPr/>
        <w:t>percent</w:t>
      </w:r>
      <w:r>
        <w:rPr>
          <w:spacing w:val="26"/>
        </w:rPr>
        <w:t> </w:t>
      </w:r>
      <w:r>
        <w:rPr/>
        <w:t>of</w:t>
      </w:r>
      <w:r>
        <w:rPr>
          <w:spacing w:val="26"/>
        </w:rPr>
        <w:t> </w:t>
      </w:r>
      <w:r>
        <w:rPr/>
        <w:t>the</w:t>
      </w:r>
      <w:r>
        <w:rPr>
          <w:spacing w:val="26"/>
        </w:rPr>
        <w:t> </w:t>
      </w:r>
      <w:r>
        <w:rPr/>
        <w:t>trading</w:t>
      </w:r>
      <w:r>
        <w:rPr>
          <w:spacing w:val="26"/>
        </w:rPr>
        <w:t> </w:t>
      </w:r>
      <w:r>
        <w:rPr/>
        <w:t>activity</w:t>
      </w:r>
      <w:r>
        <w:rPr>
          <w:spacing w:val="26"/>
        </w:rPr>
        <w:t> </w:t>
      </w:r>
      <w:r>
        <w:rPr/>
        <w:t>occurred</w:t>
      </w:r>
      <w:r>
        <w:rPr>
          <w:spacing w:val="26"/>
        </w:rPr>
        <w:t> </w:t>
      </w:r>
      <w:r>
        <w:rPr/>
        <w:t>for</w:t>
      </w:r>
      <w:r>
        <w:rPr>
          <w:spacing w:val="26"/>
        </w:rPr>
        <w:t> </w:t>
      </w:r>
      <w:r>
        <w:rPr/>
        <w:t>a</w:t>
      </w:r>
      <w:r>
        <w:rPr>
          <w:spacing w:val="26"/>
        </w:rPr>
        <w:t> </w:t>
      </w:r>
      <w:r>
        <w:rPr/>
        <w:t>given</w:t>
      </w:r>
    </w:p>
    <w:p>
      <w:pPr>
        <w:spacing w:after="0"/>
        <w:jc w:val="both"/>
        <w:sectPr>
          <w:type w:val="continuous"/>
          <w:pgSz w:w="8640" w:h="12960"/>
          <w:pgMar w:header="536" w:footer="985" w:top="1480" w:bottom="280" w:left="580" w:right="580"/>
        </w:sectPr>
      </w:pPr>
    </w:p>
    <w:p>
      <w:pPr>
        <w:pStyle w:val="BodyText"/>
        <w:spacing w:before="3"/>
      </w:pPr>
    </w:p>
    <w:p>
      <w:pPr>
        <w:pStyle w:val="BodyText"/>
        <w:spacing w:before="64"/>
        <w:ind w:left="500" w:right="136"/>
        <w:jc w:val="both"/>
      </w:pPr>
      <w:r>
        <w:rPr/>
        <w:t>period of time. Therefore, most of the day’s trading activity occurred within this</w:t>
      </w:r>
      <w:r>
        <w:rPr>
          <w:spacing w:val="-1"/>
        </w:rPr>
        <w:t> </w:t>
      </w:r>
      <w:r>
        <w:rPr/>
        <w:t>range,</w:t>
      </w:r>
      <w:r>
        <w:rPr>
          <w:spacing w:val="-1"/>
        </w:rPr>
        <w:t> </w:t>
      </w:r>
      <w:r>
        <w:rPr/>
        <w:t>thereby</w:t>
      </w:r>
      <w:r>
        <w:rPr>
          <w:spacing w:val="-1"/>
        </w:rPr>
        <w:t> </w:t>
      </w:r>
      <w:r>
        <w:rPr/>
        <w:t>establishing</w:t>
      </w:r>
      <w:r>
        <w:rPr>
          <w:spacing w:val="-1"/>
        </w:rPr>
        <w:t> </w:t>
      </w:r>
      <w:r>
        <w:rPr/>
        <w:t>this</w:t>
      </w:r>
      <w:r>
        <w:rPr>
          <w:spacing w:val="-1"/>
        </w:rPr>
        <w:t> </w:t>
      </w:r>
      <w:r>
        <w:rPr/>
        <w:t>area</w:t>
      </w:r>
      <w:r>
        <w:rPr>
          <w:spacing w:val="-1"/>
        </w:rPr>
        <w:t> </w:t>
      </w:r>
      <w:r>
        <w:rPr/>
        <w:t>as a</w:t>
      </w:r>
      <w:r>
        <w:rPr>
          <w:spacing w:val="-1"/>
        </w:rPr>
        <w:t> </w:t>
      </w:r>
      <w:r>
        <w:rPr/>
        <w:t>zone</w:t>
      </w:r>
      <w:r>
        <w:rPr>
          <w:spacing w:val="-1"/>
        </w:rPr>
        <w:t> </w:t>
      </w:r>
      <w:r>
        <w:rPr/>
        <w:t>that</w:t>
      </w:r>
      <w:r>
        <w:rPr>
          <w:spacing w:val="-1"/>
        </w:rPr>
        <w:t> </w:t>
      </w:r>
      <w:r>
        <w:rPr/>
        <w:t>easily</w:t>
      </w:r>
      <w:r>
        <w:rPr>
          <w:spacing w:val="-1"/>
        </w:rPr>
        <w:t> </w:t>
      </w:r>
      <w:r>
        <w:rPr/>
        <w:t>facilitates</w:t>
      </w:r>
      <w:r>
        <w:rPr>
          <w:spacing w:val="-1"/>
        </w:rPr>
        <w:t> </w:t>
      </w:r>
      <w:r>
        <w:rPr/>
        <w:t>trade. Any movement outside of this range will trigger the actions of responsive</w:t>
      </w:r>
      <w:r>
        <w:rPr>
          <w:spacing w:val="40"/>
        </w:rPr>
        <w:t> </w:t>
      </w:r>
      <w:r>
        <w:rPr/>
        <w:t>and initiative participants.</w:t>
      </w:r>
    </w:p>
    <w:p>
      <w:pPr>
        <w:pStyle w:val="BodyText"/>
        <w:ind w:left="500" w:right="136" w:firstLine="432"/>
        <w:jc w:val="both"/>
      </w:pPr>
      <w:r>
        <w:rPr/>
        <w:t>The outer limits of the value area are actually quite important, as they basically draw the battle lines between buyers and sellers. The upper boundary of the value area (VAH) is where responsive sellers and initiative buyers hang out. These groups of market participants will look to begin putting money to work as price moves above this zone. On the flip side, the bottom of the value area (VAL) is where responsive buyers and initiative sellers will look to put money to work.</w:t>
      </w:r>
    </w:p>
    <w:p>
      <w:pPr>
        <w:pStyle w:val="BodyText"/>
        <w:ind w:left="500" w:right="135" w:firstLine="432"/>
        <w:jc w:val="both"/>
      </w:pPr>
      <w:r>
        <w:rPr/>
        <w:t>Take a look at Figure 3.5, which is the same chart of the YM that we have been dissecting. The Money Zone plots the value area for December 3 using the information derived from the prior day’s trading activity.</w:t>
      </w:r>
      <w:r>
        <w:rPr>
          <w:spacing w:val="40"/>
        </w:rPr>
        <w:t> </w:t>
      </w:r>
      <w:r>
        <w:rPr/>
        <w:t>Therefore, the current day’s value area is where 70 percent of the trading activity occurred in the prior session, thereby establishing this area as a zone that easily facilitates trade. As soon as price moves above or below the value area, key market participants will enter the market.</w:t>
      </w:r>
    </w:p>
    <w:p>
      <w:pPr>
        <w:pStyle w:val="BodyText"/>
        <w:spacing w:before="2"/>
        <w:rPr>
          <w:sz w:val="20"/>
        </w:rPr>
      </w:pPr>
      <w:r>
        <w:rPr/>
        <w:drawing>
          <wp:anchor distT="0" distB="0" distL="0" distR="0" allowOverlap="1" layoutInCell="1" locked="0" behindDoc="0" simplePos="0" relativeHeight="52">
            <wp:simplePos x="0" y="0"/>
            <wp:positionH relativeFrom="page">
              <wp:posOffset>685800</wp:posOffset>
            </wp:positionH>
            <wp:positionV relativeFrom="paragraph">
              <wp:posOffset>162874</wp:posOffset>
            </wp:positionV>
            <wp:extent cx="4342904" cy="3103054"/>
            <wp:effectExtent l="0" t="0" r="0" b="0"/>
            <wp:wrapTopAndBottom/>
            <wp:docPr id="59" name="image31.png"/>
            <wp:cNvGraphicFramePr>
              <a:graphicFrameLocks noChangeAspect="1"/>
            </wp:cNvGraphicFramePr>
            <a:graphic>
              <a:graphicData uri="http://schemas.openxmlformats.org/drawingml/2006/picture">
                <pic:pic>
                  <pic:nvPicPr>
                    <pic:cNvPr id="60" name="image31.png"/>
                    <pic:cNvPicPr/>
                  </pic:nvPicPr>
                  <pic:blipFill>
                    <a:blip r:embed="rId68"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 3.5:</w:t>
      </w:r>
      <w:r>
        <w:rPr>
          <w:spacing w:val="2"/>
          <w:sz w:val="16"/>
        </w:rPr>
        <w:t> </w:t>
      </w:r>
      <w:r>
        <w:rPr>
          <w:sz w:val="16"/>
        </w:rPr>
        <w:t>The</w:t>
      </w:r>
      <w:r>
        <w:rPr>
          <w:spacing w:val="1"/>
          <w:sz w:val="16"/>
        </w:rPr>
        <w:t> </w:t>
      </w:r>
      <w:r>
        <w:rPr>
          <w:sz w:val="16"/>
        </w:rPr>
        <w:t>value</w:t>
      </w:r>
      <w:r>
        <w:rPr>
          <w:spacing w:val="1"/>
          <w:sz w:val="16"/>
        </w:rPr>
        <w:t> </w:t>
      </w:r>
      <w:r>
        <w:rPr>
          <w:sz w:val="16"/>
        </w:rPr>
        <w:t>area</w:t>
      </w:r>
      <w:r>
        <w:rPr>
          <w:spacing w:val="1"/>
          <w:sz w:val="16"/>
        </w:rPr>
        <w:t> </w:t>
      </w:r>
      <w:r>
        <w:rPr>
          <w:sz w:val="16"/>
        </w:rPr>
        <w:t>shows</w:t>
      </w:r>
      <w:r>
        <w:rPr>
          <w:spacing w:val="1"/>
          <w:sz w:val="16"/>
        </w:rPr>
        <w:t> </w:t>
      </w:r>
      <w:r>
        <w:rPr>
          <w:sz w:val="16"/>
        </w:rPr>
        <w:t>where 70%</w:t>
      </w:r>
      <w:r>
        <w:rPr>
          <w:spacing w:val="1"/>
          <w:sz w:val="16"/>
        </w:rPr>
        <w:t> </w:t>
      </w:r>
      <w:r>
        <w:rPr>
          <w:sz w:val="16"/>
        </w:rPr>
        <w:t>of the prior</w:t>
      </w:r>
      <w:r>
        <w:rPr>
          <w:spacing w:val="1"/>
          <w:sz w:val="16"/>
        </w:rPr>
        <w:t> </w:t>
      </w:r>
      <w:r>
        <w:rPr>
          <w:sz w:val="16"/>
        </w:rPr>
        <w:t>day’s</w:t>
      </w:r>
      <w:r>
        <w:rPr>
          <w:spacing w:val="1"/>
          <w:sz w:val="16"/>
        </w:rPr>
        <w:t> </w:t>
      </w:r>
      <w:r>
        <w:rPr>
          <w:sz w:val="16"/>
        </w:rPr>
        <w:t>trading</w:t>
      </w:r>
      <w:r>
        <w:rPr>
          <w:spacing w:val="1"/>
          <w:sz w:val="16"/>
        </w:rPr>
        <w:t> </w:t>
      </w:r>
      <w:r>
        <w:rPr>
          <w:spacing w:val="-2"/>
          <w:sz w:val="16"/>
        </w:rPr>
        <w:t>occurred.</w:t>
      </w:r>
    </w:p>
    <w:p>
      <w:pPr>
        <w:pStyle w:val="BodyText"/>
        <w:spacing w:before="8"/>
        <w:rPr>
          <w:sz w:val="21"/>
        </w:rPr>
      </w:pPr>
    </w:p>
    <w:p>
      <w:pPr>
        <w:pStyle w:val="BodyText"/>
        <w:ind w:right="137"/>
        <w:jc w:val="right"/>
      </w:pPr>
      <w:r>
        <w:rPr/>
        <w:t>On</w:t>
      </w:r>
      <w:r>
        <w:rPr>
          <w:spacing w:val="72"/>
        </w:rPr>
        <w:t> </w:t>
      </w:r>
      <w:r>
        <w:rPr/>
        <w:t>this</w:t>
      </w:r>
      <w:r>
        <w:rPr>
          <w:spacing w:val="73"/>
        </w:rPr>
        <w:t> </w:t>
      </w:r>
      <w:r>
        <w:rPr/>
        <w:t>day,</w:t>
      </w:r>
      <w:r>
        <w:rPr>
          <w:spacing w:val="72"/>
        </w:rPr>
        <w:t> </w:t>
      </w:r>
      <w:r>
        <w:rPr/>
        <w:t>we</w:t>
      </w:r>
      <w:r>
        <w:rPr>
          <w:spacing w:val="73"/>
        </w:rPr>
        <w:t> </w:t>
      </w:r>
      <w:r>
        <w:rPr/>
        <w:t>were</w:t>
      </w:r>
      <w:r>
        <w:rPr>
          <w:spacing w:val="73"/>
        </w:rPr>
        <w:t> </w:t>
      </w:r>
      <w:r>
        <w:rPr/>
        <w:t>easily</w:t>
      </w:r>
      <w:r>
        <w:rPr>
          <w:spacing w:val="73"/>
        </w:rPr>
        <w:t> </w:t>
      </w:r>
      <w:r>
        <w:rPr/>
        <w:t>able</w:t>
      </w:r>
      <w:r>
        <w:rPr>
          <w:spacing w:val="73"/>
        </w:rPr>
        <w:t> </w:t>
      </w:r>
      <w:r>
        <w:rPr/>
        <w:t>to</w:t>
      </w:r>
      <w:r>
        <w:rPr>
          <w:spacing w:val="72"/>
        </w:rPr>
        <w:t> </w:t>
      </w:r>
      <w:r>
        <w:rPr/>
        <w:t>identify</w:t>
      </w:r>
      <w:r>
        <w:rPr>
          <w:spacing w:val="72"/>
        </w:rPr>
        <w:t> </w:t>
      </w:r>
      <w:r>
        <w:rPr/>
        <w:t>the</w:t>
      </w:r>
      <w:r>
        <w:rPr>
          <w:spacing w:val="72"/>
        </w:rPr>
        <w:t> </w:t>
      </w:r>
      <w:r>
        <w:rPr/>
        <w:t>actions</w:t>
      </w:r>
      <w:r>
        <w:rPr>
          <w:spacing w:val="73"/>
        </w:rPr>
        <w:t> </w:t>
      </w:r>
      <w:r>
        <w:rPr/>
        <w:t>of</w:t>
      </w:r>
      <w:r>
        <w:rPr>
          <w:spacing w:val="72"/>
        </w:rPr>
        <w:t> </w:t>
      </w:r>
      <w:r>
        <w:rPr>
          <w:spacing w:val="-4"/>
        </w:rPr>
        <w:t>both</w:t>
      </w:r>
    </w:p>
    <w:p>
      <w:pPr>
        <w:pStyle w:val="BodyText"/>
        <w:ind w:right="139"/>
        <w:jc w:val="right"/>
      </w:pPr>
      <w:r>
        <w:rPr>
          <w:spacing w:val="-26"/>
          <w:u w:val="single"/>
        </w:rPr>
        <w:t> </w:t>
      </w:r>
      <w:r>
        <w:rPr>
          <w:u w:val="single"/>
        </w:rPr>
        <w:t>responsive</w:t>
      </w:r>
      <w:r>
        <w:rPr>
          <w:spacing w:val="1"/>
          <w:u w:val="single"/>
        </w:rPr>
        <w:t> </w:t>
      </w:r>
      <w:r>
        <w:rPr>
          <w:u w:val="single"/>
        </w:rPr>
        <w:t>and</w:t>
      </w:r>
      <w:r>
        <w:rPr>
          <w:spacing w:val="3"/>
          <w:u w:val="single"/>
        </w:rPr>
        <w:t> </w:t>
      </w:r>
      <w:r>
        <w:rPr>
          <w:u w:val="single"/>
        </w:rPr>
        <w:t>initiative</w:t>
      </w:r>
      <w:r>
        <w:rPr>
          <w:spacing w:val="4"/>
          <w:u w:val="single"/>
        </w:rPr>
        <w:t> </w:t>
      </w:r>
      <w:r>
        <w:rPr>
          <w:u w:val="single"/>
        </w:rPr>
        <w:t>participants.</w:t>
      </w:r>
      <w:r>
        <w:rPr>
          <w:spacing w:val="3"/>
          <w:u w:val="single"/>
        </w:rPr>
        <w:t> </w:t>
      </w:r>
      <w:r>
        <w:rPr>
          <w:u w:val="single"/>
        </w:rPr>
        <w:t>Early</w:t>
      </w:r>
      <w:r>
        <w:rPr>
          <w:spacing w:val="4"/>
          <w:u w:val="single"/>
        </w:rPr>
        <w:t> </w:t>
      </w:r>
      <w:r>
        <w:rPr>
          <w:u w:val="single"/>
        </w:rPr>
        <w:t>in</w:t>
      </w:r>
      <w:r>
        <w:rPr>
          <w:spacing w:val="4"/>
          <w:u w:val="single"/>
        </w:rPr>
        <w:t> </w:t>
      </w:r>
      <w:r>
        <w:rPr>
          <w:u w:val="single"/>
        </w:rPr>
        <w:t>the</w:t>
      </w:r>
      <w:r>
        <w:rPr>
          <w:spacing w:val="3"/>
          <w:u w:val="single"/>
        </w:rPr>
        <w:t> </w:t>
      </w:r>
      <w:r>
        <w:rPr>
          <w:u w:val="single"/>
        </w:rPr>
        <w:t>session,</w:t>
      </w:r>
      <w:r>
        <w:rPr>
          <w:spacing w:val="4"/>
          <w:u w:val="single"/>
        </w:rPr>
        <w:t> </w:t>
      </w:r>
      <w:r>
        <w:rPr>
          <w:u w:val="single"/>
        </w:rPr>
        <w:t>price</w:t>
      </w:r>
      <w:r>
        <w:rPr>
          <w:spacing w:val="3"/>
          <w:u w:val="single"/>
        </w:rPr>
        <w:t> </w:t>
      </w:r>
      <w:r>
        <w:rPr>
          <w:u w:val="single"/>
        </w:rPr>
        <w:t>rallied</w:t>
      </w:r>
      <w:r>
        <w:rPr>
          <w:spacing w:val="4"/>
          <w:u w:val="single"/>
        </w:rPr>
        <w:t> </w:t>
      </w:r>
      <w:r>
        <w:rPr>
          <w:spacing w:val="-4"/>
          <w:u w:val="single"/>
        </w:rPr>
        <w:t>away</w:t>
      </w:r>
    </w:p>
    <w:p>
      <w:pPr>
        <w:spacing w:after="0"/>
        <w:jc w:val="right"/>
        <w:sectPr>
          <w:pgSz w:w="8640" w:h="12960"/>
          <w:pgMar w:header="536" w:footer="985" w:top="720" w:bottom="1180" w:left="580" w:right="580"/>
        </w:sectPr>
      </w:pPr>
    </w:p>
    <w:p>
      <w:pPr>
        <w:pStyle w:val="BodyText"/>
        <w:spacing w:before="5"/>
        <w:rPr>
          <w:sz w:val="18"/>
        </w:rPr>
      </w:pPr>
    </w:p>
    <w:p>
      <w:pPr>
        <w:pStyle w:val="BodyText"/>
        <w:spacing w:before="64"/>
        <w:ind w:left="140" w:right="495"/>
        <w:jc w:val="both"/>
      </w:pPr>
      <w:r>
        <w:rPr/>
        <w:t>from the day’s point of control (10,437) and through the top of the value</w:t>
      </w:r>
      <w:r>
        <w:rPr>
          <w:spacing w:val="40"/>
        </w:rPr>
        <w:t> </w:t>
      </w:r>
      <w:r>
        <w:rPr/>
        <w:t>area.</w:t>
      </w:r>
      <w:r>
        <w:rPr>
          <w:spacing w:val="-1"/>
        </w:rPr>
        <w:t> </w:t>
      </w:r>
      <w:r>
        <w:rPr/>
        <w:t>When</w:t>
      </w:r>
      <w:r>
        <w:rPr>
          <w:spacing w:val="-1"/>
        </w:rPr>
        <w:t> </w:t>
      </w:r>
      <w:r>
        <w:rPr/>
        <w:t>this</w:t>
      </w:r>
      <w:r>
        <w:rPr>
          <w:spacing w:val="-1"/>
        </w:rPr>
        <w:t> </w:t>
      </w:r>
      <w:r>
        <w:rPr/>
        <w:t>occurs,</w:t>
      </w:r>
      <w:r>
        <w:rPr>
          <w:spacing w:val="-1"/>
        </w:rPr>
        <w:t> </w:t>
      </w:r>
      <w:r>
        <w:rPr/>
        <w:t>one</w:t>
      </w:r>
      <w:r>
        <w:rPr>
          <w:spacing w:val="-1"/>
        </w:rPr>
        <w:t> </w:t>
      </w:r>
      <w:r>
        <w:rPr/>
        <w:t>of</w:t>
      </w:r>
      <w:r>
        <w:rPr>
          <w:spacing w:val="-1"/>
        </w:rPr>
        <w:t> </w:t>
      </w:r>
      <w:r>
        <w:rPr/>
        <w:t>two</w:t>
      </w:r>
      <w:r>
        <w:rPr>
          <w:spacing w:val="-1"/>
        </w:rPr>
        <w:t> </w:t>
      </w:r>
      <w:r>
        <w:rPr/>
        <w:t>things</w:t>
      </w:r>
      <w:r>
        <w:rPr>
          <w:spacing w:val="-1"/>
        </w:rPr>
        <w:t> </w:t>
      </w:r>
      <w:r>
        <w:rPr/>
        <w:t>will</w:t>
      </w:r>
      <w:r>
        <w:rPr>
          <w:spacing w:val="-1"/>
        </w:rPr>
        <w:t> </w:t>
      </w:r>
      <w:r>
        <w:rPr/>
        <w:t>happen:</w:t>
      </w:r>
      <w:r>
        <w:rPr>
          <w:spacing w:val="-1"/>
        </w:rPr>
        <w:t> </w:t>
      </w:r>
      <w:r>
        <w:rPr/>
        <w:t>responsive</w:t>
      </w:r>
      <w:r>
        <w:rPr>
          <w:spacing w:val="-1"/>
        </w:rPr>
        <w:t> </w:t>
      </w:r>
      <w:r>
        <w:rPr/>
        <w:t>sellers will push price back toward fair value, or initiative buyers will step in and advance price toward a higher area of value. In this case, responsive sellers took over and easily pushed price back toward fair value. Later that morning, price fell through the bottom of the value area, which was a call to action for responsive buyers. However, it was initiative sellers that controlled the close after price testing the waters below the VAL for a second time.</w:t>
      </w:r>
    </w:p>
    <w:p>
      <w:pPr>
        <w:pStyle w:val="BodyText"/>
        <w:spacing w:before="1"/>
        <w:ind w:left="140" w:right="496" w:firstLine="432"/>
        <w:jc w:val="both"/>
      </w:pPr>
      <w:r>
        <w:rPr/>
        <w:t>As you continue to make your way through the material it is important</w:t>
      </w:r>
      <w:r>
        <w:rPr>
          <w:spacing w:val="40"/>
        </w:rPr>
        <w:t> </w:t>
      </w:r>
      <w:r>
        <w:rPr/>
        <w:t>to continue to connect the dots regarding responsive and initiative actions</w:t>
      </w:r>
      <w:r>
        <w:rPr>
          <w:spacing w:val="40"/>
        </w:rPr>
        <w:t> </w:t>
      </w:r>
      <w:r>
        <w:rPr/>
        <w:t>and the price levels at which these participants are looking to make a move.</w:t>
      </w:r>
      <w:r>
        <w:rPr>
          <w:spacing w:val="40"/>
        </w:rPr>
        <w:t> </w:t>
      </w:r>
      <w:r>
        <w:rPr/>
        <w:t>If</w:t>
      </w:r>
      <w:r>
        <w:rPr>
          <w:spacing w:val="-1"/>
        </w:rPr>
        <w:t> </w:t>
      </w:r>
      <w:r>
        <w:rPr/>
        <w:t>price</w:t>
      </w:r>
      <w:r>
        <w:rPr>
          <w:spacing w:val="-1"/>
        </w:rPr>
        <w:t> </w:t>
      </w:r>
      <w:r>
        <w:rPr/>
        <w:t>rallies</w:t>
      </w:r>
      <w:r>
        <w:rPr>
          <w:spacing w:val="-1"/>
        </w:rPr>
        <w:t> </w:t>
      </w:r>
      <w:r>
        <w:rPr/>
        <w:t>early</w:t>
      </w:r>
      <w:r>
        <w:rPr>
          <w:spacing w:val="-1"/>
        </w:rPr>
        <w:t> </w:t>
      </w:r>
      <w:r>
        <w:rPr/>
        <w:t>in</w:t>
      </w:r>
      <w:r>
        <w:rPr>
          <w:spacing w:val="-1"/>
        </w:rPr>
        <w:t> </w:t>
      </w:r>
      <w:r>
        <w:rPr/>
        <w:t>the</w:t>
      </w:r>
      <w:r>
        <w:rPr>
          <w:spacing w:val="-1"/>
        </w:rPr>
        <w:t> </w:t>
      </w:r>
      <w:r>
        <w:rPr/>
        <w:t>session</w:t>
      </w:r>
      <w:r>
        <w:rPr>
          <w:spacing w:val="-1"/>
        </w:rPr>
        <w:t> </w:t>
      </w:r>
      <w:r>
        <w:rPr/>
        <w:t>and</w:t>
      </w:r>
      <w:r>
        <w:rPr>
          <w:spacing w:val="-1"/>
        </w:rPr>
        <w:t> </w:t>
      </w:r>
      <w:r>
        <w:rPr/>
        <w:t>begins</w:t>
      </w:r>
      <w:r>
        <w:rPr>
          <w:spacing w:val="-1"/>
        </w:rPr>
        <w:t> </w:t>
      </w:r>
      <w:r>
        <w:rPr/>
        <w:t>to</w:t>
      </w:r>
      <w:r>
        <w:rPr>
          <w:spacing w:val="-1"/>
        </w:rPr>
        <w:t> </w:t>
      </w:r>
      <w:r>
        <w:rPr/>
        <w:t>show</w:t>
      </w:r>
      <w:r>
        <w:rPr>
          <w:spacing w:val="-1"/>
        </w:rPr>
        <w:t> </w:t>
      </w:r>
      <w:r>
        <w:rPr/>
        <w:t>signs</w:t>
      </w:r>
      <w:r>
        <w:rPr>
          <w:spacing w:val="-1"/>
        </w:rPr>
        <w:t> </w:t>
      </w:r>
      <w:r>
        <w:rPr/>
        <w:t>of</w:t>
      </w:r>
      <w:r>
        <w:rPr>
          <w:spacing w:val="-1"/>
        </w:rPr>
        <w:t> </w:t>
      </w:r>
      <w:r>
        <w:rPr/>
        <w:t>weakness</w:t>
      </w:r>
      <w:r>
        <w:rPr>
          <w:spacing w:val="-1"/>
        </w:rPr>
        <w:t> </w:t>
      </w:r>
      <w:r>
        <w:rPr/>
        <w:t>at</w:t>
      </w:r>
      <w:r>
        <w:rPr>
          <w:spacing w:val="-1"/>
        </w:rPr>
        <w:t> </w:t>
      </w:r>
      <w:r>
        <w:rPr/>
        <w:t>or above the VAH, the market is likely to see a surge of responsive selling pressure. Knowing this vital information, along with the actions of other market participants, will allow you to better time your moves in the market.</w:t>
      </w:r>
    </w:p>
    <w:p>
      <w:pPr>
        <w:pStyle w:val="BodyText"/>
        <w:spacing w:before="10"/>
        <w:rPr>
          <w:sz w:val="21"/>
        </w:rPr>
      </w:pPr>
    </w:p>
    <w:p>
      <w:pPr>
        <w:pStyle w:val="Heading3"/>
        <w:jc w:val="both"/>
      </w:pPr>
      <w:r>
        <w:rPr/>
        <w:pict>
          <v:shape style="position:absolute;margin-left:36.779999pt;margin-top:18.290300pt;width:341pt;height:.1pt;mso-position-horizontal-relative:page;mso-position-vertical-relative:paragraph;z-index:-15701504;mso-wrap-distance-left:0;mso-wrap-distance-right:0" id="docshape256" coordorigin="736,366" coordsize="6820,0" path="m736,366l7555,366e" filled="false" stroked="true" strokeweight=".75pt" strokecolor="#000000">
            <v:path arrowok="t"/>
            <v:stroke dashstyle="solid"/>
            <w10:wrap type="topAndBottom"/>
          </v:shape>
        </w:pict>
      </w:r>
      <w:bookmarkStart w:name="_TOC_250067" w:id="24"/>
      <w:r>
        <w:rPr>
          <w:smallCaps/>
        </w:rPr>
        <w:t>The</w:t>
      </w:r>
      <w:r>
        <w:rPr>
          <w:smallCaps/>
          <w:spacing w:val="-10"/>
        </w:rPr>
        <w:t> </w:t>
      </w:r>
      <w:r>
        <w:rPr>
          <w:smallCaps/>
        </w:rPr>
        <w:t>Developing</w:t>
      </w:r>
      <w:r>
        <w:rPr>
          <w:smallCaps/>
          <w:spacing w:val="-9"/>
        </w:rPr>
        <w:t> </w:t>
      </w:r>
      <w:r>
        <w:rPr>
          <w:smallCaps/>
        </w:rPr>
        <w:t>Value</w:t>
      </w:r>
      <w:r>
        <w:rPr>
          <w:smallCaps/>
          <w:spacing w:val="-9"/>
        </w:rPr>
        <w:t> </w:t>
      </w:r>
      <w:bookmarkEnd w:id="24"/>
      <w:r>
        <w:rPr>
          <w:smallCaps/>
          <w:spacing w:val="-4"/>
        </w:rPr>
        <w:t>Area</w:t>
      </w:r>
    </w:p>
    <w:p>
      <w:pPr>
        <w:pStyle w:val="BodyText"/>
        <w:spacing w:before="202"/>
        <w:ind w:left="140" w:right="494" w:firstLine="432"/>
        <w:jc w:val="both"/>
      </w:pPr>
      <w:r>
        <w:rPr/>
        <w:t>Like the developing point of control, the Money Zone also plots the developing value area as it dynamically updates in real time. The </w:t>
      </w:r>
      <w:r>
        <w:rPr>
          <w:i/>
        </w:rPr>
        <w:t>Developing</w:t>
      </w:r>
      <w:r>
        <w:rPr>
          <w:i/>
        </w:rPr>
        <w:t> Value Area (DVA) </w:t>
      </w:r>
      <w:r>
        <w:rPr/>
        <w:t>calculates where 70 percent of the day’s trading activity has occurred in real time, bar by bar. This process is identical to the way the Market Profile calculates its value area throughout the day as the bell-curved structure develops. Essentially, the developing value area allows you to see where the bulk of the day’s trading activity is taking place as it happens.</w:t>
      </w:r>
    </w:p>
    <w:p>
      <w:pPr>
        <w:pStyle w:val="BodyText"/>
        <w:ind w:left="140" w:right="495" w:firstLine="432"/>
        <w:jc w:val="right"/>
      </w:pPr>
      <w:r>
        <w:rPr/>
        <w:t>Take a look at Figure 3.6, which illustrates the developing value area on the</w:t>
      </w:r>
      <w:r>
        <w:rPr>
          <w:spacing w:val="24"/>
        </w:rPr>
        <w:t> </w:t>
      </w:r>
      <w:r>
        <w:rPr/>
        <w:t>same</w:t>
      </w:r>
      <w:r>
        <w:rPr>
          <w:spacing w:val="24"/>
        </w:rPr>
        <w:t> </w:t>
      </w:r>
      <w:r>
        <w:rPr/>
        <w:t>two-day</w:t>
      </w:r>
      <w:r>
        <w:rPr>
          <w:spacing w:val="23"/>
        </w:rPr>
        <w:t> </w:t>
      </w:r>
      <w:r>
        <w:rPr/>
        <w:t>view</w:t>
      </w:r>
      <w:r>
        <w:rPr>
          <w:spacing w:val="24"/>
        </w:rPr>
        <w:t> </w:t>
      </w:r>
      <w:r>
        <w:rPr/>
        <w:t>of</w:t>
      </w:r>
      <w:r>
        <w:rPr>
          <w:spacing w:val="23"/>
        </w:rPr>
        <w:t> </w:t>
      </w:r>
      <w:r>
        <w:rPr/>
        <w:t>the</w:t>
      </w:r>
      <w:r>
        <w:rPr>
          <w:spacing w:val="24"/>
        </w:rPr>
        <w:t> </w:t>
      </w:r>
      <w:r>
        <w:rPr/>
        <w:t>YM.</w:t>
      </w:r>
      <w:r>
        <w:rPr>
          <w:spacing w:val="24"/>
        </w:rPr>
        <w:t> </w:t>
      </w:r>
      <w:r>
        <w:rPr/>
        <w:t>As</w:t>
      </w:r>
      <w:r>
        <w:rPr>
          <w:spacing w:val="24"/>
        </w:rPr>
        <w:t> </w:t>
      </w:r>
      <w:r>
        <w:rPr/>
        <w:t>soon</w:t>
      </w:r>
      <w:r>
        <w:rPr>
          <w:spacing w:val="24"/>
        </w:rPr>
        <w:t> </w:t>
      </w:r>
      <w:r>
        <w:rPr/>
        <w:t>as</w:t>
      </w:r>
      <w:r>
        <w:rPr>
          <w:spacing w:val="24"/>
        </w:rPr>
        <w:t> </w:t>
      </w:r>
      <w:r>
        <w:rPr/>
        <w:t>the</w:t>
      </w:r>
      <w:r>
        <w:rPr>
          <w:spacing w:val="23"/>
        </w:rPr>
        <w:t> </w:t>
      </w:r>
      <w:r>
        <w:rPr/>
        <w:t>first</w:t>
      </w:r>
      <w:r>
        <w:rPr>
          <w:spacing w:val="24"/>
        </w:rPr>
        <w:t> </w:t>
      </w:r>
      <w:r>
        <w:rPr/>
        <w:t>bar</w:t>
      </w:r>
      <w:r>
        <w:rPr>
          <w:spacing w:val="24"/>
        </w:rPr>
        <w:t> </w:t>
      </w:r>
      <w:r>
        <w:rPr/>
        <w:t>of</w:t>
      </w:r>
      <w:r>
        <w:rPr>
          <w:spacing w:val="24"/>
        </w:rPr>
        <w:t> </w:t>
      </w:r>
      <w:r>
        <w:rPr/>
        <w:t>the</w:t>
      </w:r>
      <w:r>
        <w:rPr>
          <w:spacing w:val="24"/>
        </w:rPr>
        <w:t> </w:t>
      </w:r>
      <w:r>
        <w:rPr/>
        <w:t>day</w:t>
      </w:r>
      <w:r>
        <w:rPr>
          <w:spacing w:val="24"/>
        </w:rPr>
        <w:t> </w:t>
      </w:r>
      <w:r>
        <w:rPr/>
        <w:t>has completed, the developing value area will begin to calculate. The DVA will dynamically update as the day progresses, widening and tightening along the way as price</w:t>
      </w:r>
      <w:r>
        <w:rPr>
          <w:spacing w:val="27"/>
        </w:rPr>
        <w:t> </w:t>
      </w:r>
      <w:r>
        <w:rPr/>
        <w:t>behavior expands and contracts. When the</w:t>
      </w:r>
      <w:r>
        <w:rPr>
          <w:spacing w:val="27"/>
        </w:rPr>
        <w:t> </w:t>
      </w:r>
      <w:r>
        <w:rPr/>
        <w:t>market</w:t>
      </w:r>
      <w:r>
        <w:rPr>
          <w:spacing w:val="27"/>
        </w:rPr>
        <w:t> </w:t>
      </w:r>
      <w:r>
        <w:rPr/>
        <w:t>closes, the</w:t>
      </w:r>
      <w:r>
        <w:rPr>
          <w:spacing w:val="40"/>
        </w:rPr>
        <w:t> </w:t>
      </w:r>
      <w:r>
        <w:rPr/>
        <w:t>final values of the </w:t>
      </w:r>
      <w:r>
        <w:rPr>
          <w:i/>
        </w:rPr>
        <w:t>Developing Value Area High (DVAH) </w:t>
      </w:r>
      <w:r>
        <w:rPr/>
        <w:t>and the </w:t>
      </w:r>
      <w:r>
        <w:rPr>
          <w:i/>
        </w:rPr>
        <w:t>Developing</w:t>
      </w:r>
      <w:r>
        <w:rPr>
          <w:i/>
        </w:rPr>
        <w:t> Value Area Low (DVAL) </w:t>
      </w:r>
      <w:r>
        <w:rPr/>
        <w:t>will then become the static VAH and VAL for the next session. Once trading begins the next day, the DVA will pick up where</w:t>
      </w:r>
      <w:r>
        <w:rPr>
          <w:spacing w:val="40"/>
        </w:rPr>
        <w:t> </w:t>
      </w:r>
      <w:r>
        <w:rPr/>
        <w:t>it</w:t>
      </w:r>
      <w:r>
        <w:rPr>
          <w:spacing w:val="-1"/>
        </w:rPr>
        <w:t> </w:t>
      </w:r>
      <w:r>
        <w:rPr/>
        <w:t>left</w:t>
      </w:r>
      <w:r>
        <w:rPr>
          <w:spacing w:val="-1"/>
        </w:rPr>
        <w:t> </w:t>
      </w:r>
      <w:r>
        <w:rPr/>
        <w:t>off</w:t>
      </w:r>
      <w:r>
        <w:rPr>
          <w:spacing w:val="-1"/>
        </w:rPr>
        <w:t> </w:t>
      </w:r>
      <w:r>
        <w:rPr/>
        <w:t>and</w:t>
      </w:r>
      <w:r>
        <w:rPr>
          <w:spacing w:val="-3"/>
        </w:rPr>
        <w:t> </w:t>
      </w:r>
      <w:r>
        <w:rPr/>
        <w:t>will</w:t>
      </w:r>
      <w:r>
        <w:rPr>
          <w:spacing w:val="-2"/>
        </w:rPr>
        <w:t> </w:t>
      </w:r>
      <w:r>
        <w:rPr/>
        <w:t>begin</w:t>
      </w:r>
      <w:r>
        <w:rPr>
          <w:spacing w:val="-1"/>
        </w:rPr>
        <w:t> </w:t>
      </w:r>
      <w:r>
        <w:rPr/>
        <w:t>to</w:t>
      </w:r>
      <w:r>
        <w:rPr>
          <w:spacing w:val="-3"/>
        </w:rPr>
        <w:t> </w:t>
      </w:r>
      <w:r>
        <w:rPr/>
        <w:t>update</w:t>
      </w:r>
      <w:r>
        <w:rPr>
          <w:spacing w:val="-1"/>
        </w:rPr>
        <w:t> </w:t>
      </w:r>
      <w:r>
        <w:rPr/>
        <w:t>dynamically</w:t>
      </w:r>
      <w:r>
        <w:rPr>
          <w:spacing w:val="-1"/>
        </w:rPr>
        <w:t> </w:t>
      </w:r>
      <w:r>
        <w:rPr/>
        <w:t>as</w:t>
      </w:r>
      <w:r>
        <w:rPr>
          <w:spacing w:val="-1"/>
        </w:rPr>
        <w:t> </w:t>
      </w:r>
      <w:r>
        <w:rPr/>
        <w:t>new</w:t>
      </w:r>
      <w:r>
        <w:rPr>
          <w:spacing w:val="-1"/>
        </w:rPr>
        <w:t> </w:t>
      </w:r>
      <w:r>
        <w:rPr/>
        <w:t>data</w:t>
      </w:r>
      <w:r>
        <w:rPr>
          <w:spacing w:val="-1"/>
        </w:rPr>
        <w:t> </w:t>
      </w:r>
      <w:r>
        <w:rPr/>
        <w:t>enters the</w:t>
      </w:r>
      <w:r>
        <w:rPr>
          <w:spacing w:val="-1"/>
        </w:rPr>
        <w:t> </w:t>
      </w:r>
      <w:r>
        <w:rPr/>
        <w:t>market. The</w:t>
      </w:r>
      <w:r>
        <w:rPr>
          <w:spacing w:val="16"/>
        </w:rPr>
        <w:t> </w:t>
      </w:r>
      <w:r>
        <w:rPr/>
        <w:t>DVA</w:t>
      </w:r>
      <w:r>
        <w:rPr>
          <w:spacing w:val="17"/>
        </w:rPr>
        <w:t> </w:t>
      </w:r>
      <w:r>
        <w:rPr/>
        <w:t>can</w:t>
      </w:r>
      <w:r>
        <w:rPr>
          <w:spacing w:val="16"/>
        </w:rPr>
        <w:t> </w:t>
      </w:r>
      <w:r>
        <w:rPr/>
        <w:t>be</w:t>
      </w:r>
      <w:r>
        <w:rPr>
          <w:spacing w:val="16"/>
        </w:rPr>
        <w:t> </w:t>
      </w:r>
      <w:r>
        <w:rPr/>
        <w:t>a</w:t>
      </w:r>
      <w:r>
        <w:rPr>
          <w:spacing w:val="16"/>
        </w:rPr>
        <w:t> </w:t>
      </w:r>
      <w:r>
        <w:rPr/>
        <w:t>very</w:t>
      </w:r>
      <w:r>
        <w:rPr>
          <w:spacing w:val="16"/>
        </w:rPr>
        <w:t> </w:t>
      </w:r>
      <w:r>
        <w:rPr/>
        <w:t>powerful</w:t>
      </w:r>
      <w:r>
        <w:rPr>
          <w:spacing w:val="15"/>
        </w:rPr>
        <w:t> </w:t>
      </w:r>
      <w:r>
        <w:rPr/>
        <w:t>tool</w:t>
      </w:r>
      <w:r>
        <w:rPr>
          <w:spacing w:val="16"/>
        </w:rPr>
        <w:t> </w:t>
      </w:r>
      <w:r>
        <w:rPr/>
        <w:t>to</w:t>
      </w:r>
      <w:r>
        <w:rPr>
          <w:spacing w:val="16"/>
        </w:rPr>
        <w:t> </w:t>
      </w:r>
      <w:r>
        <w:rPr/>
        <w:t>help</w:t>
      </w:r>
      <w:r>
        <w:rPr>
          <w:spacing w:val="13"/>
        </w:rPr>
        <w:t> </w:t>
      </w:r>
      <w:r>
        <w:rPr/>
        <w:t>you</w:t>
      </w:r>
      <w:r>
        <w:rPr>
          <w:spacing w:val="15"/>
        </w:rPr>
        <w:t> </w:t>
      </w:r>
      <w:r>
        <w:rPr/>
        <w:t>distinguish</w:t>
      </w:r>
      <w:r>
        <w:rPr>
          <w:spacing w:val="15"/>
        </w:rPr>
        <w:t> </w:t>
      </w:r>
      <w:r>
        <w:rPr/>
        <w:t>where</w:t>
      </w:r>
      <w:r>
        <w:rPr>
          <w:spacing w:val="15"/>
        </w:rPr>
        <w:t> </w:t>
      </w:r>
      <w:r>
        <w:rPr/>
        <w:t>the</w:t>
      </w:r>
      <w:r>
        <w:rPr/>
        <w:t> bulk</w:t>
      </w:r>
      <w:r>
        <w:rPr>
          <w:spacing w:val="40"/>
        </w:rPr>
        <w:t> </w:t>
      </w:r>
      <w:r>
        <w:rPr/>
        <w:t>of</w:t>
      </w:r>
      <w:r>
        <w:rPr>
          <w:spacing w:val="40"/>
        </w:rPr>
        <w:t> </w:t>
      </w:r>
      <w:r>
        <w:rPr/>
        <w:t>the</w:t>
      </w:r>
      <w:r>
        <w:rPr>
          <w:spacing w:val="40"/>
        </w:rPr>
        <w:t> </w:t>
      </w:r>
      <w:r>
        <w:rPr/>
        <w:t>money</w:t>
      </w:r>
      <w:r>
        <w:rPr>
          <w:spacing w:val="40"/>
        </w:rPr>
        <w:t> </w:t>
      </w:r>
      <w:r>
        <w:rPr/>
        <w:t>is</w:t>
      </w:r>
      <w:r>
        <w:rPr>
          <w:spacing w:val="40"/>
        </w:rPr>
        <w:t> </w:t>
      </w:r>
      <w:r>
        <w:rPr/>
        <w:t>changing</w:t>
      </w:r>
      <w:r>
        <w:rPr>
          <w:spacing w:val="40"/>
        </w:rPr>
        <w:t> </w:t>
      </w:r>
      <w:r>
        <w:rPr/>
        <w:t>hands</w:t>
      </w:r>
      <w:r>
        <w:rPr>
          <w:spacing w:val="40"/>
        </w:rPr>
        <w:t> </w:t>
      </w:r>
      <w:r>
        <w:rPr/>
        <w:t>and</w:t>
      </w:r>
      <w:r>
        <w:rPr>
          <w:spacing w:val="40"/>
        </w:rPr>
        <w:t> </w:t>
      </w:r>
      <w:r>
        <w:rPr/>
        <w:t>when</w:t>
      </w:r>
      <w:r>
        <w:rPr>
          <w:spacing w:val="40"/>
        </w:rPr>
        <w:t> </w:t>
      </w:r>
      <w:r>
        <w:rPr/>
        <w:t>price</w:t>
      </w:r>
      <w:r>
        <w:rPr>
          <w:spacing w:val="40"/>
        </w:rPr>
        <w:t> </w:t>
      </w:r>
      <w:r>
        <w:rPr/>
        <w:t>may</w:t>
      </w:r>
      <w:r>
        <w:rPr>
          <w:spacing w:val="40"/>
        </w:rPr>
        <w:t> </w:t>
      </w:r>
      <w:r>
        <w:rPr/>
        <w:t>be</w:t>
      </w:r>
      <w:r>
        <w:rPr>
          <w:spacing w:val="40"/>
        </w:rPr>
        <w:t> </w:t>
      </w:r>
      <w:r>
        <w:rPr/>
        <w:t>ripe</w:t>
      </w:r>
      <w:r>
        <w:rPr>
          <w:spacing w:val="40"/>
        </w:rPr>
        <w:t> </w:t>
      </w:r>
      <w:r>
        <w:rPr/>
        <w:t>for</w:t>
      </w:r>
      <w:r>
        <w:rPr>
          <w:spacing w:val="40"/>
        </w:rPr>
        <w:t> </w:t>
      </w:r>
      <w:r>
        <w:rPr/>
        <w:t>a breakout</w:t>
      </w:r>
      <w:r>
        <w:rPr>
          <w:spacing w:val="31"/>
        </w:rPr>
        <w:t> </w:t>
      </w:r>
      <w:r>
        <w:rPr/>
        <w:t>opportunity.</w:t>
      </w:r>
      <w:r>
        <w:rPr>
          <w:spacing w:val="31"/>
        </w:rPr>
        <w:t> </w:t>
      </w:r>
      <w:r>
        <w:rPr/>
        <w:t>As</w:t>
      </w:r>
      <w:r>
        <w:rPr>
          <w:spacing w:val="31"/>
        </w:rPr>
        <w:t> </w:t>
      </w:r>
      <w:r>
        <w:rPr/>
        <w:t>price</w:t>
      </w:r>
      <w:r>
        <w:rPr>
          <w:spacing w:val="33"/>
        </w:rPr>
        <w:t> </w:t>
      </w:r>
      <w:r>
        <w:rPr/>
        <w:t>moves</w:t>
      </w:r>
      <w:r>
        <w:rPr>
          <w:spacing w:val="33"/>
        </w:rPr>
        <w:t> </w:t>
      </w:r>
      <w:r>
        <w:rPr/>
        <w:t>above</w:t>
      </w:r>
      <w:r>
        <w:rPr>
          <w:spacing w:val="31"/>
        </w:rPr>
        <w:t> </w:t>
      </w:r>
      <w:r>
        <w:rPr/>
        <w:t>and</w:t>
      </w:r>
      <w:r>
        <w:rPr>
          <w:spacing w:val="31"/>
        </w:rPr>
        <w:t> </w:t>
      </w:r>
      <w:r>
        <w:rPr/>
        <w:t>below</w:t>
      </w:r>
      <w:r>
        <w:rPr>
          <w:spacing w:val="31"/>
        </w:rPr>
        <w:t> </w:t>
      </w:r>
      <w:r>
        <w:rPr/>
        <w:t>the</w:t>
      </w:r>
      <w:r>
        <w:rPr>
          <w:spacing w:val="31"/>
        </w:rPr>
        <w:t> </w:t>
      </w:r>
      <w:r>
        <w:rPr/>
        <w:t>DVA’s</w:t>
      </w:r>
      <w:r>
        <w:rPr>
          <w:spacing w:val="31"/>
        </w:rPr>
        <w:t> </w:t>
      </w:r>
      <w:r>
        <w:rPr/>
        <w:t>range, you will see responsive parties enter the market in order to push price back toward fair value. However, the longer the DVA remains in the same general vicinity,</w:t>
      </w:r>
      <w:r>
        <w:rPr>
          <w:spacing w:val="24"/>
        </w:rPr>
        <w:t> </w:t>
      </w:r>
      <w:r>
        <w:rPr/>
        <w:t>and</w:t>
      </w:r>
      <w:r>
        <w:rPr>
          <w:spacing w:val="24"/>
        </w:rPr>
        <w:t> </w:t>
      </w:r>
      <w:r>
        <w:rPr/>
        <w:t>the</w:t>
      </w:r>
      <w:r>
        <w:rPr>
          <w:spacing w:val="24"/>
        </w:rPr>
        <w:t> </w:t>
      </w:r>
      <w:r>
        <w:rPr/>
        <w:t>tighter</w:t>
      </w:r>
      <w:r>
        <w:rPr>
          <w:spacing w:val="24"/>
        </w:rPr>
        <w:t> </w:t>
      </w:r>
      <w:r>
        <w:rPr/>
        <w:t>the</w:t>
      </w:r>
      <w:r>
        <w:rPr>
          <w:spacing w:val="25"/>
        </w:rPr>
        <w:t> </w:t>
      </w:r>
      <w:r>
        <w:rPr/>
        <w:t>range</w:t>
      </w:r>
      <w:r>
        <w:rPr>
          <w:spacing w:val="24"/>
        </w:rPr>
        <w:t> </w:t>
      </w:r>
      <w:r>
        <w:rPr/>
        <w:t>becomes,</w:t>
      </w:r>
      <w:r>
        <w:rPr>
          <w:spacing w:val="25"/>
        </w:rPr>
        <w:t> </w:t>
      </w:r>
      <w:r>
        <w:rPr/>
        <w:t>thereby</w:t>
      </w:r>
      <w:r>
        <w:rPr>
          <w:spacing w:val="23"/>
        </w:rPr>
        <w:t> </w:t>
      </w:r>
      <w:r>
        <w:rPr/>
        <w:t>introducing</w:t>
      </w:r>
      <w:r>
        <w:rPr>
          <w:spacing w:val="24"/>
        </w:rPr>
        <w:t> </w:t>
      </w:r>
      <w:r>
        <w:rPr/>
        <w:t>a</w:t>
      </w:r>
      <w:r>
        <w:rPr>
          <w:spacing w:val="24"/>
        </w:rPr>
        <w:t> </w:t>
      </w:r>
      <w:r>
        <w:rPr>
          <w:spacing w:val="-2"/>
        </w:rPr>
        <w:t>breakout</w:t>
      </w:r>
    </w:p>
    <w:p>
      <w:pPr>
        <w:pStyle w:val="BodyText"/>
        <w:spacing w:line="253" w:lineRule="exact"/>
        <w:ind w:left="140"/>
        <w:jc w:val="both"/>
      </w:pPr>
      <w:r>
        <w:rPr/>
        <w:t>opportunity</w:t>
      </w:r>
      <w:r>
        <w:rPr>
          <w:spacing w:val="-7"/>
        </w:rPr>
        <w:t> </w:t>
      </w:r>
      <w:r>
        <w:rPr/>
        <w:t>that</w:t>
      </w:r>
      <w:r>
        <w:rPr>
          <w:spacing w:val="-4"/>
        </w:rPr>
        <w:t> </w:t>
      </w:r>
      <w:r>
        <w:rPr/>
        <w:t>is</w:t>
      </w:r>
      <w:r>
        <w:rPr>
          <w:spacing w:val="-4"/>
        </w:rPr>
        <w:t> </w:t>
      </w:r>
      <w:r>
        <w:rPr/>
        <w:t>fueled</w:t>
      </w:r>
      <w:r>
        <w:rPr>
          <w:spacing w:val="-5"/>
        </w:rPr>
        <w:t> </w:t>
      </w:r>
      <w:r>
        <w:rPr/>
        <w:t>by</w:t>
      </w:r>
      <w:r>
        <w:rPr>
          <w:spacing w:val="-5"/>
        </w:rPr>
        <w:t> </w:t>
      </w:r>
      <w:r>
        <w:rPr/>
        <w:t>initiative</w:t>
      </w:r>
      <w:r>
        <w:rPr>
          <w:spacing w:val="-4"/>
        </w:rPr>
        <w:t> </w:t>
      </w:r>
      <w:r>
        <w:rPr>
          <w:spacing w:val="-2"/>
        </w:rPr>
        <w:t>parties.</w:t>
      </w:r>
    </w:p>
    <w:p>
      <w:pPr>
        <w:spacing w:after="0" w:line="253" w:lineRule="exact"/>
        <w:jc w:val="both"/>
        <w:sectPr>
          <w:pgSz w:w="8640" w:h="12960"/>
          <w:pgMar w:header="579" w:footer="1060" w:top="760" w:bottom="1260" w:left="580" w:right="580"/>
        </w:sectPr>
      </w:pPr>
    </w:p>
    <w:p>
      <w:pPr>
        <w:pStyle w:val="BodyText"/>
        <w:spacing w:before="3"/>
      </w:pPr>
    </w:p>
    <w:p>
      <w:pPr>
        <w:pStyle w:val="BodyText"/>
        <w:spacing w:before="64"/>
        <w:ind w:left="500" w:right="135" w:firstLine="432"/>
        <w:jc w:val="both"/>
      </w:pPr>
      <w:r>
        <w:rPr/>
        <w:t>Perhaps the biggest advantage that a developing indicator gives you is the ability to plan your trading for the following session, which we will explore in various forms throughout the book. The fact that this indicator allows you to visualize exactly where the VAL and the VAH will be located in the following day allows you to analyze important price-to-pivot relationships</w:t>
      </w:r>
      <w:r>
        <w:rPr>
          <w:spacing w:val="-4"/>
        </w:rPr>
        <w:t> </w:t>
      </w:r>
      <w:r>
        <w:rPr/>
        <w:t>and</w:t>
      </w:r>
      <w:r>
        <w:rPr>
          <w:spacing w:val="-3"/>
        </w:rPr>
        <w:t> </w:t>
      </w:r>
      <w:r>
        <w:rPr/>
        <w:t>plan</w:t>
      </w:r>
      <w:r>
        <w:rPr>
          <w:spacing w:val="-5"/>
        </w:rPr>
        <w:t> </w:t>
      </w:r>
      <w:r>
        <w:rPr/>
        <w:t>your</w:t>
      </w:r>
      <w:r>
        <w:rPr>
          <w:spacing w:val="-3"/>
        </w:rPr>
        <w:t> </w:t>
      </w:r>
      <w:r>
        <w:rPr/>
        <w:t>trading</w:t>
      </w:r>
      <w:r>
        <w:rPr>
          <w:spacing w:val="-3"/>
        </w:rPr>
        <w:t> </w:t>
      </w:r>
      <w:r>
        <w:rPr/>
        <w:t>accordingly.</w:t>
      </w:r>
      <w:r>
        <w:rPr>
          <w:spacing w:val="-4"/>
        </w:rPr>
        <w:t> </w:t>
      </w:r>
      <w:r>
        <w:rPr/>
        <w:t>This</w:t>
      </w:r>
      <w:r>
        <w:rPr>
          <w:spacing w:val="-5"/>
        </w:rPr>
        <w:t> </w:t>
      </w:r>
      <w:r>
        <w:rPr/>
        <w:t>will</w:t>
      </w:r>
      <w:r>
        <w:rPr>
          <w:spacing w:val="-4"/>
        </w:rPr>
        <w:t> </w:t>
      </w:r>
      <w:r>
        <w:rPr/>
        <w:t>be</w:t>
      </w:r>
      <w:r>
        <w:rPr>
          <w:spacing w:val="-3"/>
        </w:rPr>
        <w:t> </w:t>
      </w:r>
      <w:r>
        <w:rPr/>
        <w:t>a</w:t>
      </w:r>
      <w:r>
        <w:rPr>
          <w:spacing w:val="-3"/>
        </w:rPr>
        <w:t> </w:t>
      </w:r>
      <w:r>
        <w:rPr/>
        <w:t>vital</w:t>
      </w:r>
      <w:r>
        <w:rPr>
          <w:spacing w:val="-2"/>
        </w:rPr>
        <w:t> </w:t>
      </w:r>
      <w:r>
        <w:rPr/>
        <w:t>theme</w:t>
      </w:r>
      <w:r>
        <w:rPr>
          <w:spacing w:val="-3"/>
        </w:rPr>
        <w:t> </w:t>
      </w:r>
      <w:r>
        <w:rPr/>
        <w:t>the remainder of the text.</w:t>
      </w:r>
    </w:p>
    <w:p>
      <w:pPr>
        <w:pStyle w:val="BodyText"/>
        <w:spacing w:before="2"/>
        <w:rPr>
          <w:sz w:val="20"/>
        </w:rPr>
      </w:pPr>
      <w:r>
        <w:rPr/>
        <w:drawing>
          <wp:anchor distT="0" distB="0" distL="0" distR="0" allowOverlap="1" layoutInCell="1" locked="0" behindDoc="0" simplePos="0" relativeHeight="54">
            <wp:simplePos x="0" y="0"/>
            <wp:positionH relativeFrom="page">
              <wp:posOffset>685800</wp:posOffset>
            </wp:positionH>
            <wp:positionV relativeFrom="paragraph">
              <wp:posOffset>162851</wp:posOffset>
            </wp:positionV>
            <wp:extent cx="4342904" cy="3103054"/>
            <wp:effectExtent l="0" t="0" r="0" b="0"/>
            <wp:wrapTopAndBottom/>
            <wp:docPr id="61" name="image32.png"/>
            <wp:cNvGraphicFramePr>
              <a:graphicFrameLocks noChangeAspect="1"/>
            </wp:cNvGraphicFramePr>
            <a:graphic>
              <a:graphicData uri="http://schemas.openxmlformats.org/drawingml/2006/picture">
                <pic:pic>
                  <pic:nvPicPr>
                    <pic:cNvPr id="62" name="image32.png"/>
                    <pic:cNvPicPr/>
                  </pic:nvPicPr>
                  <pic:blipFill>
                    <a:blip r:embed="rId73" cstate="print"/>
                    <a:stretch>
                      <a:fillRect/>
                    </a:stretch>
                  </pic:blipFill>
                  <pic:spPr>
                    <a:xfrm>
                      <a:off x="0" y="0"/>
                      <a:ext cx="4342904" cy="3103054"/>
                    </a:xfrm>
                    <a:prstGeom prst="rect">
                      <a:avLst/>
                    </a:prstGeom>
                  </pic:spPr>
                </pic:pic>
              </a:graphicData>
            </a:graphic>
          </wp:anchor>
        </w:drawing>
      </w:r>
    </w:p>
    <w:p>
      <w:pPr>
        <w:spacing w:before="0"/>
        <w:ind w:left="500" w:right="0" w:firstLine="0"/>
        <w:jc w:val="left"/>
        <w:rPr>
          <w:sz w:val="16"/>
        </w:rPr>
      </w:pPr>
      <w:r>
        <w:rPr>
          <w:sz w:val="16"/>
        </w:rPr>
        <w:t>FIGURE 3.6:</w:t>
      </w:r>
      <w:r>
        <w:rPr>
          <w:spacing w:val="1"/>
          <w:sz w:val="16"/>
        </w:rPr>
        <w:t> </w:t>
      </w:r>
      <w:r>
        <w:rPr>
          <w:sz w:val="16"/>
        </w:rPr>
        <w:t>The</w:t>
      </w:r>
      <w:r>
        <w:rPr>
          <w:spacing w:val="1"/>
          <w:sz w:val="16"/>
        </w:rPr>
        <w:t> </w:t>
      </w:r>
      <w:r>
        <w:rPr>
          <w:sz w:val="16"/>
        </w:rPr>
        <w:t>DVA</w:t>
      </w:r>
      <w:r>
        <w:rPr>
          <w:spacing w:val="2"/>
          <w:sz w:val="16"/>
        </w:rPr>
        <w:t> </w:t>
      </w:r>
      <w:r>
        <w:rPr>
          <w:sz w:val="16"/>
        </w:rPr>
        <w:t>indicator dynamically calculates</w:t>
      </w:r>
      <w:r>
        <w:rPr>
          <w:spacing w:val="1"/>
          <w:sz w:val="16"/>
        </w:rPr>
        <w:t> </w:t>
      </w:r>
      <w:r>
        <w:rPr>
          <w:sz w:val="16"/>
        </w:rPr>
        <w:t>the value area</w:t>
      </w:r>
      <w:r>
        <w:rPr>
          <w:spacing w:val="1"/>
          <w:sz w:val="16"/>
        </w:rPr>
        <w:t> </w:t>
      </w:r>
      <w:r>
        <w:rPr>
          <w:sz w:val="16"/>
        </w:rPr>
        <w:t>in</w:t>
      </w:r>
      <w:r>
        <w:rPr>
          <w:spacing w:val="1"/>
          <w:sz w:val="16"/>
        </w:rPr>
        <w:t> </w:t>
      </w:r>
      <w:r>
        <w:rPr>
          <w:sz w:val="16"/>
        </w:rPr>
        <w:t>real</w:t>
      </w:r>
      <w:r>
        <w:rPr>
          <w:spacing w:val="1"/>
          <w:sz w:val="16"/>
        </w:rPr>
        <w:t> </w:t>
      </w:r>
      <w:r>
        <w:rPr>
          <w:spacing w:val="-2"/>
          <w:sz w:val="16"/>
        </w:rPr>
        <w:t>time.</w:t>
      </w:r>
    </w:p>
    <w:p>
      <w:pPr>
        <w:pStyle w:val="BodyText"/>
        <w:spacing w:before="7"/>
        <w:rPr>
          <w:sz w:val="21"/>
        </w:rPr>
      </w:pPr>
    </w:p>
    <w:p>
      <w:pPr>
        <w:pStyle w:val="Heading3"/>
        <w:ind w:left="500"/>
      </w:pPr>
      <w:r>
        <w:rPr/>
        <w:pict>
          <v:shape style="position:absolute;margin-left:54.779999pt;margin-top:18.290316pt;width:341pt;height:.1pt;mso-position-horizontal-relative:page;mso-position-vertical-relative:paragraph;z-index:-15700480;mso-wrap-distance-left:0;mso-wrap-distance-right:0" id="docshape262" coordorigin="1096,366" coordsize="6820,0" path="m1096,366l7915,366e" filled="false" stroked="true" strokeweight=".75pt" strokecolor="#000000">
            <v:path arrowok="t"/>
            <v:stroke dashstyle="solid"/>
            <w10:wrap type="topAndBottom"/>
          </v:shape>
        </w:pict>
      </w:r>
      <w:bookmarkStart w:name="_TOC_250066" w:id="25"/>
      <w:r>
        <w:rPr>
          <w:smallCaps/>
          <w:spacing w:val="-6"/>
        </w:rPr>
        <w:t>Volume</w:t>
      </w:r>
      <w:r>
        <w:rPr>
          <w:smallCaps/>
          <w:spacing w:val="-9"/>
        </w:rPr>
        <w:t> </w:t>
      </w:r>
      <w:r>
        <w:rPr>
          <w:smallCaps/>
          <w:spacing w:val="-6"/>
        </w:rPr>
        <w:t>at</w:t>
      </w:r>
      <w:r>
        <w:rPr>
          <w:smallCaps/>
          <w:spacing w:val="1"/>
        </w:rPr>
        <w:t> </w:t>
      </w:r>
      <w:bookmarkEnd w:id="25"/>
      <w:r>
        <w:rPr>
          <w:smallCaps/>
          <w:spacing w:val="-6"/>
        </w:rPr>
        <w:t>Price</w:t>
      </w:r>
    </w:p>
    <w:p>
      <w:pPr>
        <w:pStyle w:val="BodyText"/>
        <w:spacing w:before="202"/>
        <w:ind w:left="499" w:right="135" w:firstLine="432"/>
        <w:jc w:val="both"/>
      </w:pPr>
      <w:r>
        <w:rPr/>
        <w:t>The Money Zone is derived solely from price-based, market-generated information.</w:t>
      </w:r>
      <w:r>
        <w:rPr/>
        <w:t> However, volume can play a huge role in determining the market’s conviction and overall confidence. The </w:t>
      </w:r>
      <w:r>
        <w:rPr>
          <w:i/>
        </w:rPr>
        <w:t>Volume at Price (VAP)</w:t>
      </w:r>
      <w:r>
        <w:rPr>
          <w:i/>
        </w:rPr>
        <w:t> </w:t>
      </w:r>
      <w:r>
        <w:rPr/>
        <w:t>indicator plots virtually the same type of information as the Market Profile, but does so using volume instead. Similar to the structure of the Market Profile, the volume at price indicator divides volume equally across all of the price points that were reached during a specific period of time and then plots the information using a horizontal histogram directly on the price chart. The display of information is actually quite attractive and allows you to assess major</w:t>
      </w:r>
      <w:r>
        <w:rPr>
          <w:spacing w:val="63"/>
        </w:rPr>
        <w:t> </w:t>
      </w:r>
      <w:r>
        <w:rPr/>
        <w:t>points</w:t>
      </w:r>
      <w:r>
        <w:rPr>
          <w:spacing w:val="63"/>
        </w:rPr>
        <w:t> </w:t>
      </w:r>
      <w:r>
        <w:rPr/>
        <w:t>of</w:t>
      </w:r>
      <w:r>
        <w:rPr>
          <w:spacing w:val="63"/>
        </w:rPr>
        <w:t> </w:t>
      </w:r>
      <w:r>
        <w:rPr/>
        <w:t>interest</w:t>
      </w:r>
      <w:r>
        <w:rPr>
          <w:spacing w:val="64"/>
        </w:rPr>
        <w:t> </w:t>
      </w:r>
      <w:r>
        <w:rPr/>
        <w:t>quickly,</w:t>
      </w:r>
      <w:r>
        <w:rPr>
          <w:spacing w:val="63"/>
        </w:rPr>
        <w:t> </w:t>
      </w:r>
      <w:r>
        <w:rPr/>
        <w:t>thereby</w:t>
      </w:r>
      <w:r>
        <w:rPr>
          <w:spacing w:val="62"/>
        </w:rPr>
        <w:t> </w:t>
      </w:r>
      <w:r>
        <w:rPr/>
        <w:t>highlighting</w:t>
      </w:r>
      <w:r>
        <w:rPr>
          <w:spacing w:val="63"/>
        </w:rPr>
        <w:t> </w:t>
      </w:r>
      <w:r>
        <w:rPr/>
        <w:t>potential</w:t>
      </w:r>
      <w:r>
        <w:rPr>
          <w:spacing w:val="63"/>
        </w:rPr>
        <w:t> </w:t>
      </w:r>
      <w:r>
        <w:rPr/>
        <w:t>areas</w:t>
      </w:r>
      <w:r>
        <w:rPr>
          <w:spacing w:val="63"/>
        </w:rPr>
        <w:t> </w:t>
      </w:r>
      <w:r>
        <w:rPr/>
        <w:t>of</w:t>
      </w:r>
    </w:p>
    <w:p>
      <w:pPr>
        <w:spacing w:after="0"/>
        <w:jc w:val="both"/>
        <w:sectPr>
          <w:headerReference w:type="default" r:id="rId69"/>
          <w:headerReference w:type="even" r:id="rId70"/>
          <w:footerReference w:type="default" r:id="rId71"/>
          <w:footerReference w:type="even" r:id="rId72"/>
          <w:pgSz w:w="8640" w:h="12960"/>
          <w:pgMar w:header="536" w:footer="1060" w:top="720" w:bottom="1260" w:left="580" w:right="580"/>
          <w:pgNumType w:start="67"/>
        </w:sectPr>
      </w:pPr>
    </w:p>
    <w:p>
      <w:pPr>
        <w:pStyle w:val="BodyText"/>
        <w:spacing w:before="5"/>
        <w:rPr>
          <w:sz w:val="18"/>
        </w:rPr>
      </w:pPr>
    </w:p>
    <w:p>
      <w:pPr>
        <w:pStyle w:val="BodyText"/>
        <w:spacing w:before="64"/>
        <w:ind w:left="140" w:right="496"/>
        <w:jc w:val="both"/>
      </w:pPr>
      <w:r>
        <w:rPr/>
        <w:t>support and resistance. Displaying volume at a price in this manner is not a new concept, as this indicator has been around for a while, but the</w:t>
      </w:r>
      <w:r>
        <w:rPr>
          <w:spacing w:val="-1"/>
        </w:rPr>
        <w:t> </w:t>
      </w:r>
      <w:r>
        <w:rPr/>
        <w:t>way that it complements the Money Zone makes it a mainstay in my trading arsenal.</w:t>
      </w:r>
    </w:p>
    <w:p>
      <w:pPr>
        <w:pStyle w:val="BodyText"/>
        <w:spacing w:before="1"/>
        <w:ind w:left="140" w:right="495" w:firstLine="432"/>
        <w:jc w:val="both"/>
      </w:pPr>
      <w:r>
        <w:rPr/>
        <w:t>Let’s take a closer look at the volume at price indicator.</w:t>
      </w:r>
      <w:r>
        <w:rPr/>
        <w:t> Figure 3.7 shows</w:t>
      </w:r>
      <w:r>
        <w:rPr>
          <w:spacing w:val="-2"/>
        </w:rPr>
        <w:t> </w:t>
      </w:r>
      <w:r>
        <w:rPr/>
        <w:t>a</w:t>
      </w:r>
      <w:r>
        <w:rPr>
          <w:spacing w:val="-2"/>
        </w:rPr>
        <w:t> </w:t>
      </w:r>
      <w:r>
        <w:rPr/>
        <w:t>five-minute</w:t>
      </w:r>
      <w:r>
        <w:rPr>
          <w:spacing w:val="-2"/>
        </w:rPr>
        <w:t> </w:t>
      </w:r>
      <w:r>
        <w:rPr/>
        <w:t>chart</w:t>
      </w:r>
      <w:r>
        <w:rPr>
          <w:spacing w:val="-2"/>
        </w:rPr>
        <w:t> </w:t>
      </w:r>
      <w:r>
        <w:rPr/>
        <w:t>of</w:t>
      </w:r>
      <w:r>
        <w:rPr>
          <w:spacing w:val="-2"/>
        </w:rPr>
        <w:t> </w:t>
      </w:r>
      <w:r>
        <w:rPr/>
        <w:t>the</w:t>
      </w:r>
      <w:r>
        <w:rPr>
          <w:spacing w:val="-2"/>
        </w:rPr>
        <w:t> </w:t>
      </w:r>
      <w:r>
        <w:rPr/>
        <w:t>YM</w:t>
      </w:r>
      <w:r>
        <w:rPr>
          <w:spacing w:val="-2"/>
        </w:rPr>
        <w:t> </w:t>
      </w:r>
      <w:r>
        <w:rPr/>
        <w:t>during</w:t>
      </w:r>
      <w:r>
        <w:rPr>
          <w:spacing w:val="-2"/>
        </w:rPr>
        <w:t> </w:t>
      </w:r>
      <w:r>
        <w:rPr/>
        <w:t>the</w:t>
      </w:r>
      <w:r>
        <w:rPr>
          <w:spacing w:val="-2"/>
        </w:rPr>
        <w:t> </w:t>
      </w:r>
      <w:r>
        <w:rPr/>
        <w:t>same</w:t>
      </w:r>
      <w:r>
        <w:rPr>
          <w:spacing w:val="-1"/>
        </w:rPr>
        <w:t> </w:t>
      </w:r>
      <w:r>
        <w:rPr/>
        <w:t>two-day</w:t>
      </w:r>
      <w:r>
        <w:rPr>
          <w:spacing w:val="-3"/>
        </w:rPr>
        <w:t> </w:t>
      </w:r>
      <w:r>
        <w:rPr/>
        <w:t>stretch</w:t>
      </w:r>
      <w:r>
        <w:rPr>
          <w:spacing w:val="-2"/>
        </w:rPr>
        <w:t> </w:t>
      </w:r>
      <w:r>
        <w:rPr/>
        <w:t>that</w:t>
      </w:r>
      <w:r>
        <w:rPr>
          <w:spacing w:val="-2"/>
        </w:rPr>
        <w:t> </w:t>
      </w:r>
      <w:r>
        <w:rPr/>
        <w:t>we have been analyzing. The VAP indicator uses the volume activity at a price from the prior session and overlays the histogram over price in the current session.</w:t>
      </w:r>
      <w:r>
        <w:rPr>
          <w:spacing w:val="-2"/>
        </w:rPr>
        <w:t> </w:t>
      </w:r>
      <w:r>
        <w:rPr/>
        <w:t>Therefore,</w:t>
      </w:r>
      <w:r>
        <w:rPr>
          <w:spacing w:val="-2"/>
        </w:rPr>
        <w:t> </w:t>
      </w:r>
      <w:r>
        <w:rPr/>
        <w:t>yesterday’s</w:t>
      </w:r>
      <w:r>
        <w:rPr>
          <w:spacing w:val="-2"/>
        </w:rPr>
        <w:t> </w:t>
      </w:r>
      <w:r>
        <w:rPr/>
        <w:t>volume</w:t>
      </w:r>
      <w:r>
        <w:rPr>
          <w:spacing w:val="-1"/>
        </w:rPr>
        <w:t> </w:t>
      </w:r>
      <w:r>
        <w:rPr/>
        <w:t>activity</w:t>
      </w:r>
      <w:r>
        <w:rPr>
          <w:spacing w:val="-2"/>
        </w:rPr>
        <w:t> </w:t>
      </w:r>
      <w:r>
        <w:rPr/>
        <w:t>at</w:t>
      </w:r>
      <w:r>
        <w:rPr>
          <w:spacing w:val="-2"/>
        </w:rPr>
        <w:t> </w:t>
      </w:r>
      <w:r>
        <w:rPr/>
        <w:t>a</w:t>
      </w:r>
      <w:r>
        <w:rPr>
          <w:spacing w:val="-2"/>
        </w:rPr>
        <w:t> </w:t>
      </w:r>
      <w:r>
        <w:rPr/>
        <w:t>price</w:t>
      </w:r>
      <w:r>
        <w:rPr>
          <w:spacing w:val="-2"/>
        </w:rPr>
        <w:t> </w:t>
      </w:r>
      <w:r>
        <w:rPr/>
        <w:t>is</w:t>
      </w:r>
      <w:r>
        <w:rPr>
          <w:spacing w:val="-2"/>
        </w:rPr>
        <w:t> </w:t>
      </w:r>
      <w:r>
        <w:rPr/>
        <w:t>shown</w:t>
      </w:r>
      <w:r>
        <w:rPr>
          <w:spacing w:val="-1"/>
        </w:rPr>
        <w:t> </w:t>
      </w:r>
      <w:r>
        <w:rPr/>
        <w:t>on</w:t>
      </w:r>
      <w:r>
        <w:rPr>
          <w:spacing w:val="-2"/>
        </w:rPr>
        <w:t> </w:t>
      </w:r>
      <w:r>
        <w:rPr/>
        <w:t>today’s chart.</w:t>
      </w:r>
      <w:r>
        <w:rPr/>
        <w:t> The </w:t>
      </w:r>
      <w:r>
        <w:rPr>
          <w:i/>
        </w:rPr>
        <w:t>volume point of control (VPOC) </w:t>
      </w:r>
      <w:r>
        <w:rPr/>
        <w:t>is the price where the most volume was traded during yesterday’s market,</w:t>
      </w:r>
      <w:r>
        <w:rPr/>
        <w:t> thus representing the fairest price as seen through the eyes volume. VPOC is represented on the</w:t>
      </w:r>
      <w:r>
        <w:rPr>
          <w:spacing w:val="40"/>
        </w:rPr>
        <w:t> </w:t>
      </w:r>
      <w:r>
        <w:rPr/>
        <w:t>histogram as the longest horizontal line that stretches across the session. The volume point of control and the price-based POC will usually identify the same price level as the fairest value to traders, but this</w:t>
      </w:r>
      <w:r>
        <w:rPr>
          <w:spacing w:val="-1"/>
        </w:rPr>
        <w:t> </w:t>
      </w:r>
      <w:r>
        <w:rPr/>
        <w:t>is not always</w:t>
      </w:r>
      <w:r>
        <w:rPr>
          <w:spacing w:val="-1"/>
        </w:rPr>
        <w:t> </w:t>
      </w:r>
      <w:r>
        <w:rPr/>
        <w:t>the case.</w:t>
      </w:r>
    </w:p>
    <w:p>
      <w:pPr>
        <w:pStyle w:val="BodyText"/>
        <w:rPr>
          <w:sz w:val="20"/>
        </w:rPr>
      </w:pPr>
      <w:r>
        <w:rPr/>
        <w:drawing>
          <wp:anchor distT="0" distB="0" distL="0" distR="0" allowOverlap="1" layoutInCell="1" locked="0" behindDoc="0" simplePos="0" relativeHeight="56">
            <wp:simplePos x="0" y="0"/>
            <wp:positionH relativeFrom="page">
              <wp:posOffset>457200</wp:posOffset>
            </wp:positionH>
            <wp:positionV relativeFrom="paragraph">
              <wp:posOffset>161725</wp:posOffset>
            </wp:positionV>
            <wp:extent cx="4342904" cy="3103054"/>
            <wp:effectExtent l="0" t="0" r="0" b="0"/>
            <wp:wrapTopAndBottom/>
            <wp:docPr id="63" name="image33.png"/>
            <wp:cNvGraphicFramePr>
              <a:graphicFrameLocks noChangeAspect="1"/>
            </wp:cNvGraphicFramePr>
            <a:graphic>
              <a:graphicData uri="http://schemas.openxmlformats.org/drawingml/2006/picture">
                <pic:pic>
                  <pic:nvPicPr>
                    <pic:cNvPr id="64" name="image33.png"/>
                    <pic:cNvPicPr/>
                  </pic:nvPicPr>
                  <pic:blipFill>
                    <a:blip r:embed="rId74"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 3.7:</w:t>
      </w:r>
      <w:r>
        <w:rPr>
          <w:spacing w:val="1"/>
          <w:sz w:val="16"/>
        </w:rPr>
        <w:t> </w:t>
      </w:r>
      <w:r>
        <w:rPr>
          <w:sz w:val="16"/>
        </w:rPr>
        <w:t>The</w:t>
      </w:r>
      <w:r>
        <w:rPr>
          <w:spacing w:val="1"/>
          <w:sz w:val="16"/>
        </w:rPr>
        <w:t> </w:t>
      </w:r>
      <w:r>
        <w:rPr>
          <w:sz w:val="16"/>
        </w:rPr>
        <w:t>VAP</w:t>
      </w:r>
      <w:r>
        <w:rPr>
          <w:spacing w:val="1"/>
          <w:sz w:val="16"/>
        </w:rPr>
        <w:t> </w:t>
      </w:r>
      <w:r>
        <w:rPr>
          <w:sz w:val="16"/>
        </w:rPr>
        <w:t>indicator</w:t>
      </w:r>
      <w:r>
        <w:rPr>
          <w:spacing w:val="1"/>
          <w:sz w:val="16"/>
        </w:rPr>
        <w:t> </w:t>
      </w:r>
      <w:r>
        <w:rPr>
          <w:sz w:val="16"/>
        </w:rPr>
        <w:t>plots a horizontal</w:t>
      </w:r>
      <w:r>
        <w:rPr>
          <w:spacing w:val="1"/>
          <w:sz w:val="16"/>
        </w:rPr>
        <w:t> </w:t>
      </w:r>
      <w:r>
        <w:rPr>
          <w:sz w:val="16"/>
        </w:rPr>
        <w:t>histogram</w:t>
      </w:r>
      <w:r>
        <w:rPr>
          <w:spacing w:val="1"/>
          <w:sz w:val="16"/>
        </w:rPr>
        <w:t> </w:t>
      </w:r>
      <w:r>
        <w:rPr>
          <w:sz w:val="16"/>
        </w:rPr>
        <w:t>of the volume</w:t>
      </w:r>
      <w:r>
        <w:rPr>
          <w:spacing w:val="2"/>
          <w:sz w:val="16"/>
        </w:rPr>
        <w:t> </w:t>
      </w:r>
      <w:r>
        <w:rPr>
          <w:sz w:val="16"/>
        </w:rPr>
        <w:t>traded at a</w:t>
      </w:r>
      <w:r>
        <w:rPr>
          <w:spacing w:val="1"/>
          <w:sz w:val="16"/>
        </w:rPr>
        <w:t> </w:t>
      </w:r>
      <w:r>
        <w:rPr>
          <w:spacing w:val="-2"/>
          <w:sz w:val="16"/>
        </w:rPr>
        <w:t>price.</w:t>
      </w:r>
    </w:p>
    <w:p>
      <w:pPr>
        <w:pStyle w:val="BodyText"/>
        <w:spacing w:before="9"/>
        <w:rPr>
          <w:sz w:val="21"/>
        </w:rPr>
      </w:pPr>
    </w:p>
    <w:p>
      <w:pPr>
        <w:pStyle w:val="BodyText"/>
        <w:ind w:left="140" w:right="496" w:firstLine="432"/>
        <w:jc w:val="both"/>
      </w:pPr>
      <w:r>
        <w:rPr/>
        <w:t>You may be asking yourself why this information is important, or even helpful. Why do we need to know where volume was traded yesterday in order to trade today? The answer is simple. In order to anticipate how the market will respond to a certain price level in the current session, you must understand how</w:t>
      </w:r>
      <w:r>
        <w:rPr>
          <w:spacing w:val="1"/>
        </w:rPr>
        <w:t> </w:t>
      </w:r>
      <w:r>
        <w:rPr/>
        <w:t>price</w:t>
      </w:r>
      <w:r>
        <w:rPr>
          <w:spacing w:val="1"/>
        </w:rPr>
        <w:t> </w:t>
      </w:r>
      <w:r>
        <w:rPr/>
        <w:t>reacted</w:t>
      </w:r>
      <w:r>
        <w:rPr>
          <w:spacing w:val="1"/>
        </w:rPr>
        <w:t> </w:t>
      </w:r>
      <w:r>
        <w:rPr/>
        <w:t>to</w:t>
      </w:r>
      <w:r>
        <w:rPr>
          <w:spacing w:val="1"/>
        </w:rPr>
        <w:t> </w:t>
      </w:r>
      <w:r>
        <w:rPr/>
        <w:t>that level</w:t>
      </w:r>
      <w:r>
        <w:rPr>
          <w:spacing w:val="1"/>
        </w:rPr>
        <w:t> </w:t>
      </w:r>
      <w:r>
        <w:rPr/>
        <w:t>in</w:t>
      </w:r>
      <w:r>
        <w:rPr>
          <w:spacing w:val="1"/>
        </w:rPr>
        <w:t> </w:t>
      </w:r>
      <w:r>
        <w:rPr/>
        <w:t>the</w:t>
      </w:r>
      <w:r>
        <w:rPr>
          <w:spacing w:val="1"/>
        </w:rPr>
        <w:t> </w:t>
      </w:r>
      <w:r>
        <w:rPr/>
        <w:t>recent</w:t>
      </w:r>
      <w:r>
        <w:rPr>
          <w:spacing w:val="1"/>
        </w:rPr>
        <w:t> </w:t>
      </w:r>
      <w:r>
        <w:rPr/>
        <w:t>past.</w:t>
      </w:r>
      <w:r>
        <w:rPr>
          <w:spacing w:val="1"/>
        </w:rPr>
        <w:t> </w:t>
      </w:r>
      <w:r>
        <w:rPr/>
        <w:t>Looking back</w:t>
      </w:r>
      <w:r>
        <w:rPr>
          <w:spacing w:val="1"/>
        </w:rPr>
        <w:t> </w:t>
      </w:r>
      <w:r>
        <w:rPr>
          <w:spacing w:val="-5"/>
        </w:rPr>
        <w:t>at</w:t>
      </w:r>
    </w:p>
    <w:p>
      <w:pPr>
        <w:pStyle w:val="BodyText"/>
        <w:ind w:left="110"/>
        <w:jc w:val="both"/>
      </w:pPr>
      <w:r>
        <w:rPr>
          <w:spacing w:val="-26"/>
          <w:u w:val="single"/>
        </w:rPr>
        <w:t> </w:t>
      </w:r>
      <w:r>
        <w:rPr>
          <w:u w:val="single"/>
        </w:rPr>
        <w:t>Figure</w:t>
      </w:r>
      <w:r>
        <w:rPr>
          <w:spacing w:val="28"/>
          <w:u w:val="single"/>
        </w:rPr>
        <w:t> </w:t>
      </w:r>
      <w:r>
        <w:rPr>
          <w:u w:val="single"/>
        </w:rPr>
        <w:t>3.7,</w:t>
      </w:r>
      <w:r>
        <w:rPr>
          <w:spacing w:val="34"/>
          <w:u w:val="single"/>
        </w:rPr>
        <w:t> </w:t>
      </w:r>
      <w:r>
        <w:rPr>
          <w:u w:val="single"/>
        </w:rPr>
        <w:t>the</w:t>
      </w:r>
      <w:r>
        <w:rPr>
          <w:spacing w:val="34"/>
          <w:u w:val="single"/>
        </w:rPr>
        <w:t> </w:t>
      </w:r>
      <w:r>
        <w:rPr>
          <w:u w:val="single"/>
        </w:rPr>
        <w:t>YM</w:t>
      </w:r>
      <w:r>
        <w:rPr>
          <w:spacing w:val="32"/>
          <w:u w:val="single"/>
        </w:rPr>
        <w:t> </w:t>
      </w:r>
      <w:r>
        <w:rPr>
          <w:u w:val="single"/>
        </w:rPr>
        <w:t>opened</w:t>
      </w:r>
      <w:r>
        <w:rPr>
          <w:spacing w:val="34"/>
          <w:u w:val="single"/>
        </w:rPr>
        <w:t> </w:t>
      </w:r>
      <w:r>
        <w:rPr>
          <w:u w:val="single"/>
        </w:rPr>
        <w:t>the</w:t>
      </w:r>
      <w:r>
        <w:rPr>
          <w:spacing w:val="34"/>
          <w:u w:val="single"/>
        </w:rPr>
        <w:t> </w:t>
      </w:r>
      <w:r>
        <w:rPr>
          <w:u w:val="single"/>
        </w:rPr>
        <w:t>day</w:t>
      </w:r>
      <w:r>
        <w:rPr>
          <w:spacing w:val="32"/>
          <w:u w:val="single"/>
        </w:rPr>
        <w:t> </w:t>
      </w:r>
      <w:r>
        <w:rPr>
          <w:u w:val="single"/>
        </w:rPr>
        <w:t>with</w:t>
      </w:r>
      <w:r>
        <w:rPr>
          <w:spacing w:val="34"/>
          <w:u w:val="single"/>
        </w:rPr>
        <w:t> </w:t>
      </w:r>
      <w:r>
        <w:rPr>
          <w:u w:val="single"/>
        </w:rPr>
        <w:t>early</w:t>
      </w:r>
      <w:r>
        <w:rPr>
          <w:spacing w:val="33"/>
          <w:u w:val="single"/>
        </w:rPr>
        <w:t> </w:t>
      </w:r>
      <w:r>
        <w:rPr>
          <w:u w:val="single"/>
        </w:rPr>
        <w:t>strength,</w:t>
      </w:r>
      <w:r>
        <w:rPr>
          <w:spacing w:val="32"/>
          <w:u w:val="single"/>
        </w:rPr>
        <w:t> </w:t>
      </w:r>
      <w:r>
        <w:rPr>
          <w:u w:val="single"/>
        </w:rPr>
        <w:t>but</w:t>
      </w:r>
      <w:r>
        <w:rPr>
          <w:spacing w:val="34"/>
          <w:u w:val="single"/>
        </w:rPr>
        <w:t> </w:t>
      </w:r>
      <w:r>
        <w:rPr>
          <w:u w:val="single"/>
        </w:rPr>
        <w:t>ran</w:t>
      </w:r>
      <w:r>
        <w:rPr>
          <w:spacing w:val="34"/>
          <w:u w:val="single"/>
        </w:rPr>
        <w:t> </w:t>
      </w:r>
      <w:r>
        <w:rPr>
          <w:u w:val="single"/>
        </w:rPr>
        <w:t>into</w:t>
      </w:r>
      <w:r>
        <w:rPr>
          <w:spacing w:val="34"/>
          <w:u w:val="single"/>
        </w:rPr>
        <w:t> </w:t>
      </w:r>
      <w:r>
        <w:rPr>
          <w:spacing w:val="-2"/>
          <w:u w:val="single"/>
        </w:rPr>
        <w:t>clear</w:t>
      </w:r>
    </w:p>
    <w:p>
      <w:pPr>
        <w:spacing w:after="0"/>
        <w:jc w:val="both"/>
        <w:sectPr>
          <w:pgSz w:w="8640" w:h="12960"/>
          <w:pgMar w:header="579" w:footer="985" w:top="760" w:bottom="1180" w:left="580" w:right="580"/>
        </w:sectPr>
      </w:pPr>
    </w:p>
    <w:p>
      <w:pPr>
        <w:pStyle w:val="BodyText"/>
        <w:spacing w:before="3"/>
      </w:pPr>
    </w:p>
    <w:p>
      <w:pPr>
        <w:pStyle w:val="BodyText"/>
        <w:spacing w:before="64"/>
        <w:ind w:left="500" w:right="138"/>
        <w:jc w:val="both"/>
      </w:pPr>
      <w:r>
        <w:rPr/>
        <w:t>resistance at 10,500, which sent price back toward the volume point of the </w:t>
      </w:r>
      <w:r>
        <w:rPr>
          <w:spacing w:val="-2"/>
        </w:rPr>
        <w:t>control.</w:t>
      </w:r>
      <w:r>
        <w:rPr>
          <w:spacing w:val="-10"/>
        </w:rPr>
        <w:t> </w:t>
      </w:r>
      <w:r>
        <w:rPr>
          <w:spacing w:val="-2"/>
        </w:rPr>
        <w:t>Let’s</w:t>
      </w:r>
      <w:r>
        <w:rPr>
          <w:spacing w:val="-10"/>
        </w:rPr>
        <w:t> </w:t>
      </w:r>
      <w:r>
        <w:rPr>
          <w:spacing w:val="-2"/>
        </w:rPr>
        <w:t>examine</w:t>
      </w:r>
      <w:r>
        <w:rPr>
          <w:spacing w:val="-10"/>
        </w:rPr>
        <w:t> </w:t>
      </w:r>
      <w:r>
        <w:rPr>
          <w:spacing w:val="-2"/>
        </w:rPr>
        <w:t>the</w:t>
      </w:r>
      <w:r>
        <w:rPr>
          <w:spacing w:val="-10"/>
        </w:rPr>
        <w:t> </w:t>
      </w:r>
      <w:r>
        <w:rPr>
          <w:spacing w:val="-2"/>
        </w:rPr>
        <w:t>VAP</w:t>
      </w:r>
      <w:r>
        <w:rPr>
          <w:spacing w:val="-10"/>
        </w:rPr>
        <w:t> </w:t>
      </w:r>
      <w:r>
        <w:rPr>
          <w:spacing w:val="-2"/>
        </w:rPr>
        <w:t>indicator</w:t>
      </w:r>
      <w:r>
        <w:rPr>
          <w:spacing w:val="-10"/>
        </w:rPr>
        <w:t> </w:t>
      </w:r>
      <w:r>
        <w:rPr>
          <w:spacing w:val="-2"/>
        </w:rPr>
        <w:t>to</w:t>
      </w:r>
      <w:r>
        <w:rPr>
          <w:spacing w:val="-10"/>
        </w:rPr>
        <w:t> </w:t>
      </w:r>
      <w:r>
        <w:rPr>
          <w:spacing w:val="-2"/>
        </w:rPr>
        <w:t>understand</w:t>
      </w:r>
      <w:r>
        <w:rPr>
          <w:spacing w:val="-10"/>
        </w:rPr>
        <w:t> </w:t>
      </w:r>
      <w:r>
        <w:rPr>
          <w:spacing w:val="-2"/>
        </w:rPr>
        <w:t>why</w:t>
      </w:r>
      <w:r>
        <w:rPr>
          <w:spacing w:val="-12"/>
        </w:rPr>
        <w:t> </w:t>
      </w:r>
      <w:r>
        <w:rPr>
          <w:spacing w:val="-2"/>
        </w:rPr>
        <w:t>price</w:t>
      </w:r>
      <w:r>
        <w:rPr>
          <w:spacing w:val="-11"/>
        </w:rPr>
        <w:t> </w:t>
      </w:r>
      <w:r>
        <w:rPr>
          <w:spacing w:val="-2"/>
        </w:rPr>
        <w:t>was</w:t>
      </w:r>
      <w:r>
        <w:rPr>
          <w:spacing w:val="-10"/>
        </w:rPr>
        <w:t> </w:t>
      </w:r>
      <w:r>
        <w:rPr>
          <w:spacing w:val="-2"/>
        </w:rPr>
        <w:t>smacked </w:t>
      </w:r>
      <w:r>
        <w:rPr/>
        <w:t>down</w:t>
      </w:r>
      <w:r>
        <w:rPr>
          <w:spacing w:val="-3"/>
        </w:rPr>
        <w:t> </w:t>
      </w:r>
      <w:r>
        <w:rPr/>
        <w:t>so</w:t>
      </w:r>
      <w:r>
        <w:rPr>
          <w:spacing w:val="-4"/>
        </w:rPr>
        <w:t> </w:t>
      </w:r>
      <w:r>
        <w:rPr/>
        <w:t>easily</w:t>
      </w:r>
      <w:r>
        <w:rPr>
          <w:spacing w:val="-4"/>
        </w:rPr>
        <w:t> </w:t>
      </w:r>
      <w:r>
        <w:rPr/>
        <w:t>at</w:t>
      </w:r>
      <w:r>
        <w:rPr>
          <w:spacing w:val="-3"/>
        </w:rPr>
        <w:t> </w:t>
      </w:r>
      <w:r>
        <w:rPr/>
        <w:t>the</w:t>
      </w:r>
      <w:r>
        <w:rPr>
          <w:spacing w:val="-4"/>
        </w:rPr>
        <w:t> </w:t>
      </w:r>
      <w:r>
        <w:rPr/>
        <w:t>top</w:t>
      </w:r>
      <w:r>
        <w:rPr>
          <w:spacing w:val="-4"/>
        </w:rPr>
        <w:t> </w:t>
      </w:r>
      <w:r>
        <w:rPr/>
        <w:t>of</w:t>
      </w:r>
      <w:r>
        <w:rPr>
          <w:spacing w:val="-4"/>
        </w:rPr>
        <w:t> </w:t>
      </w:r>
      <w:r>
        <w:rPr/>
        <w:t>the</w:t>
      </w:r>
      <w:r>
        <w:rPr>
          <w:spacing w:val="-4"/>
        </w:rPr>
        <w:t> </w:t>
      </w:r>
      <w:r>
        <w:rPr/>
        <w:t>histogram.</w:t>
      </w:r>
    </w:p>
    <w:p>
      <w:pPr>
        <w:pStyle w:val="BodyText"/>
        <w:spacing w:before="1"/>
        <w:ind w:left="500" w:right="135" w:firstLine="432"/>
        <w:jc w:val="both"/>
      </w:pPr>
      <w:r>
        <w:rPr>
          <w:spacing w:val="-2"/>
        </w:rPr>
        <w:t>The</w:t>
      </w:r>
      <w:r>
        <w:rPr>
          <w:spacing w:val="-14"/>
        </w:rPr>
        <w:t> </w:t>
      </w:r>
      <w:r>
        <w:rPr>
          <w:spacing w:val="-2"/>
        </w:rPr>
        <w:t>farther</w:t>
      </w:r>
      <w:r>
        <w:rPr>
          <w:spacing w:val="-12"/>
        </w:rPr>
        <w:t> </w:t>
      </w:r>
      <w:r>
        <w:rPr>
          <w:spacing w:val="-2"/>
        </w:rPr>
        <w:t>price</w:t>
      </w:r>
      <w:r>
        <w:rPr>
          <w:spacing w:val="-12"/>
        </w:rPr>
        <w:t> </w:t>
      </w:r>
      <w:r>
        <w:rPr>
          <w:spacing w:val="-2"/>
        </w:rPr>
        <w:t>moves</w:t>
      </w:r>
      <w:r>
        <w:rPr>
          <w:spacing w:val="-11"/>
        </w:rPr>
        <w:t> </w:t>
      </w:r>
      <w:r>
        <w:rPr>
          <w:spacing w:val="-2"/>
        </w:rPr>
        <w:t>away</w:t>
      </w:r>
      <w:r>
        <w:rPr>
          <w:spacing w:val="-12"/>
        </w:rPr>
        <w:t> </w:t>
      </w:r>
      <w:r>
        <w:rPr>
          <w:spacing w:val="-2"/>
        </w:rPr>
        <w:t>from</w:t>
      </w:r>
      <w:r>
        <w:rPr>
          <w:spacing w:val="-12"/>
        </w:rPr>
        <w:t> </w:t>
      </w:r>
      <w:r>
        <w:rPr>
          <w:spacing w:val="-2"/>
        </w:rPr>
        <w:t>the</w:t>
      </w:r>
      <w:r>
        <w:rPr>
          <w:spacing w:val="-12"/>
        </w:rPr>
        <w:t> </w:t>
      </w:r>
      <w:r>
        <w:rPr>
          <w:spacing w:val="-2"/>
        </w:rPr>
        <w:t>VPOC</w:t>
      </w:r>
      <w:r>
        <w:rPr>
          <w:spacing w:val="-11"/>
        </w:rPr>
        <w:t> </w:t>
      </w:r>
      <w:r>
        <w:rPr>
          <w:spacing w:val="-2"/>
        </w:rPr>
        <w:t>toward</w:t>
      </w:r>
      <w:r>
        <w:rPr>
          <w:spacing w:val="-12"/>
        </w:rPr>
        <w:t> </w:t>
      </w:r>
      <w:r>
        <w:rPr>
          <w:spacing w:val="-2"/>
        </w:rPr>
        <w:t>the</w:t>
      </w:r>
      <w:r>
        <w:rPr>
          <w:spacing w:val="-12"/>
        </w:rPr>
        <w:t> </w:t>
      </w:r>
      <w:r>
        <w:rPr>
          <w:spacing w:val="-2"/>
        </w:rPr>
        <w:t>outer</w:t>
      </w:r>
      <w:r>
        <w:rPr>
          <w:spacing w:val="-12"/>
        </w:rPr>
        <w:t> </w:t>
      </w:r>
      <w:r>
        <w:rPr>
          <w:spacing w:val="-2"/>
        </w:rPr>
        <w:t>extremes</w:t>
      </w:r>
      <w:r>
        <w:rPr>
          <w:spacing w:val="-11"/>
        </w:rPr>
        <w:t> </w:t>
      </w:r>
      <w:r>
        <w:rPr>
          <w:spacing w:val="-2"/>
        </w:rPr>
        <w:t>of </w:t>
      </w:r>
      <w:r>
        <w:rPr/>
        <w:t>the</w:t>
      </w:r>
      <w:r>
        <w:rPr>
          <w:spacing w:val="-14"/>
        </w:rPr>
        <w:t> </w:t>
      </w:r>
      <w:r>
        <w:rPr/>
        <w:t>VAP</w:t>
      </w:r>
      <w:r>
        <w:rPr>
          <w:spacing w:val="-14"/>
        </w:rPr>
        <w:t> </w:t>
      </w:r>
      <w:r>
        <w:rPr/>
        <w:t>histogram,</w:t>
      </w:r>
      <w:r>
        <w:rPr>
          <w:spacing w:val="-14"/>
        </w:rPr>
        <w:t> </w:t>
      </w:r>
      <w:r>
        <w:rPr/>
        <w:t>the</w:t>
      </w:r>
      <w:r>
        <w:rPr>
          <w:spacing w:val="-13"/>
        </w:rPr>
        <w:t> </w:t>
      </w:r>
      <w:r>
        <w:rPr/>
        <w:t>less</w:t>
      </w:r>
      <w:r>
        <w:rPr>
          <w:spacing w:val="-14"/>
        </w:rPr>
        <w:t> </w:t>
      </w:r>
      <w:r>
        <w:rPr/>
        <w:t>volume</w:t>
      </w:r>
      <w:r>
        <w:rPr>
          <w:spacing w:val="-14"/>
        </w:rPr>
        <w:t> </w:t>
      </w:r>
      <w:r>
        <w:rPr/>
        <w:t>interest</w:t>
      </w:r>
      <w:r>
        <w:rPr>
          <w:spacing w:val="-14"/>
        </w:rPr>
        <w:t> </w:t>
      </w:r>
      <w:r>
        <w:rPr/>
        <w:t>price</w:t>
      </w:r>
      <w:r>
        <w:rPr>
          <w:spacing w:val="-13"/>
        </w:rPr>
        <w:t> </w:t>
      </w:r>
      <w:r>
        <w:rPr/>
        <w:t>will</w:t>
      </w:r>
      <w:r>
        <w:rPr>
          <w:spacing w:val="-14"/>
        </w:rPr>
        <w:t> </w:t>
      </w:r>
      <w:r>
        <w:rPr/>
        <w:t>encounter.</w:t>
      </w:r>
      <w:r>
        <w:rPr>
          <w:spacing w:val="-14"/>
        </w:rPr>
        <w:t> </w:t>
      </w:r>
      <w:r>
        <w:rPr/>
        <w:t>For</w:t>
      </w:r>
      <w:r>
        <w:rPr>
          <w:spacing w:val="-14"/>
        </w:rPr>
        <w:t> </w:t>
      </w:r>
      <w:r>
        <w:rPr/>
        <w:t>example, when</w:t>
      </w:r>
      <w:r>
        <w:rPr/>
        <w:t> price becomes overvalued, buying interest will dry up because price becomes too expensive. When buying ceases to exist, lower volume is taking </w:t>
      </w:r>
      <w:r>
        <w:rPr>
          <w:spacing w:val="-2"/>
        </w:rPr>
        <w:t>place</w:t>
      </w:r>
      <w:r>
        <w:rPr>
          <w:spacing w:val="-6"/>
        </w:rPr>
        <w:t> </w:t>
      </w:r>
      <w:r>
        <w:rPr>
          <w:spacing w:val="-2"/>
        </w:rPr>
        <w:t>and</w:t>
      </w:r>
      <w:r>
        <w:rPr>
          <w:spacing w:val="-7"/>
        </w:rPr>
        <w:t> </w:t>
      </w:r>
      <w:r>
        <w:rPr>
          <w:spacing w:val="-2"/>
        </w:rPr>
        <w:t>improper</w:t>
      </w:r>
      <w:r>
        <w:rPr>
          <w:spacing w:val="-6"/>
        </w:rPr>
        <w:t> </w:t>
      </w:r>
      <w:r>
        <w:rPr>
          <w:spacing w:val="-2"/>
        </w:rPr>
        <w:t>trade</w:t>
      </w:r>
      <w:r>
        <w:rPr>
          <w:spacing w:val="-7"/>
        </w:rPr>
        <w:t> </w:t>
      </w:r>
      <w:r>
        <w:rPr>
          <w:spacing w:val="-2"/>
        </w:rPr>
        <w:t>facilitation</w:t>
      </w:r>
      <w:r>
        <w:rPr>
          <w:spacing w:val="-6"/>
        </w:rPr>
        <w:t> </w:t>
      </w:r>
      <w:r>
        <w:rPr>
          <w:spacing w:val="-2"/>
        </w:rPr>
        <w:t>is</w:t>
      </w:r>
      <w:r>
        <w:rPr>
          <w:spacing w:val="-7"/>
        </w:rPr>
        <w:t> </w:t>
      </w:r>
      <w:r>
        <w:rPr>
          <w:spacing w:val="-2"/>
        </w:rPr>
        <w:t>occurring.</w:t>
      </w:r>
      <w:r>
        <w:rPr>
          <w:spacing w:val="-7"/>
        </w:rPr>
        <w:t> </w:t>
      </w:r>
      <w:r>
        <w:rPr>
          <w:spacing w:val="-2"/>
        </w:rPr>
        <w:t>The</w:t>
      </w:r>
      <w:r>
        <w:rPr>
          <w:spacing w:val="-7"/>
        </w:rPr>
        <w:t> </w:t>
      </w:r>
      <w:r>
        <w:rPr>
          <w:spacing w:val="-2"/>
        </w:rPr>
        <w:t>market</w:t>
      </w:r>
      <w:r>
        <w:rPr>
          <w:spacing w:val="-6"/>
        </w:rPr>
        <w:t> </w:t>
      </w:r>
      <w:r>
        <w:rPr>
          <w:spacing w:val="-2"/>
        </w:rPr>
        <w:t>operates</w:t>
      </w:r>
      <w:r>
        <w:rPr>
          <w:spacing w:val="-6"/>
        </w:rPr>
        <w:t> </w:t>
      </w:r>
      <w:r>
        <w:rPr>
          <w:spacing w:val="-2"/>
        </w:rPr>
        <w:t>solely</w:t>
      </w:r>
      <w:r>
        <w:rPr>
          <w:spacing w:val="-8"/>
        </w:rPr>
        <w:t> </w:t>
      </w:r>
      <w:r>
        <w:rPr>
          <w:spacing w:val="-2"/>
        </w:rPr>
        <w:t>to </w:t>
      </w:r>
      <w:r>
        <w:rPr/>
        <w:t>facilitate</w:t>
      </w:r>
      <w:r>
        <w:rPr>
          <w:spacing w:val="-4"/>
        </w:rPr>
        <w:t> </w:t>
      </w:r>
      <w:r>
        <w:rPr/>
        <w:t>trade.</w:t>
      </w:r>
      <w:r>
        <w:rPr>
          <w:spacing w:val="-3"/>
        </w:rPr>
        <w:t> </w:t>
      </w:r>
      <w:r>
        <w:rPr/>
        <w:t>If</w:t>
      </w:r>
      <w:r>
        <w:rPr>
          <w:spacing w:val="-4"/>
        </w:rPr>
        <w:t> </w:t>
      </w:r>
      <w:r>
        <w:rPr/>
        <w:t>prices</w:t>
      </w:r>
      <w:r>
        <w:rPr>
          <w:spacing w:val="-3"/>
        </w:rPr>
        <w:t> </w:t>
      </w:r>
      <w:r>
        <w:rPr/>
        <w:t>are</w:t>
      </w:r>
      <w:r>
        <w:rPr>
          <w:spacing w:val="-2"/>
        </w:rPr>
        <w:t> </w:t>
      </w:r>
      <w:r>
        <w:rPr/>
        <w:t>too</w:t>
      </w:r>
      <w:r>
        <w:rPr>
          <w:spacing w:val="-4"/>
        </w:rPr>
        <w:t> </w:t>
      </w:r>
      <w:r>
        <w:rPr/>
        <w:t>high</w:t>
      </w:r>
      <w:r>
        <w:rPr>
          <w:spacing w:val="-3"/>
        </w:rPr>
        <w:t> </w:t>
      </w:r>
      <w:r>
        <w:rPr/>
        <w:t>and</w:t>
      </w:r>
      <w:r>
        <w:rPr>
          <w:spacing w:val="-3"/>
        </w:rPr>
        <w:t> </w:t>
      </w:r>
      <w:r>
        <w:rPr/>
        <w:t>volume</w:t>
      </w:r>
      <w:r>
        <w:rPr>
          <w:spacing w:val="-3"/>
        </w:rPr>
        <w:t> </w:t>
      </w:r>
      <w:r>
        <w:rPr/>
        <w:t>is</w:t>
      </w:r>
      <w:r>
        <w:rPr>
          <w:spacing w:val="-3"/>
        </w:rPr>
        <w:t> </w:t>
      </w:r>
      <w:r>
        <w:rPr/>
        <w:t>not</w:t>
      </w:r>
      <w:r>
        <w:rPr>
          <w:spacing w:val="-4"/>
        </w:rPr>
        <w:t> </w:t>
      </w:r>
      <w:r>
        <w:rPr/>
        <w:t>flowing,</w:t>
      </w:r>
      <w:r>
        <w:rPr>
          <w:spacing w:val="-4"/>
        </w:rPr>
        <w:t> </w:t>
      </w:r>
      <w:r>
        <w:rPr/>
        <w:t>the</w:t>
      </w:r>
      <w:r>
        <w:rPr>
          <w:spacing w:val="-3"/>
        </w:rPr>
        <w:t> </w:t>
      </w:r>
      <w:r>
        <w:rPr/>
        <w:t>price</w:t>
      </w:r>
      <w:r>
        <w:rPr>
          <w:spacing w:val="-3"/>
        </w:rPr>
        <w:t> </w:t>
      </w:r>
      <w:r>
        <w:rPr/>
        <w:t>will </w:t>
      </w:r>
      <w:r>
        <w:rPr>
          <w:spacing w:val="-2"/>
        </w:rPr>
        <w:t>shift</w:t>
      </w:r>
      <w:r>
        <w:rPr>
          <w:spacing w:val="-8"/>
        </w:rPr>
        <w:t> </w:t>
      </w:r>
      <w:r>
        <w:rPr>
          <w:spacing w:val="-2"/>
        </w:rPr>
        <w:t>back</w:t>
      </w:r>
      <w:r>
        <w:rPr>
          <w:spacing w:val="-8"/>
        </w:rPr>
        <w:t> </w:t>
      </w:r>
      <w:r>
        <w:rPr>
          <w:spacing w:val="-2"/>
        </w:rPr>
        <w:t>toward</w:t>
      </w:r>
      <w:r>
        <w:rPr>
          <w:spacing w:val="-8"/>
        </w:rPr>
        <w:t> </w:t>
      </w:r>
      <w:r>
        <w:rPr>
          <w:spacing w:val="-2"/>
        </w:rPr>
        <w:t>an</w:t>
      </w:r>
      <w:r>
        <w:rPr>
          <w:spacing w:val="-8"/>
        </w:rPr>
        <w:t> </w:t>
      </w:r>
      <w:r>
        <w:rPr>
          <w:spacing w:val="-2"/>
        </w:rPr>
        <w:t>area</w:t>
      </w:r>
      <w:r>
        <w:rPr>
          <w:spacing w:val="-8"/>
        </w:rPr>
        <w:t> </w:t>
      </w:r>
      <w:r>
        <w:rPr>
          <w:spacing w:val="-2"/>
        </w:rPr>
        <w:t>that</w:t>
      </w:r>
      <w:r>
        <w:rPr>
          <w:spacing w:val="-8"/>
        </w:rPr>
        <w:t> </w:t>
      </w:r>
      <w:r>
        <w:rPr>
          <w:spacing w:val="-2"/>
        </w:rPr>
        <w:t>will</w:t>
      </w:r>
      <w:r>
        <w:rPr>
          <w:spacing w:val="-8"/>
        </w:rPr>
        <w:t> </w:t>
      </w:r>
      <w:r>
        <w:rPr>
          <w:spacing w:val="-2"/>
        </w:rPr>
        <w:t>easily</w:t>
      </w:r>
      <w:r>
        <w:rPr>
          <w:spacing w:val="-9"/>
        </w:rPr>
        <w:t> </w:t>
      </w:r>
      <w:r>
        <w:rPr>
          <w:spacing w:val="-2"/>
        </w:rPr>
        <w:t>accommodate</w:t>
      </w:r>
      <w:r>
        <w:rPr>
          <w:spacing w:val="-9"/>
        </w:rPr>
        <w:t> </w:t>
      </w:r>
      <w:r>
        <w:rPr>
          <w:spacing w:val="-2"/>
        </w:rPr>
        <w:t>the</w:t>
      </w:r>
      <w:r>
        <w:rPr>
          <w:spacing w:val="-8"/>
        </w:rPr>
        <w:t> </w:t>
      </w:r>
      <w:r>
        <w:rPr>
          <w:spacing w:val="-2"/>
        </w:rPr>
        <w:t>proper</w:t>
      </w:r>
      <w:r>
        <w:rPr>
          <w:spacing w:val="-8"/>
        </w:rPr>
        <w:t> </w:t>
      </w:r>
      <w:r>
        <w:rPr>
          <w:spacing w:val="-2"/>
        </w:rPr>
        <w:t>facilitation</w:t>
      </w:r>
      <w:r>
        <w:rPr>
          <w:spacing w:val="-8"/>
        </w:rPr>
        <w:t> </w:t>
      </w:r>
      <w:r>
        <w:rPr>
          <w:spacing w:val="-2"/>
        </w:rPr>
        <w:t>of trade.</w:t>
      </w:r>
    </w:p>
    <w:p>
      <w:pPr>
        <w:pStyle w:val="BodyText"/>
        <w:ind w:left="500" w:right="133" w:firstLine="432"/>
        <w:jc w:val="both"/>
      </w:pPr>
      <w:r>
        <w:rPr>
          <w:spacing w:val="-2"/>
        </w:rPr>
        <w:t>As</w:t>
      </w:r>
      <w:r>
        <w:rPr>
          <w:spacing w:val="-12"/>
        </w:rPr>
        <w:t> </w:t>
      </w:r>
      <w:r>
        <w:rPr>
          <w:spacing w:val="-2"/>
        </w:rPr>
        <w:t>the</w:t>
      </w:r>
      <w:r>
        <w:rPr>
          <w:spacing w:val="-12"/>
        </w:rPr>
        <w:t> </w:t>
      </w:r>
      <w:r>
        <w:rPr>
          <w:spacing w:val="-2"/>
        </w:rPr>
        <w:t>YM</w:t>
      </w:r>
      <w:r>
        <w:rPr>
          <w:spacing w:val="-12"/>
        </w:rPr>
        <w:t> </w:t>
      </w:r>
      <w:r>
        <w:rPr>
          <w:spacing w:val="-2"/>
        </w:rPr>
        <w:t>approached</w:t>
      </w:r>
      <w:r>
        <w:rPr>
          <w:spacing w:val="-11"/>
        </w:rPr>
        <w:t> </w:t>
      </w:r>
      <w:r>
        <w:rPr>
          <w:spacing w:val="-2"/>
        </w:rPr>
        <w:t>10,500,</w:t>
      </w:r>
      <w:r>
        <w:rPr>
          <w:spacing w:val="-12"/>
        </w:rPr>
        <w:t> </w:t>
      </w:r>
      <w:r>
        <w:rPr>
          <w:spacing w:val="-2"/>
        </w:rPr>
        <w:t>the</w:t>
      </w:r>
      <w:r>
        <w:rPr>
          <w:spacing w:val="-12"/>
        </w:rPr>
        <w:t> </w:t>
      </w:r>
      <w:r>
        <w:rPr>
          <w:spacing w:val="-2"/>
        </w:rPr>
        <w:t>upper</w:t>
      </w:r>
      <w:r>
        <w:rPr>
          <w:spacing w:val="-12"/>
        </w:rPr>
        <w:t> </w:t>
      </w:r>
      <w:r>
        <w:rPr>
          <w:spacing w:val="-2"/>
        </w:rPr>
        <w:t>extreme</w:t>
      </w:r>
      <w:r>
        <w:rPr>
          <w:spacing w:val="-11"/>
        </w:rPr>
        <w:t> </w:t>
      </w:r>
      <w:r>
        <w:rPr>
          <w:spacing w:val="-2"/>
        </w:rPr>
        <w:t>of</w:t>
      </w:r>
      <w:r>
        <w:rPr>
          <w:spacing w:val="-12"/>
        </w:rPr>
        <w:t> </w:t>
      </w:r>
      <w:r>
        <w:rPr>
          <w:spacing w:val="-2"/>
        </w:rPr>
        <w:t>the</w:t>
      </w:r>
      <w:r>
        <w:rPr>
          <w:spacing w:val="-12"/>
        </w:rPr>
        <w:t> </w:t>
      </w:r>
      <w:r>
        <w:rPr>
          <w:spacing w:val="-2"/>
        </w:rPr>
        <w:t>histogram</w:t>
      </w:r>
      <w:r>
        <w:rPr>
          <w:spacing w:val="-12"/>
        </w:rPr>
        <w:t> </w:t>
      </w:r>
      <w:r>
        <w:rPr>
          <w:spacing w:val="-2"/>
        </w:rPr>
        <w:t>showed </w:t>
      </w:r>
      <w:r>
        <w:rPr/>
        <w:t>drastically</w:t>
      </w:r>
      <w:r>
        <w:rPr>
          <w:spacing w:val="-5"/>
        </w:rPr>
        <w:t> </w:t>
      </w:r>
      <w:r>
        <w:rPr/>
        <w:t>decreased</w:t>
      </w:r>
      <w:r>
        <w:rPr>
          <w:spacing w:val="-5"/>
        </w:rPr>
        <w:t> </w:t>
      </w:r>
      <w:r>
        <w:rPr/>
        <w:t>buying</w:t>
      </w:r>
      <w:r>
        <w:rPr>
          <w:spacing w:val="-5"/>
        </w:rPr>
        <w:t> </w:t>
      </w:r>
      <w:r>
        <w:rPr/>
        <w:t>interest,</w:t>
      </w:r>
      <w:r>
        <w:rPr>
          <w:spacing w:val="-4"/>
        </w:rPr>
        <w:t> </w:t>
      </w:r>
      <w:r>
        <w:rPr/>
        <w:t>which</w:t>
      </w:r>
      <w:r>
        <w:rPr>
          <w:spacing w:val="-5"/>
        </w:rPr>
        <w:t> </w:t>
      </w:r>
      <w:r>
        <w:rPr/>
        <w:t>indicated</w:t>
      </w:r>
      <w:r>
        <w:rPr>
          <w:spacing w:val="-5"/>
        </w:rPr>
        <w:t> </w:t>
      </w:r>
      <w:r>
        <w:rPr/>
        <w:t>less</w:t>
      </w:r>
      <w:r>
        <w:rPr>
          <w:spacing w:val="-4"/>
        </w:rPr>
        <w:t> </w:t>
      </w:r>
      <w:r>
        <w:rPr/>
        <w:t>buying</w:t>
      </w:r>
      <w:r>
        <w:rPr>
          <w:spacing w:val="-4"/>
        </w:rPr>
        <w:t> </w:t>
      </w:r>
      <w:r>
        <w:rPr/>
        <w:t>interest</w:t>
      </w:r>
      <w:r>
        <w:rPr>
          <w:spacing w:val="-4"/>
        </w:rPr>
        <w:t> </w:t>
      </w:r>
      <w:r>
        <w:rPr/>
        <w:t>and </w:t>
      </w:r>
      <w:r>
        <w:rPr>
          <w:spacing w:val="-2"/>
        </w:rPr>
        <w:t>overvaluation.</w:t>
      </w:r>
      <w:r>
        <w:rPr>
          <w:spacing w:val="-4"/>
        </w:rPr>
        <w:t> </w:t>
      </w:r>
      <w:r>
        <w:rPr>
          <w:spacing w:val="-2"/>
        </w:rPr>
        <w:t>This</w:t>
      </w:r>
      <w:r>
        <w:rPr>
          <w:spacing w:val="-4"/>
        </w:rPr>
        <w:t> </w:t>
      </w:r>
      <w:r>
        <w:rPr>
          <w:spacing w:val="-2"/>
        </w:rPr>
        <w:t>led</w:t>
      </w:r>
      <w:r>
        <w:rPr>
          <w:spacing w:val="-4"/>
        </w:rPr>
        <w:t> </w:t>
      </w:r>
      <w:r>
        <w:rPr>
          <w:spacing w:val="-2"/>
        </w:rPr>
        <w:t>to</w:t>
      </w:r>
      <w:r>
        <w:rPr>
          <w:spacing w:val="-4"/>
        </w:rPr>
        <w:t> </w:t>
      </w:r>
      <w:r>
        <w:rPr>
          <w:spacing w:val="-2"/>
        </w:rPr>
        <w:t>responsive</w:t>
      </w:r>
      <w:r>
        <w:rPr>
          <w:spacing w:val="-4"/>
        </w:rPr>
        <w:t> </w:t>
      </w:r>
      <w:r>
        <w:rPr>
          <w:spacing w:val="-2"/>
        </w:rPr>
        <w:t>selling</w:t>
      </w:r>
      <w:r>
        <w:rPr>
          <w:spacing w:val="-4"/>
        </w:rPr>
        <w:t> </w:t>
      </w:r>
      <w:r>
        <w:rPr>
          <w:spacing w:val="-2"/>
        </w:rPr>
        <w:t>pressure,</w:t>
      </w:r>
      <w:r>
        <w:rPr>
          <w:spacing w:val="-4"/>
        </w:rPr>
        <w:t> </w:t>
      </w:r>
      <w:r>
        <w:rPr>
          <w:spacing w:val="-2"/>
        </w:rPr>
        <w:t>which</w:t>
      </w:r>
      <w:r>
        <w:rPr>
          <w:spacing w:val="-4"/>
        </w:rPr>
        <w:t> </w:t>
      </w:r>
      <w:r>
        <w:rPr>
          <w:spacing w:val="-2"/>
        </w:rPr>
        <w:t>pushed</w:t>
      </w:r>
      <w:r>
        <w:rPr>
          <w:spacing w:val="-4"/>
        </w:rPr>
        <w:t> </w:t>
      </w:r>
      <w:r>
        <w:rPr>
          <w:spacing w:val="-2"/>
        </w:rPr>
        <w:t>price</w:t>
      </w:r>
      <w:r>
        <w:rPr>
          <w:spacing w:val="-4"/>
        </w:rPr>
        <w:t> </w:t>
      </w:r>
      <w:r>
        <w:rPr>
          <w:spacing w:val="-2"/>
        </w:rPr>
        <w:t>back </w:t>
      </w:r>
      <w:r>
        <w:rPr/>
        <w:t>toward fair value at the VPOC. While both of the outer extremes of the VAP </w:t>
      </w:r>
      <w:r>
        <w:rPr>
          <w:spacing w:val="-2"/>
        </w:rPr>
        <w:t>histogram</w:t>
      </w:r>
      <w:r>
        <w:rPr>
          <w:spacing w:val="-8"/>
        </w:rPr>
        <w:t> </w:t>
      </w:r>
      <w:r>
        <w:rPr>
          <w:spacing w:val="-2"/>
        </w:rPr>
        <w:t>were</w:t>
      </w:r>
      <w:r>
        <w:rPr>
          <w:spacing w:val="-8"/>
        </w:rPr>
        <w:t> </w:t>
      </w:r>
      <w:r>
        <w:rPr>
          <w:spacing w:val="-2"/>
        </w:rPr>
        <w:t>able</w:t>
      </w:r>
      <w:r>
        <w:rPr>
          <w:spacing w:val="-8"/>
        </w:rPr>
        <w:t> </w:t>
      </w:r>
      <w:r>
        <w:rPr>
          <w:spacing w:val="-2"/>
        </w:rPr>
        <w:t>to</w:t>
      </w:r>
      <w:r>
        <w:rPr>
          <w:spacing w:val="-8"/>
        </w:rPr>
        <w:t> </w:t>
      </w:r>
      <w:r>
        <w:rPr>
          <w:spacing w:val="-2"/>
        </w:rPr>
        <w:t>contain</w:t>
      </w:r>
      <w:r>
        <w:rPr>
          <w:spacing w:val="-8"/>
        </w:rPr>
        <w:t> </w:t>
      </w:r>
      <w:r>
        <w:rPr>
          <w:spacing w:val="-2"/>
        </w:rPr>
        <w:t>price</w:t>
      </w:r>
      <w:r>
        <w:rPr>
          <w:spacing w:val="-8"/>
        </w:rPr>
        <w:t> </w:t>
      </w:r>
      <w:r>
        <w:rPr>
          <w:spacing w:val="-2"/>
        </w:rPr>
        <w:t>early</w:t>
      </w:r>
      <w:r>
        <w:rPr>
          <w:spacing w:val="-10"/>
        </w:rPr>
        <w:t> </w:t>
      </w:r>
      <w:r>
        <w:rPr>
          <w:spacing w:val="-2"/>
        </w:rPr>
        <w:t>in</w:t>
      </w:r>
      <w:r>
        <w:rPr>
          <w:spacing w:val="-8"/>
        </w:rPr>
        <w:t> </w:t>
      </w:r>
      <w:r>
        <w:rPr>
          <w:spacing w:val="-2"/>
        </w:rPr>
        <w:t>the</w:t>
      </w:r>
      <w:r>
        <w:rPr>
          <w:spacing w:val="-8"/>
        </w:rPr>
        <w:t> </w:t>
      </w:r>
      <w:r>
        <w:rPr>
          <w:spacing w:val="-2"/>
        </w:rPr>
        <w:t>session,</w:t>
      </w:r>
      <w:r>
        <w:rPr>
          <w:spacing w:val="-8"/>
        </w:rPr>
        <w:t> </w:t>
      </w:r>
      <w:r>
        <w:rPr>
          <w:spacing w:val="-2"/>
        </w:rPr>
        <w:t>the</w:t>
      </w:r>
      <w:r>
        <w:rPr>
          <w:spacing w:val="-8"/>
        </w:rPr>
        <w:t> </w:t>
      </w:r>
      <w:r>
        <w:rPr>
          <w:spacing w:val="-2"/>
        </w:rPr>
        <w:t>lower</w:t>
      </w:r>
      <w:r>
        <w:rPr>
          <w:spacing w:val="-8"/>
        </w:rPr>
        <w:t> </w:t>
      </w:r>
      <w:r>
        <w:rPr>
          <w:spacing w:val="-2"/>
        </w:rPr>
        <w:t>extreme</w:t>
      </w:r>
      <w:r>
        <w:rPr>
          <w:spacing w:val="-8"/>
        </w:rPr>
        <w:t> </w:t>
      </w:r>
      <w:r>
        <w:rPr>
          <w:spacing w:val="-2"/>
        </w:rPr>
        <w:t>was </w:t>
      </w:r>
      <w:r>
        <w:rPr/>
        <w:t>eventually overwhelmed with initiative selling pressure, which caused a significant</w:t>
      </w:r>
      <w:r>
        <w:rPr>
          <w:spacing w:val="-10"/>
        </w:rPr>
        <w:t> </w:t>
      </w:r>
      <w:r>
        <w:rPr/>
        <w:t>move</w:t>
      </w:r>
      <w:r>
        <w:rPr>
          <w:spacing w:val="-10"/>
        </w:rPr>
        <w:t> </w:t>
      </w:r>
      <w:r>
        <w:rPr/>
        <w:t>away</w:t>
      </w:r>
      <w:r>
        <w:rPr>
          <w:spacing w:val="-11"/>
        </w:rPr>
        <w:t> </w:t>
      </w:r>
      <w:r>
        <w:rPr/>
        <w:t>from</w:t>
      </w:r>
      <w:r>
        <w:rPr>
          <w:spacing w:val="-11"/>
        </w:rPr>
        <w:t> </w:t>
      </w:r>
      <w:r>
        <w:rPr/>
        <w:t>the</w:t>
      </w:r>
      <w:r>
        <w:rPr>
          <w:spacing w:val="-11"/>
        </w:rPr>
        <w:t> </w:t>
      </w:r>
      <w:r>
        <w:rPr/>
        <w:t>VPOC</w:t>
      </w:r>
      <w:r>
        <w:rPr>
          <w:spacing w:val="-11"/>
        </w:rPr>
        <w:t> </w:t>
      </w:r>
      <w:r>
        <w:rPr/>
        <w:t>in</w:t>
      </w:r>
      <w:r>
        <w:rPr>
          <w:spacing w:val="-11"/>
        </w:rPr>
        <w:t> </w:t>
      </w:r>
      <w:r>
        <w:rPr/>
        <w:t>search</w:t>
      </w:r>
      <w:r>
        <w:rPr>
          <w:spacing w:val="-11"/>
        </w:rPr>
        <w:t> </w:t>
      </w:r>
      <w:r>
        <w:rPr/>
        <w:t>of</w:t>
      </w:r>
      <w:r>
        <w:rPr>
          <w:spacing w:val="-11"/>
        </w:rPr>
        <w:t> </w:t>
      </w:r>
      <w:r>
        <w:rPr/>
        <w:t>lower</w:t>
      </w:r>
      <w:r>
        <w:rPr>
          <w:spacing w:val="-11"/>
        </w:rPr>
        <w:t> </w:t>
      </w:r>
      <w:r>
        <w:rPr/>
        <w:t>value.</w:t>
      </w:r>
    </w:p>
    <w:p>
      <w:pPr>
        <w:pStyle w:val="BodyText"/>
        <w:ind w:left="500" w:right="134" w:firstLine="432"/>
        <w:jc w:val="both"/>
      </w:pPr>
      <w:r>
        <w:rPr/>
        <w:t>While</w:t>
      </w:r>
      <w:r>
        <w:rPr>
          <w:spacing w:val="-4"/>
        </w:rPr>
        <w:t> </w:t>
      </w:r>
      <w:r>
        <w:rPr/>
        <w:t>this</w:t>
      </w:r>
      <w:r>
        <w:rPr>
          <w:spacing w:val="-5"/>
        </w:rPr>
        <w:t> </w:t>
      </w:r>
      <w:r>
        <w:rPr/>
        <w:t>is</w:t>
      </w:r>
      <w:r>
        <w:rPr>
          <w:spacing w:val="-5"/>
        </w:rPr>
        <w:t> </w:t>
      </w:r>
      <w:r>
        <w:rPr/>
        <w:t>an</w:t>
      </w:r>
      <w:r>
        <w:rPr>
          <w:spacing w:val="-4"/>
        </w:rPr>
        <w:t> </w:t>
      </w:r>
      <w:r>
        <w:rPr/>
        <w:t>introductory</w:t>
      </w:r>
      <w:r>
        <w:rPr>
          <w:spacing w:val="-5"/>
        </w:rPr>
        <w:t> </w:t>
      </w:r>
      <w:r>
        <w:rPr/>
        <w:t>look</w:t>
      </w:r>
      <w:r>
        <w:rPr>
          <w:spacing w:val="-4"/>
        </w:rPr>
        <w:t> </w:t>
      </w:r>
      <w:r>
        <w:rPr/>
        <w:t>at</w:t>
      </w:r>
      <w:r>
        <w:rPr>
          <w:spacing w:val="-5"/>
        </w:rPr>
        <w:t> </w:t>
      </w:r>
      <w:r>
        <w:rPr/>
        <w:t>how</w:t>
      </w:r>
      <w:r>
        <w:rPr>
          <w:spacing w:val="-5"/>
        </w:rPr>
        <w:t> </w:t>
      </w:r>
      <w:r>
        <w:rPr/>
        <w:t>price</w:t>
      </w:r>
      <w:r>
        <w:rPr>
          <w:spacing w:val="-4"/>
        </w:rPr>
        <w:t> </w:t>
      </w:r>
      <w:r>
        <w:rPr/>
        <w:t>can</w:t>
      </w:r>
      <w:r>
        <w:rPr>
          <w:spacing w:val="-4"/>
        </w:rPr>
        <w:t> </w:t>
      </w:r>
      <w:r>
        <w:rPr/>
        <w:t>react</w:t>
      </w:r>
      <w:r>
        <w:rPr>
          <w:spacing w:val="-4"/>
        </w:rPr>
        <w:t> </w:t>
      </w:r>
      <w:r>
        <w:rPr/>
        <w:t>to</w:t>
      </w:r>
      <w:r>
        <w:rPr>
          <w:spacing w:val="-5"/>
        </w:rPr>
        <w:t> </w:t>
      </w:r>
      <w:r>
        <w:rPr/>
        <w:t>the</w:t>
      </w:r>
      <w:r>
        <w:rPr>
          <w:spacing w:val="-4"/>
        </w:rPr>
        <w:t> </w:t>
      </w:r>
      <w:r>
        <w:rPr/>
        <w:t>volume</w:t>
      </w:r>
      <w:r>
        <w:rPr>
          <w:spacing w:val="-4"/>
        </w:rPr>
        <w:t> </w:t>
      </w:r>
      <w:r>
        <w:rPr/>
        <w:t>at price</w:t>
      </w:r>
      <w:r>
        <w:rPr>
          <w:spacing w:val="-12"/>
        </w:rPr>
        <w:t> </w:t>
      </w:r>
      <w:r>
        <w:rPr/>
        <w:t>indicator,</w:t>
      </w:r>
      <w:r>
        <w:rPr>
          <w:spacing w:val="-12"/>
        </w:rPr>
        <w:t> </w:t>
      </w:r>
      <w:r>
        <w:rPr/>
        <w:t>it’s</w:t>
      </w:r>
      <w:r>
        <w:rPr>
          <w:spacing w:val="-12"/>
        </w:rPr>
        <w:t> </w:t>
      </w:r>
      <w:r>
        <w:rPr/>
        <w:t>easy</w:t>
      </w:r>
      <w:r>
        <w:rPr>
          <w:spacing w:val="-12"/>
        </w:rPr>
        <w:t> </w:t>
      </w:r>
      <w:r>
        <w:rPr/>
        <w:t>to</w:t>
      </w:r>
      <w:r>
        <w:rPr>
          <w:spacing w:val="-12"/>
        </w:rPr>
        <w:t> </w:t>
      </w:r>
      <w:r>
        <w:rPr/>
        <w:t>tell</w:t>
      </w:r>
      <w:r>
        <w:rPr>
          <w:spacing w:val="-12"/>
        </w:rPr>
        <w:t> </w:t>
      </w:r>
      <w:r>
        <w:rPr/>
        <w:t>that</w:t>
      </w:r>
      <w:r>
        <w:rPr>
          <w:spacing w:val="-12"/>
        </w:rPr>
        <w:t> </w:t>
      </w:r>
      <w:r>
        <w:rPr/>
        <w:t>it</w:t>
      </w:r>
      <w:r>
        <w:rPr>
          <w:spacing w:val="-12"/>
        </w:rPr>
        <w:t> </w:t>
      </w:r>
      <w:r>
        <w:rPr/>
        <w:t>can</w:t>
      </w:r>
      <w:r>
        <w:rPr>
          <w:spacing w:val="-12"/>
        </w:rPr>
        <w:t> </w:t>
      </w:r>
      <w:r>
        <w:rPr/>
        <w:t>be</w:t>
      </w:r>
      <w:r>
        <w:rPr>
          <w:spacing w:val="-12"/>
        </w:rPr>
        <w:t> </w:t>
      </w:r>
      <w:r>
        <w:rPr/>
        <w:t>a</w:t>
      </w:r>
      <w:r>
        <w:rPr>
          <w:spacing w:val="-12"/>
        </w:rPr>
        <w:t> </w:t>
      </w:r>
      <w:r>
        <w:rPr/>
        <w:t>powerful</w:t>
      </w:r>
      <w:r>
        <w:rPr>
          <w:spacing w:val="-12"/>
        </w:rPr>
        <w:t> </w:t>
      </w:r>
      <w:r>
        <w:rPr/>
        <w:t>complement</w:t>
      </w:r>
      <w:r>
        <w:rPr>
          <w:spacing w:val="-12"/>
        </w:rPr>
        <w:t> </w:t>
      </w:r>
      <w:r>
        <w:rPr/>
        <w:t>to</w:t>
      </w:r>
      <w:r>
        <w:rPr>
          <w:spacing w:val="-12"/>
        </w:rPr>
        <w:t> </w:t>
      </w:r>
      <w:r>
        <w:rPr/>
        <w:t>the</w:t>
      </w:r>
      <w:r>
        <w:rPr>
          <w:spacing w:val="-12"/>
        </w:rPr>
        <w:t> </w:t>
      </w:r>
      <w:r>
        <w:rPr/>
        <w:t>way you trade and analyze the market. This indicator is truly one of my favorite trading</w:t>
      </w:r>
      <w:r>
        <w:rPr>
          <w:spacing w:val="-10"/>
        </w:rPr>
        <w:t> </w:t>
      </w:r>
      <w:r>
        <w:rPr/>
        <w:t>tools.</w:t>
      </w:r>
      <w:r>
        <w:rPr>
          <w:spacing w:val="-10"/>
        </w:rPr>
        <w:t> </w:t>
      </w:r>
      <w:r>
        <w:rPr/>
        <w:t>Like</w:t>
      </w:r>
      <w:r>
        <w:rPr>
          <w:spacing w:val="-11"/>
        </w:rPr>
        <w:t> </w:t>
      </w:r>
      <w:r>
        <w:rPr/>
        <w:t>the</w:t>
      </w:r>
      <w:r>
        <w:rPr>
          <w:spacing w:val="-11"/>
        </w:rPr>
        <w:t> </w:t>
      </w:r>
      <w:r>
        <w:rPr/>
        <w:t>kid</w:t>
      </w:r>
      <w:r>
        <w:rPr>
          <w:spacing w:val="-11"/>
        </w:rPr>
        <w:t> </w:t>
      </w:r>
      <w:r>
        <w:rPr/>
        <w:t>on</w:t>
      </w:r>
      <w:r>
        <w:rPr>
          <w:spacing w:val="-11"/>
        </w:rPr>
        <w:t> </w:t>
      </w:r>
      <w:r>
        <w:rPr/>
        <w:t>the</w:t>
      </w:r>
      <w:r>
        <w:rPr>
          <w:spacing w:val="-11"/>
        </w:rPr>
        <w:t> </w:t>
      </w:r>
      <w:r>
        <w:rPr/>
        <w:t>trampoline,</w:t>
      </w:r>
      <w:r>
        <w:rPr>
          <w:spacing w:val="-10"/>
        </w:rPr>
        <w:t> </w:t>
      </w:r>
      <w:r>
        <w:rPr/>
        <w:t>this</w:t>
      </w:r>
      <w:r>
        <w:rPr>
          <w:spacing w:val="-11"/>
        </w:rPr>
        <w:t> </w:t>
      </w:r>
      <w:r>
        <w:rPr/>
        <w:t>indicator</w:t>
      </w:r>
      <w:r>
        <w:rPr>
          <w:spacing w:val="-11"/>
        </w:rPr>
        <w:t> </w:t>
      </w:r>
      <w:r>
        <w:rPr/>
        <w:t>triggers</w:t>
      </w:r>
      <w:r>
        <w:rPr>
          <w:spacing w:val="-11"/>
        </w:rPr>
        <w:t> </w:t>
      </w:r>
      <w:r>
        <w:rPr/>
        <w:t>thoughts</w:t>
      </w:r>
      <w:r>
        <w:rPr>
          <w:spacing w:val="-11"/>
        </w:rPr>
        <w:t> </w:t>
      </w:r>
      <w:r>
        <w:rPr/>
        <w:t>of fun</w:t>
      </w:r>
      <w:r>
        <w:rPr>
          <w:spacing w:val="-7"/>
        </w:rPr>
        <w:t> </w:t>
      </w:r>
      <w:r>
        <w:rPr/>
        <w:t>and</w:t>
      </w:r>
      <w:r>
        <w:rPr>
          <w:spacing w:val="-8"/>
        </w:rPr>
        <w:t> </w:t>
      </w:r>
      <w:r>
        <w:rPr/>
        <w:t>excitement</w:t>
      </w:r>
      <w:r>
        <w:rPr>
          <w:spacing w:val="-7"/>
        </w:rPr>
        <w:t> </w:t>
      </w:r>
      <w:r>
        <w:rPr/>
        <w:t>when</w:t>
      </w:r>
      <w:r>
        <w:rPr>
          <w:spacing w:val="-8"/>
        </w:rPr>
        <w:t> </w:t>
      </w:r>
      <w:r>
        <w:rPr/>
        <w:t>I</w:t>
      </w:r>
      <w:r>
        <w:rPr>
          <w:spacing w:val="-9"/>
        </w:rPr>
        <w:t> </w:t>
      </w:r>
      <w:r>
        <w:rPr/>
        <w:t>use</w:t>
      </w:r>
      <w:r>
        <w:rPr>
          <w:spacing w:val="-7"/>
        </w:rPr>
        <w:t> </w:t>
      </w:r>
      <w:r>
        <w:rPr/>
        <w:t>it</w:t>
      </w:r>
      <w:r>
        <w:rPr>
          <w:spacing w:val="-8"/>
        </w:rPr>
        <w:t> </w:t>
      </w:r>
      <w:r>
        <w:rPr/>
        <w:t>to</w:t>
      </w:r>
      <w:r>
        <w:rPr>
          <w:spacing w:val="-8"/>
        </w:rPr>
        <w:t> </w:t>
      </w:r>
      <w:r>
        <w:rPr/>
        <w:t>engage</w:t>
      </w:r>
      <w:r>
        <w:rPr>
          <w:spacing w:val="-7"/>
        </w:rPr>
        <w:t> </w:t>
      </w:r>
      <w:r>
        <w:rPr/>
        <w:t>the</w:t>
      </w:r>
      <w:r>
        <w:rPr>
          <w:spacing w:val="-8"/>
        </w:rPr>
        <w:t> </w:t>
      </w:r>
      <w:r>
        <w:rPr/>
        <w:t>market.</w:t>
      </w:r>
      <w:r>
        <w:rPr>
          <w:spacing w:val="-8"/>
        </w:rPr>
        <w:t> </w:t>
      </w:r>
      <w:r>
        <w:rPr/>
        <w:t>As</w:t>
      </w:r>
      <w:r>
        <w:rPr>
          <w:spacing w:val="-7"/>
        </w:rPr>
        <w:t> </w:t>
      </w:r>
      <w:r>
        <w:rPr/>
        <w:t>we</w:t>
      </w:r>
      <w:r>
        <w:rPr>
          <w:spacing w:val="-7"/>
        </w:rPr>
        <w:t> </w:t>
      </w:r>
      <w:r>
        <w:rPr/>
        <w:t>move</w:t>
      </w:r>
      <w:r>
        <w:rPr>
          <w:spacing w:val="-8"/>
        </w:rPr>
        <w:t> </w:t>
      </w:r>
      <w:r>
        <w:rPr/>
        <w:t>forward,</w:t>
      </w:r>
      <w:r>
        <w:rPr>
          <w:spacing w:val="-7"/>
        </w:rPr>
        <w:t> </w:t>
      </w:r>
      <w:r>
        <w:rPr/>
        <w:t>I will</w:t>
      </w:r>
      <w:r>
        <w:rPr>
          <w:spacing w:val="-2"/>
        </w:rPr>
        <w:t> </w:t>
      </w:r>
      <w:r>
        <w:rPr/>
        <w:t>reveal</w:t>
      </w:r>
      <w:r>
        <w:rPr>
          <w:spacing w:val="-3"/>
        </w:rPr>
        <w:t> </w:t>
      </w:r>
      <w:r>
        <w:rPr/>
        <w:t>powerful</w:t>
      </w:r>
      <w:r>
        <w:rPr>
          <w:spacing w:val="-2"/>
        </w:rPr>
        <w:t> </w:t>
      </w:r>
      <w:r>
        <w:rPr/>
        <w:t>nuances</w:t>
      </w:r>
      <w:r>
        <w:rPr>
          <w:spacing w:val="-2"/>
        </w:rPr>
        <w:t> </w:t>
      </w:r>
      <w:r>
        <w:rPr/>
        <w:t>behind</w:t>
      </w:r>
      <w:r>
        <w:rPr>
          <w:spacing w:val="-2"/>
        </w:rPr>
        <w:t> </w:t>
      </w:r>
      <w:r>
        <w:rPr/>
        <w:t>the</w:t>
      </w:r>
      <w:r>
        <w:rPr>
          <w:spacing w:val="-2"/>
        </w:rPr>
        <w:t> </w:t>
      </w:r>
      <w:r>
        <w:rPr/>
        <w:t>indicator</w:t>
      </w:r>
      <w:r>
        <w:rPr>
          <w:spacing w:val="-2"/>
        </w:rPr>
        <w:t> </w:t>
      </w:r>
      <w:r>
        <w:rPr/>
        <w:t>that</w:t>
      </w:r>
      <w:r>
        <w:rPr>
          <w:spacing w:val="-3"/>
        </w:rPr>
        <w:t> </w:t>
      </w:r>
      <w:r>
        <w:rPr/>
        <w:t>will</w:t>
      </w:r>
      <w:r>
        <w:rPr>
          <w:spacing w:val="-3"/>
        </w:rPr>
        <w:t> </w:t>
      </w:r>
      <w:r>
        <w:rPr/>
        <w:t>help</w:t>
      </w:r>
      <w:r>
        <w:rPr>
          <w:spacing w:val="-3"/>
        </w:rPr>
        <w:t> </w:t>
      </w:r>
      <w:r>
        <w:rPr/>
        <w:t>you</w:t>
      </w:r>
      <w:r>
        <w:rPr>
          <w:spacing w:val="-3"/>
        </w:rPr>
        <w:t> </w:t>
      </w:r>
      <w:r>
        <w:rPr/>
        <w:t>trade</w:t>
      </w:r>
      <w:r>
        <w:rPr>
          <w:spacing w:val="-3"/>
        </w:rPr>
        <w:t> </w:t>
      </w:r>
      <w:r>
        <w:rPr/>
        <w:t>in</w:t>
      </w:r>
      <w:r>
        <w:rPr>
          <w:spacing w:val="-3"/>
        </w:rPr>
        <w:t> </w:t>
      </w:r>
      <w:r>
        <w:rPr/>
        <w:t>a more</w:t>
      </w:r>
      <w:r>
        <w:rPr>
          <w:spacing w:val="-3"/>
        </w:rPr>
        <w:t> </w:t>
      </w:r>
      <w:r>
        <w:rPr/>
        <w:t>knowledgeable</w:t>
      </w:r>
      <w:r>
        <w:rPr>
          <w:spacing w:val="-4"/>
        </w:rPr>
        <w:t> </w:t>
      </w:r>
      <w:r>
        <w:rPr/>
        <w:t>and</w:t>
      </w:r>
      <w:r>
        <w:rPr>
          <w:spacing w:val="-6"/>
        </w:rPr>
        <w:t> </w:t>
      </w:r>
      <w:r>
        <w:rPr/>
        <w:t>profitable</w:t>
      </w:r>
      <w:r>
        <w:rPr>
          <w:spacing w:val="-4"/>
        </w:rPr>
        <w:t> </w:t>
      </w:r>
      <w:r>
        <w:rPr/>
        <w:t>manner.</w:t>
      </w:r>
    </w:p>
    <w:p>
      <w:pPr>
        <w:pStyle w:val="BodyText"/>
        <w:spacing w:before="9"/>
        <w:rPr>
          <w:sz w:val="21"/>
        </w:rPr>
      </w:pPr>
    </w:p>
    <w:p>
      <w:pPr>
        <w:pStyle w:val="Heading3"/>
        <w:ind w:left="500"/>
        <w:jc w:val="both"/>
      </w:pPr>
      <w:r>
        <w:rPr/>
        <w:pict>
          <v:shape style="position:absolute;margin-left:54.779999pt;margin-top:18.290319pt;width:341pt;height:.1pt;mso-position-horizontal-relative:page;mso-position-vertical-relative:paragraph;z-index:-15699456;mso-wrap-distance-left:0;mso-wrap-distance-right:0" id="docshape263" coordorigin="1096,366" coordsize="6820,0" path="m1096,366l7915,366e" filled="false" stroked="true" strokeweight=".75pt" strokecolor="#000000">
            <v:path arrowok="t"/>
            <v:stroke dashstyle="solid"/>
            <w10:wrap type="topAndBottom"/>
          </v:shape>
        </w:pict>
      </w:r>
      <w:bookmarkStart w:name="_TOC_250065" w:id="26"/>
      <w:r>
        <w:rPr>
          <w:smallCaps/>
        </w:rPr>
        <w:t>Engaging</w:t>
      </w:r>
      <w:r>
        <w:rPr>
          <w:smallCaps/>
          <w:spacing w:val="-12"/>
        </w:rPr>
        <w:t> </w:t>
      </w:r>
      <w:r>
        <w:rPr>
          <w:smallCaps/>
        </w:rPr>
        <w:t>The</w:t>
      </w:r>
      <w:r>
        <w:rPr>
          <w:smallCaps/>
          <w:spacing w:val="-9"/>
        </w:rPr>
        <w:t> </w:t>
      </w:r>
      <w:r>
        <w:rPr>
          <w:smallCaps/>
        </w:rPr>
        <w:t>Money</w:t>
      </w:r>
      <w:r>
        <w:rPr>
          <w:smallCaps/>
          <w:spacing w:val="-14"/>
        </w:rPr>
        <w:t> </w:t>
      </w:r>
      <w:bookmarkEnd w:id="26"/>
      <w:r>
        <w:rPr>
          <w:smallCaps/>
          <w:spacing w:val="-4"/>
        </w:rPr>
        <w:t>Zone</w:t>
      </w:r>
    </w:p>
    <w:p>
      <w:pPr>
        <w:pStyle w:val="BodyText"/>
        <w:spacing w:before="202"/>
        <w:ind w:left="499" w:right="138" w:firstLine="432"/>
        <w:jc w:val="both"/>
      </w:pPr>
      <w:r>
        <w:rPr/>
        <w:t>The Money Zone has allowed me to enjoy a whole new level of market understanding</w:t>
      </w:r>
      <w:r>
        <w:rPr>
          <w:spacing w:val="40"/>
        </w:rPr>
        <w:t> </w:t>
      </w:r>
      <w:r>
        <w:rPr/>
        <w:t>and</w:t>
      </w:r>
      <w:r>
        <w:rPr>
          <w:spacing w:val="40"/>
        </w:rPr>
        <w:t> </w:t>
      </w:r>
      <w:r>
        <w:rPr/>
        <w:t>trading</w:t>
      </w:r>
      <w:r>
        <w:rPr>
          <w:spacing w:val="40"/>
        </w:rPr>
        <w:t> </w:t>
      </w:r>
      <w:r>
        <w:rPr/>
        <w:t>success.</w:t>
      </w:r>
      <w:r>
        <w:rPr>
          <w:spacing w:val="40"/>
        </w:rPr>
        <w:t> </w:t>
      </w:r>
      <w:r>
        <w:rPr/>
        <w:t>The</w:t>
      </w:r>
      <w:r>
        <w:rPr>
          <w:spacing w:val="40"/>
        </w:rPr>
        <w:t> </w:t>
      </w:r>
      <w:r>
        <w:rPr/>
        <w:t>importance</w:t>
      </w:r>
      <w:r>
        <w:rPr>
          <w:spacing w:val="40"/>
        </w:rPr>
        <w:t> </w:t>
      </w:r>
      <w:r>
        <w:rPr/>
        <w:t>and</w:t>
      </w:r>
      <w:r>
        <w:rPr>
          <w:spacing w:val="40"/>
        </w:rPr>
        <w:t> </w:t>
      </w:r>
      <w:r>
        <w:rPr/>
        <w:t>significance behind</w:t>
      </w:r>
      <w:r>
        <w:rPr>
          <w:spacing w:val="40"/>
        </w:rPr>
        <w:t> </w:t>
      </w:r>
      <w:r>
        <w:rPr/>
        <w:t>these</w:t>
      </w:r>
      <w:r>
        <w:rPr>
          <w:spacing w:val="40"/>
        </w:rPr>
        <w:t> </w:t>
      </w:r>
      <w:r>
        <w:rPr/>
        <w:t>levels</w:t>
      </w:r>
      <w:r>
        <w:rPr>
          <w:spacing w:val="40"/>
        </w:rPr>
        <w:t> </w:t>
      </w:r>
      <w:r>
        <w:rPr/>
        <w:t>plays</w:t>
      </w:r>
      <w:r>
        <w:rPr>
          <w:spacing w:val="40"/>
        </w:rPr>
        <w:t> </w:t>
      </w:r>
      <w:r>
        <w:rPr/>
        <w:t>directly</w:t>
      </w:r>
      <w:r>
        <w:rPr>
          <w:spacing w:val="40"/>
        </w:rPr>
        <w:t> </w:t>
      </w:r>
      <w:r>
        <w:rPr/>
        <w:t>into</w:t>
      </w:r>
      <w:r>
        <w:rPr>
          <w:spacing w:val="40"/>
        </w:rPr>
        <w:t> </w:t>
      </w:r>
      <w:r>
        <w:rPr/>
        <w:t>the</w:t>
      </w:r>
      <w:r>
        <w:rPr>
          <w:spacing w:val="40"/>
        </w:rPr>
        <w:t> </w:t>
      </w:r>
      <w:r>
        <w:rPr/>
        <w:t>hands</w:t>
      </w:r>
      <w:r>
        <w:rPr>
          <w:spacing w:val="40"/>
        </w:rPr>
        <w:t> </w:t>
      </w:r>
      <w:r>
        <w:rPr/>
        <w:t>of</w:t>
      </w:r>
      <w:r>
        <w:rPr>
          <w:spacing w:val="40"/>
        </w:rPr>
        <w:t> </w:t>
      </w:r>
      <w:r>
        <w:rPr/>
        <w:t>how</w:t>
      </w:r>
      <w:r>
        <w:rPr>
          <w:spacing w:val="40"/>
        </w:rPr>
        <w:t> </w:t>
      </w:r>
      <w:r>
        <w:rPr/>
        <w:t>the</w:t>
      </w:r>
      <w:r>
        <w:rPr>
          <w:spacing w:val="40"/>
        </w:rPr>
        <w:t> </w:t>
      </w:r>
      <w:r>
        <w:rPr/>
        <w:t>market operates.</w:t>
      </w:r>
      <w:r>
        <w:rPr>
          <w:spacing w:val="40"/>
        </w:rPr>
        <w:t> </w:t>
      </w:r>
      <w:r>
        <w:rPr/>
        <w:t>To</w:t>
      </w:r>
      <w:r>
        <w:rPr>
          <w:spacing w:val="40"/>
        </w:rPr>
        <w:t> </w:t>
      </w:r>
      <w:r>
        <w:rPr/>
        <w:t>understand</w:t>
      </w:r>
      <w:r>
        <w:rPr>
          <w:spacing w:val="40"/>
        </w:rPr>
        <w:t> </w:t>
      </w:r>
      <w:r>
        <w:rPr/>
        <w:t>these</w:t>
      </w:r>
      <w:r>
        <w:rPr>
          <w:spacing w:val="40"/>
        </w:rPr>
        <w:t> </w:t>
      </w:r>
      <w:r>
        <w:rPr/>
        <w:t>levels</w:t>
      </w:r>
      <w:r>
        <w:rPr>
          <w:spacing w:val="40"/>
        </w:rPr>
        <w:t> </w:t>
      </w:r>
      <w:r>
        <w:rPr/>
        <w:t>is</w:t>
      </w:r>
      <w:r>
        <w:rPr>
          <w:spacing w:val="40"/>
        </w:rPr>
        <w:t> </w:t>
      </w:r>
      <w:r>
        <w:rPr/>
        <w:t>to</w:t>
      </w:r>
      <w:r>
        <w:rPr>
          <w:spacing w:val="40"/>
        </w:rPr>
        <w:t> </w:t>
      </w:r>
      <w:r>
        <w:rPr/>
        <w:t>understand</w:t>
      </w:r>
      <w:r>
        <w:rPr>
          <w:spacing w:val="40"/>
        </w:rPr>
        <w:t> </w:t>
      </w:r>
      <w:r>
        <w:rPr/>
        <w:t>market</w:t>
      </w:r>
      <w:r>
        <w:rPr>
          <w:spacing w:val="40"/>
        </w:rPr>
        <w:t> </w:t>
      </w:r>
      <w:r>
        <w:rPr/>
        <w:t>dynamics. Now</w:t>
      </w:r>
      <w:r>
        <w:rPr>
          <w:spacing w:val="40"/>
        </w:rPr>
        <w:t> </w:t>
      </w:r>
      <w:r>
        <w:rPr/>
        <w:t>that</w:t>
      </w:r>
      <w:r>
        <w:rPr>
          <w:spacing w:val="40"/>
        </w:rPr>
        <w:t> </w:t>
      </w:r>
      <w:r>
        <w:rPr/>
        <w:t>I</w:t>
      </w:r>
      <w:r>
        <w:rPr>
          <w:spacing w:val="40"/>
        </w:rPr>
        <w:t> </w:t>
      </w:r>
      <w:r>
        <w:rPr/>
        <w:t>have</w:t>
      </w:r>
      <w:r>
        <w:rPr>
          <w:spacing w:val="40"/>
        </w:rPr>
        <w:t> </w:t>
      </w:r>
      <w:r>
        <w:rPr/>
        <w:t>laid</w:t>
      </w:r>
      <w:r>
        <w:rPr>
          <w:spacing w:val="40"/>
        </w:rPr>
        <w:t> </w:t>
      </w:r>
      <w:r>
        <w:rPr/>
        <w:t>the</w:t>
      </w:r>
      <w:r>
        <w:rPr>
          <w:spacing w:val="40"/>
        </w:rPr>
        <w:t> </w:t>
      </w:r>
      <w:r>
        <w:rPr/>
        <w:t>foundation</w:t>
      </w:r>
      <w:r>
        <w:rPr>
          <w:spacing w:val="40"/>
        </w:rPr>
        <w:t> </w:t>
      </w:r>
      <w:r>
        <w:rPr/>
        <w:t>of</w:t>
      </w:r>
      <w:r>
        <w:rPr>
          <w:spacing w:val="40"/>
        </w:rPr>
        <w:t> </w:t>
      </w:r>
      <w:r>
        <w:rPr/>
        <w:t>what</w:t>
      </w:r>
      <w:r>
        <w:rPr>
          <w:spacing w:val="40"/>
        </w:rPr>
        <w:t> </w:t>
      </w:r>
      <w:r>
        <w:rPr/>
        <w:t>the</w:t>
      </w:r>
      <w:r>
        <w:rPr>
          <w:spacing w:val="40"/>
        </w:rPr>
        <w:t> </w:t>
      </w:r>
      <w:r>
        <w:rPr/>
        <w:t>Money</w:t>
      </w:r>
      <w:r>
        <w:rPr>
          <w:spacing w:val="40"/>
        </w:rPr>
        <w:t> </w:t>
      </w:r>
      <w:r>
        <w:rPr/>
        <w:t>Zone encompasses,</w:t>
      </w:r>
      <w:r>
        <w:rPr>
          <w:spacing w:val="36"/>
        </w:rPr>
        <w:t> </w:t>
      </w:r>
      <w:r>
        <w:rPr/>
        <w:t>we</w:t>
      </w:r>
      <w:r>
        <w:rPr>
          <w:spacing w:val="37"/>
        </w:rPr>
        <w:t> </w:t>
      </w:r>
      <w:r>
        <w:rPr/>
        <w:t>can</w:t>
      </w:r>
      <w:r>
        <w:rPr>
          <w:spacing w:val="36"/>
        </w:rPr>
        <w:t> </w:t>
      </w:r>
      <w:r>
        <w:rPr/>
        <w:t>now</w:t>
      </w:r>
      <w:r>
        <w:rPr>
          <w:spacing w:val="36"/>
        </w:rPr>
        <w:t> </w:t>
      </w:r>
      <w:r>
        <w:rPr/>
        <w:t>begin</w:t>
      </w:r>
      <w:r>
        <w:rPr>
          <w:spacing w:val="36"/>
        </w:rPr>
        <w:t> </w:t>
      </w:r>
      <w:r>
        <w:rPr/>
        <w:t>to</w:t>
      </w:r>
      <w:r>
        <w:rPr>
          <w:spacing w:val="37"/>
        </w:rPr>
        <w:t> </w:t>
      </w:r>
      <w:r>
        <w:rPr/>
        <w:t>attack</w:t>
      </w:r>
      <w:r>
        <w:rPr>
          <w:spacing w:val="36"/>
        </w:rPr>
        <w:t> </w:t>
      </w:r>
      <w:r>
        <w:rPr/>
        <w:t>these</w:t>
      </w:r>
      <w:r>
        <w:rPr>
          <w:spacing w:val="36"/>
        </w:rPr>
        <w:t> </w:t>
      </w:r>
      <w:r>
        <w:rPr/>
        <w:t>levels</w:t>
      </w:r>
      <w:r>
        <w:rPr>
          <w:spacing w:val="37"/>
        </w:rPr>
        <w:t> </w:t>
      </w:r>
      <w:r>
        <w:rPr/>
        <w:t>from</w:t>
      </w:r>
      <w:r>
        <w:rPr>
          <w:spacing w:val="39"/>
        </w:rPr>
        <w:t> </w:t>
      </w:r>
      <w:r>
        <w:rPr/>
        <w:t>other</w:t>
      </w:r>
      <w:r>
        <w:rPr>
          <w:spacing w:val="37"/>
        </w:rPr>
        <w:t> </w:t>
      </w:r>
      <w:r>
        <w:rPr/>
        <w:t>angles. As</w:t>
      </w:r>
      <w:r>
        <w:rPr>
          <w:spacing w:val="40"/>
        </w:rPr>
        <w:t> </w:t>
      </w:r>
      <w:r>
        <w:rPr/>
        <w:t>you</w:t>
      </w:r>
      <w:r>
        <w:rPr>
          <w:spacing w:val="40"/>
        </w:rPr>
        <w:t> </w:t>
      </w:r>
      <w:r>
        <w:rPr/>
        <w:t>plow</w:t>
      </w:r>
      <w:r>
        <w:rPr>
          <w:spacing w:val="40"/>
        </w:rPr>
        <w:t> </w:t>
      </w:r>
      <w:r>
        <w:rPr/>
        <w:t>your</w:t>
      </w:r>
      <w:r>
        <w:rPr>
          <w:spacing w:val="40"/>
        </w:rPr>
        <w:t> </w:t>
      </w:r>
      <w:r>
        <w:rPr/>
        <w:t>way</w:t>
      </w:r>
      <w:r>
        <w:rPr>
          <w:spacing w:val="40"/>
        </w:rPr>
        <w:t> </w:t>
      </w:r>
      <w:r>
        <w:rPr/>
        <w:t>through</w:t>
      </w:r>
      <w:r>
        <w:rPr>
          <w:spacing w:val="40"/>
        </w:rPr>
        <w:t> </w:t>
      </w:r>
      <w:r>
        <w:rPr/>
        <w:t>this</w:t>
      </w:r>
      <w:r>
        <w:rPr>
          <w:spacing w:val="40"/>
        </w:rPr>
        <w:t> </w:t>
      </w:r>
      <w:r>
        <w:rPr/>
        <w:t>information,</w:t>
      </w:r>
      <w:r>
        <w:rPr>
          <w:spacing w:val="40"/>
        </w:rPr>
        <w:t> </w:t>
      </w:r>
      <w:r>
        <w:rPr/>
        <w:t>continue</w:t>
      </w:r>
      <w:r>
        <w:rPr>
          <w:spacing w:val="40"/>
        </w:rPr>
        <w:t> </w:t>
      </w:r>
      <w:r>
        <w:rPr/>
        <w:t>to</w:t>
      </w:r>
      <w:r>
        <w:rPr>
          <w:spacing w:val="40"/>
        </w:rPr>
        <w:t> </w:t>
      </w:r>
      <w:r>
        <w:rPr/>
        <w:t>transition from a state of learning and absorbing to a state of understanding and engaging. Properly understanding these concepts will allow you to engage</w:t>
      </w:r>
      <w:r>
        <w:rPr>
          <w:spacing w:val="40"/>
        </w:rPr>
        <w:t> </w:t>
      </w:r>
      <w:r>
        <w:rPr/>
        <w:t>the market in a much more knowledgeable and confident manner when we begin</w:t>
      </w:r>
      <w:r>
        <w:rPr>
          <w:spacing w:val="77"/>
        </w:rPr>
        <w:t> </w:t>
      </w:r>
      <w:r>
        <w:rPr/>
        <w:t>to</w:t>
      </w:r>
      <w:r>
        <w:rPr>
          <w:spacing w:val="76"/>
        </w:rPr>
        <w:t> </w:t>
      </w:r>
      <w:r>
        <w:rPr/>
        <w:t>learn</w:t>
      </w:r>
      <w:r>
        <w:rPr>
          <w:spacing w:val="76"/>
        </w:rPr>
        <w:t> </w:t>
      </w:r>
      <w:r>
        <w:rPr/>
        <w:t>advanced</w:t>
      </w:r>
      <w:r>
        <w:rPr>
          <w:spacing w:val="77"/>
        </w:rPr>
        <w:t> </w:t>
      </w:r>
      <w:r>
        <w:rPr/>
        <w:t>trading</w:t>
      </w:r>
      <w:r>
        <w:rPr>
          <w:spacing w:val="77"/>
        </w:rPr>
        <w:t> </w:t>
      </w:r>
      <w:r>
        <w:rPr/>
        <w:t>concepts</w:t>
      </w:r>
      <w:r>
        <w:rPr>
          <w:spacing w:val="77"/>
        </w:rPr>
        <w:t> </w:t>
      </w:r>
      <w:r>
        <w:rPr/>
        <w:t>using</w:t>
      </w:r>
      <w:r>
        <w:rPr>
          <w:spacing w:val="77"/>
        </w:rPr>
        <w:t> </w:t>
      </w:r>
      <w:r>
        <w:rPr/>
        <w:t>these</w:t>
      </w:r>
      <w:r>
        <w:rPr>
          <w:spacing w:val="77"/>
        </w:rPr>
        <w:t> </w:t>
      </w:r>
      <w:r>
        <w:rPr/>
        <w:t>powerful</w:t>
      </w:r>
      <w:r>
        <w:rPr>
          <w:spacing w:val="76"/>
        </w:rPr>
        <w:t> </w:t>
      </w:r>
      <w:r>
        <w:rPr/>
        <w:t>levels.</w:t>
      </w:r>
    </w:p>
    <w:p>
      <w:pPr>
        <w:spacing w:after="0"/>
        <w:jc w:val="both"/>
        <w:sectPr>
          <w:pgSz w:w="8640" w:h="12960"/>
          <w:pgMar w:header="536" w:footer="1060" w:top="720" w:bottom="1260" w:left="580" w:right="580"/>
        </w:sectPr>
      </w:pPr>
    </w:p>
    <w:p>
      <w:pPr>
        <w:pStyle w:val="BodyText"/>
        <w:spacing w:before="4"/>
        <w:rPr>
          <w:sz w:val="17"/>
        </w:rPr>
      </w:pPr>
    </w:p>
    <w:p>
      <w:pPr>
        <w:spacing w:after="0"/>
        <w:rPr>
          <w:sz w:val="17"/>
        </w:rPr>
        <w:sectPr>
          <w:headerReference w:type="even" r:id="rId75"/>
          <w:footerReference w:type="even" r:id="rId76"/>
          <w:pgSz w:w="8640" w:h="12960"/>
          <w:pgMar w:header="0" w:footer="0" w:top="14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Heading2"/>
        <w:rPr>
          <w:sz w:val="180"/>
        </w:rPr>
      </w:pPr>
      <w:r>
        <w:rPr/>
        <w:pict>
          <v:line style="position:absolute;mso-position-horizontal-relative:page;mso-position-vertical-relative:paragraph;z-index:-19657216" from="54.060001pt,103.36338pt" to="388.500001pt,103.36338pt" stroked="true" strokeweight=".75pt" strokecolor="#000000">
            <v:stroke dashstyle="solid"/>
            <w10:wrap type="none"/>
          </v:line>
        </w:pict>
      </w:r>
      <w:bookmarkStart w:name="_TOC_250064" w:id="27"/>
      <w:r>
        <w:rPr>
          <w:w w:val="105"/>
        </w:rPr>
        <w:t>C H A P T E R</w:t>
      </w:r>
      <w:r>
        <w:rPr>
          <w:spacing w:val="-1"/>
          <w:w w:val="105"/>
        </w:rPr>
        <w:t> </w:t>
      </w:r>
      <w:bookmarkEnd w:id="27"/>
      <w:r>
        <w:rPr>
          <w:spacing w:val="-12"/>
          <w:w w:val="105"/>
          <w:sz w:val="180"/>
        </w:rPr>
        <w:t>4</w:t>
      </w:r>
    </w:p>
    <w:p>
      <w:pPr>
        <w:pStyle w:val="Heading1"/>
        <w:spacing w:line="276" w:lineRule="auto"/>
        <w:ind w:left="2908" w:hanging="778"/>
      </w:pPr>
      <w:bookmarkStart w:name="_TOC_250063" w:id="28"/>
      <w:r>
        <w:rPr>
          <w:smallCaps/>
          <w:w w:val="90"/>
        </w:rPr>
        <w:t>Advanced</w:t>
      </w:r>
      <w:r>
        <w:rPr>
          <w:smallCaps/>
          <w:spacing w:val="-3"/>
          <w:w w:val="90"/>
        </w:rPr>
        <w:t> </w:t>
      </w:r>
      <w:r>
        <w:rPr>
          <w:smallCaps/>
          <w:w w:val="90"/>
        </w:rPr>
        <w:t>Money Zone</w:t>
      </w:r>
      <w:r>
        <w:rPr>
          <w:smallCaps/>
          <w:spacing w:val="15"/>
        </w:rPr>
        <w:t> </w:t>
      </w:r>
      <w:bookmarkEnd w:id="28"/>
      <w:r>
        <w:rPr>
          <w:smallCaps/>
          <w:spacing w:val="-2"/>
          <w:w w:val="90"/>
        </w:rPr>
        <w:t>Concepts</w:t>
      </w:r>
    </w:p>
    <w:p>
      <w:pPr>
        <w:spacing w:line="276" w:lineRule="auto" w:before="289"/>
        <w:ind w:left="1219" w:right="136" w:firstLine="0"/>
        <w:jc w:val="both"/>
        <w:rPr>
          <w:i/>
          <w:sz w:val="22"/>
        </w:rPr>
      </w:pPr>
      <w:r>
        <w:rPr>
          <w:i/>
          <w:sz w:val="22"/>
        </w:rPr>
        <w:t>“A trader gets to play the game as a professional billiards player</w:t>
      </w:r>
      <w:r>
        <w:rPr>
          <w:i/>
          <w:sz w:val="22"/>
        </w:rPr>
        <w:t> does—that is, he looks far ahead instead of considering the particular shot before him. It gets to be an instinct to play for </w:t>
      </w:r>
      <w:r>
        <w:rPr>
          <w:i/>
          <w:spacing w:val="-2"/>
          <w:sz w:val="22"/>
        </w:rPr>
        <w:t>position.”</w:t>
      </w:r>
    </w:p>
    <w:p>
      <w:pPr>
        <w:pStyle w:val="BodyText"/>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spacing w:before="189"/>
        <w:ind w:left="499" w:right="137" w:firstLine="432"/>
        <w:jc w:val="both"/>
      </w:pPr>
      <w:r>
        <w:rPr/>
        <w:t>The Money Zone is an extremely powerful tool because the levels are based purely on market-generated information. The levels show you where real money has changed hands, which is extremely valuable information when trading. The use of the value area or the point of control as support and resistance</w:t>
      </w:r>
      <w:r>
        <w:rPr>
          <w:spacing w:val="46"/>
        </w:rPr>
        <w:t> </w:t>
      </w:r>
      <w:r>
        <w:rPr/>
        <w:t>is</w:t>
      </w:r>
      <w:r>
        <w:rPr>
          <w:spacing w:val="46"/>
        </w:rPr>
        <w:t> </w:t>
      </w:r>
      <w:r>
        <w:rPr/>
        <w:t>significant</w:t>
      </w:r>
      <w:r>
        <w:rPr>
          <w:spacing w:val="46"/>
        </w:rPr>
        <w:t> </w:t>
      </w:r>
      <w:r>
        <w:rPr/>
        <w:t>because</w:t>
      </w:r>
      <w:r>
        <w:rPr>
          <w:spacing w:val="46"/>
        </w:rPr>
        <w:t> </w:t>
      </w:r>
      <w:r>
        <w:rPr/>
        <w:t>these</w:t>
      </w:r>
      <w:r>
        <w:rPr>
          <w:spacing w:val="47"/>
        </w:rPr>
        <w:t> </w:t>
      </w:r>
      <w:r>
        <w:rPr/>
        <w:t>levels</w:t>
      </w:r>
      <w:r>
        <w:rPr>
          <w:spacing w:val="46"/>
        </w:rPr>
        <w:t> </w:t>
      </w:r>
      <w:r>
        <w:rPr/>
        <w:t>are</w:t>
      </w:r>
      <w:r>
        <w:rPr>
          <w:spacing w:val="46"/>
        </w:rPr>
        <w:t> </w:t>
      </w:r>
      <w:r>
        <w:rPr/>
        <w:t>based</w:t>
      </w:r>
      <w:r>
        <w:rPr>
          <w:spacing w:val="46"/>
        </w:rPr>
        <w:t> </w:t>
      </w:r>
      <w:r>
        <w:rPr/>
        <w:t>on</w:t>
      </w:r>
      <w:r>
        <w:rPr>
          <w:spacing w:val="46"/>
        </w:rPr>
        <w:t> </w:t>
      </w:r>
      <w:r>
        <w:rPr/>
        <w:t>the</w:t>
      </w:r>
      <w:r>
        <w:rPr>
          <w:spacing w:val="45"/>
        </w:rPr>
        <w:t> </w:t>
      </w:r>
      <w:r>
        <w:rPr/>
        <w:t>actions</w:t>
      </w:r>
      <w:r>
        <w:rPr>
          <w:spacing w:val="46"/>
        </w:rPr>
        <w:t> </w:t>
      </w:r>
      <w:r>
        <w:rPr>
          <w:spacing w:val="-5"/>
        </w:rPr>
        <w:t>of</w:t>
      </w:r>
    </w:p>
    <w:p>
      <w:pPr>
        <w:spacing w:after="0"/>
        <w:jc w:val="both"/>
        <w:sectPr>
          <w:headerReference w:type="default" r:id="rId77"/>
          <w:footerReference w:type="default" r:id="rId78"/>
          <w:footerReference w:type="even" r:id="rId79"/>
          <w:pgSz w:w="8640" w:h="12960"/>
          <w:pgMar w:header="0" w:footer="1060" w:top="1480" w:bottom="1260" w:left="580" w:right="580"/>
          <w:pgNumType w:start="71"/>
        </w:sectPr>
      </w:pPr>
    </w:p>
    <w:p>
      <w:pPr>
        <w:pStyle w:val="BodyText"/>
        <w:spacing w:before="5"/>
        <w:rPr>
          <w:sz w:val="18"/>
        </w:rPr>
      </w:pPr>
    </w:p>
    <w:p>
      <w:pPr>
        <w:pStyle w:val="BodyText"/>
        <w:spacing w:before="64"/>
        <w:ind w:left="140" w:right="496"/>
        <w:jc w:val="both"/>
      </w:pPr>
      <w:r>
        <w:rPr/>
        <w:t>actual market participants. There is nothing about the Money Zone that does or does not work. The Money Zone simply relays real marketplace information on your charts in a manner that is both easily understood and highly powerful. However, it is up to you to properly analyze and engage the </w:t>
      </w:r>
      <w:r>
        <w:rPr>
          <w:spacing w:val="-2"/>
        </w:rPr>
        <w:t>information.</w:t>
      </w:r>
    </w:p>
    <w:p>
      <w:pPr>
        <w:pStyle w:val="BodyText"/>
        <w:spacing w:before="1"/>
      </w:pPr>
    </w:p>
    <w:p>
      <w:pPr>
        <w:spacing w:before="0"/>
        <w:ind w:left="1524" w:right="224" w:hanging="1284"/>
        <w:jc w:val="left"/>
        <w:rPr>
          <w:i/>
          <w:sz w:val="22"/>
        </w:rPr>
      </w:pPr>
      <w:r>
        <w:rPr>
          <w:i/>
          <w:sz w:val="22"/>
        </w:rPr>
        <w:t>While</w:t>
      </w:r>
      <w:r>
        <w:rPr>
          <w:i/>
          <w:spacing w:val="-3"/>
          <w:sz w:val="22"/>
        </w:rPr>
        <w:t> </w:t>
      </w:r>
      <w:r>
        <w:rPr>
          <w:i/>
          <w:sz w:val="22"/>
        </w:rPr>
        <w:t>the</w:t>
      </w:r>
      <w:r>
        <w:rPr>
          <w:i/>
          <w:spacing w:val="-3"/>
          <w:sz w:val="22"/>
        </w:rPr>
        <w:t> </w:t>
      </w:r>
      <w:r>
        <w:rPr>
          <w:i/>
          <w:sz w:val="22"/>
        </w:rPr>
        <w:t>Money</w:t>
      </w:r>
      <w:r>
        <w:rPr>
          <w:i/>
          <w:spacing w:val="-3"/>
          <w:sz w:val="22"/>
        </w:rPr>
        <w:t> </w:t>
      </w:r>
      <w:r>
        <w:rPr>
          <w:i/>
          <w:sz w:val="22"/>
        </w:rPr>
        <w:t>Zone</w:t>
      </w:r>
      <w:r>
        <w:rPr>
          <w:i/>
          <w:spacing w:val="-3"/>
          <w:sz w:val="22"/>
        </w:rPr>
        <w:t> </w:t>
      </w:r>
      <w:r>
        <w:rPr>
          <w:i/>
          <w:sz w:val="22"/>
        </w:rPr>
        <w:t>is</w:t>
      </w:r>
      <w:r>
        <w:rPr>
          <w:i/>
          <w:spacing w:val="-3"/>
          <w:sz w:val="22"/>
        </w:rPr>
        <w:t> </w:t>
      </w:r>
      <w:r>
        <w:rPr>
          <w:i/>
          <w:sz w:val="22"/>
        </w:rPr>
        <w:t>a</w:t>
      </w:r>
      <w:r>
        <w:rPr>
          <w:i/>
          <w:spacing w:val="-5"/>
          <w:sz w:val="22"/>
        </w:rPr>
        <w:t> </w:t>
      </w:r>
      <w:r>
        <w:rPr>
          <w:i/>
          <w:sz w:val="22"/>
        </w:rPr>
        <w:t>simple</w:t>
      </w:r>
      <w:r>
        <w:rPr>
          <w:i/>
          <w:spacing w:val="-4"/>
          <w:sz w:val="22"/>
        </w:rPr>
        <w:t> </w:t>
      </w:r>
      <w:r>
        <w:rPr>
          <w:i/>
          <w:sz w:val="22"/>
        </w:rPr>
        <w:t>tool,</w:t>
      </w:r>
      <w:r>
        <w:rPr>
          <w:i/>
          <w:spacing w:val="-3"/>
          <w:sz w:val="22"/>
        </w:rPr>
        <w:t> </w:t>
      </w:r>
      <w:r>
        <w:rPr>
          <w:i/>
          <w:sz w:val="22"/>
        </w:rPr>
        <w:t>there</w:t>
      </w:r>
      <w:r>
        <w:rPr>
          <w:i/>
          <w:spacing w:val="-3"/>
          <w:sz w:val="22"/>
        </w:rPr>
        <w:t> </w:t>
      </w:r>
      <w:r>
        <w:rPr>
          <w:i/>
          <w:sz w:val="22"/>
        </w:rPr>
        <w:t>is</w:t>
      </w:r>
      <w:r>
        <w:rPr>
          <w:i/>
          <w:spacing w:val="-3"/>
          <w:sz w:val="22"/>
        </w:rPr>
        <w:t> </w:t>
      </w:r>
      <w:r>
        <w:rPr>
          <w:i/>
          <w:sz w:val="22"/>
        </w:rPr>
        <w:t>an</w:t>
      </w:r>
      <w:r>
        <w:rPr>
          <w:i/>
          <w:spacing w:val="-3"/>
          <w:sz w:val="22"/>
        </w:rPr>
        <w:t> </w:t>
      </w:r>
      <w:r>
        <w:rPr>
          <w:i/>
          <w:sz w:val="22"/>
        </w:rPr>
        <w:t>extraordinary</w:t>
      </w:r>
      <w:r>
        <w:rPr>
          <w:i/>
          <w:spacing w:val="-4"/>
          <w:sz w:val="22"/>
        </w:rPr>
        <w:t> </w:t>
      </w:r>
      <w:r>
        <w:rPr>
          <w:i/>
          <w:sz w:val="22"/>
        </w:rPr>
        <w:t>amount</w:t>
      </w:r>
      <w:r>
        <w:rPr>
          <w:i/>
          <w:spacing w:val="-3"/>
          <w:sz w:val="22"/>
        </w:rPr>
        <w:t> </w:t>
      </w:r>
      <w:r>
        <w:rPr>
          <w:i/>
          <w:sz w:val="22"/>
        </w:rPr>
        <w:t>of</w:t>
      </w:r>
      <w:r>
        <w:rPr>
          <w:i/>
          <w:sz w:val="22"/>
        </w:rPr>
        <w:t> depth behind the information being presented.</w:t>
      </w:r>
    </w:p>
    <w:p>
      <w:pPr>
        <w:pStyle w:val="BodyText"/>
        <w:spacing w:before="10"/>
        <w:rPr>
          <w:i/>
          <w:sz w:val="21"/>
        </w:rPr>
      </w:pPr>
    </w:p>
    <w:p>
      <w:pPr>
        <w:pStyle w:val="BodyText"/>
        <w:ind w:left="139" w:right="496" w:firstLine="432"/>
        <w:jc w:val="both"/>
      </w:pPr>
      <w:r>
        <w:rPr/>
        <w:t>The goal of this chapter is to acquire an acute understanding of the Money Zone levels. I will discuss how to use the information to analyze the market in many different ways, which will then allow you to engage the market in a more confident and knowledgeable manner.</w:t>
      </w:r>
    </w:p>
    <w:p>
      <w:pPr>
        <w:pStyle w:val="BodyText"/>
      </w:pPr>
    </w:p>
    <w:p>
      <w:pPr>
        <w:pStyle w:val="Heading3"/>
        <w:jc w:val="both"/>
      </w:pPr>
      <w:r>
        <w:rPr/>
        <w:pict>
          <v:shape style="position:absolute;margin-left:36.779999pt;margin-top:18.23031pt;width:341pt;height:.1pt;mso-position-horizontal-relative:page;mso-position-vertical-relative:paragraph;z-index:-15698432;mso-wrap-distance-left:0;mso-wrap-distance-right:0" id="docshape269" coordorigin="736,365" coordsize="6820,0" path="m736,365l7555,365e" filled="false" stroked="true" strokeweight=".75pt" strokecolor="#000000">
            <v:path arrowok="t"/>
            <v:stroke dashstyle="solid"/>
            <w10:wrap type="topAndBottom"/>
          </v:shape>
        </w:pict>
      </w:r>
      <w:bookmarkStart w:name="_TOC_250062" w:id="29"/>
      <w:r>
        <w:rPr>
          <w:smallCaps/>
        </w:rPr>
        <w:t>The</w:t>
      </w:r>
      <w:r>
        <w:rPr>
          <w:smallCaps/>
          <w:spacing w:val="-14"/>
        </w:rPr>
        <w:t> </w:t>
      </w:r>
      <w:r>
        <w:rPr>
          <w:smallCaps/>
        </w:rPr>
        <w:t>Open</w:t>
      </w:r>
      <w:r>
        <w:rPr>
          <w:smallCaps/>
          <w:spacing w:val="-14"/>
        </w:rPr>
        <w:t> </w:t>
      </w:r>
      <w:r>
        <w:rPr>
          <w:smallCaps/>
        </w:rPr>
        <w:t>in</w:t>
      </w:r>
      <w:r>
        <w:rPr>
          <w:smallCaps/>
          <w:spacing w:val="-11"/>
        </w:rPr>
        <w:t> </w:t>
      </w:r>
      <w:r>
        <w:rPr>
          <w:smallCaps/>
        </w:rPr>
        <w:t>Relation</w:t>
      </w:r>
      <w:r>
        <w:rPr>
          <w:smallCaps/>
          <w:spacing w:val="-14"/>
        </w:rPr>
        <w:t> </w:t>
      </w:r>
      <w:r>
        <w:rPr>
          <w:smallCaps/>
        </w:rPr>
        <w:t>to</w:t>
      </w:r>
      <w:r>
        <w:rPr>
          <w:smallCaps/>
          <w:spacing w:val="-10"/>
        </w:rPr>
        <w:t> </w:t>
      </w:r>
      <w:r>
        <w:rPr>
          <w:smallCaps/>
        </w:rPr>
        <w:t>Value</w:t>
      </w:r>
      <w:r>
        <w:rPr>
          <w:smallCaps/>
          <w:spacing w:val="-14"/>
        </w:rPr>
        <w:t> </w:t>
      </w:r>
      <w:r>
        <w:rPr>
          <w:smallCaps/>
        </w:rPr>
        <w:t>and</w:t>
      </w:r>
      <w:r>
        <w:rPr>
          <w:smallCaps/>
          <w:spacing w:val="-10"/>
        </w:rPr>
        <w:t> </w:t>
      </w:r>
      <w:bookmarkEnd w:id="29"/>
      <w:r>
        <w:rPr>
          <w:smallCaps/>
          <w:spacing w:val="-2"/>
        </w:rPr>
        <w:t>Range</w:t>
      </w:r>
    </w:p>
    <w:p>
      <w:pPr>
        <w:pStyle w:val="BodyText"/>
        <w:spacing w:before="203"/>
        <w:ind w:left="139" w:right="498" w:firstLine="432"/>
        <w:jc w:val="both"/>
      </w:pPr>
      <w:r>
        <w:rPr/>
        <w:t>The market’s open can have a significant influence on the day’s outcome. Specifically, the open in relation to range and value can help you forecast potential price behavior for the session. Understanding the different types of opening relationships can help you prepare for the day’s trading activity by proving, or disproving, your price forecast. For example, a day that opens within value and within the prior day’s price range will have a markedly different conviction and result than a day that opens out of value and out of the prior day’s price range. Quick recognition of the pattern du jour will allow you to identify early market conviction effectively.</w:t>
      </w:r>
    </w:p>
    <w:p>
      <w:pPr>
        <w:pStyle w:val="BodyText"/>
        <w:spacing w:before="1"/>
        <w:rPr>
          <w:sz w:val="20"/>
        </w:rPr>
      </w:pPr>
      <w:r>
        <w:rPr/>
        <w:pict>
          <v:group style="position:absolute;margin-left:54.299999pt;margin-top:12.794668pt;width:305.4pt;height:18pt;mso-position-horizontal-relative:page;mso-position-vertical-relative:paragraph;z-index:-15697920;mso-wrap-distance-left:0;mso-wrap-distance-right:0" id="docshapegroup270" coordorigin="1086,256" coordsize="6108,360">
            <v:rect style="position:absolute;left:1106;top:275;width:6068;height:341" id="docshape271" filled="true" fillcolor="#000000" stroked="false">
              <v:fill type="solid"/>
            </v:rect>
            <v:shape style="position:absolute;left:1086;top:255;width:6089;height:21" id="docshape272" coordorigin="1086,256" coordsize="6089,21" path="m7175,256l1105,256,1086,256,1086,275,1086,276,1105,276,1105,275,7175,275,7175,256xe" filled="true" fillcolor="#3f3f3f" stroked="false">
              <v:path arrowok="t"/>
              <v:fill type="solid"/>
            </v:shape>
            <v:rect style="position:absolute;left:1105;top:275;width:6070;height:2" id="docshape273" filled="true" fillcolor="#000000" stroked="false">
              <v:fill type="solid"/>
            </v:rect>
            <v:shape style="position:absolute;left:1086;top:255;width:6108;height:360" id="docshape274" coordorigin="1086,256" coordsize="6108,360" path="m1105,276l1086,276,1086,616,1105,616,1105,276xm7194,256l7175,256,7175,256,7175,275,7175,276,7175,616,7194,616,7194,276,7194,275,7194,256,7194,256xe" filled="true" fillcolor="#3f3f3f" stroked="false">
              <v:path arrowok="t"/>
              <v:fill type="solid"/>
            </v:shape>
            <v:shape style="position:absolute;left:1105;top:276;width:6070;height:340" type="#_x0000_t202" id="docshape275" filled="false" stroked="false">
              <v:textbox inset="0,0,0,0">
                <w:txbxContent>
                  <w:p>
                    <w:pPr>
                      <w:spacing w:before="22"/>
                      <w:ind w:left="1042" w:right="0" w:firstLine="0"/>
                      <w:jc w:val="left"/>
                      <w:rPr>
                        <w:rFonts w:ascii="Verdana"/>
                        <w:sz w:val="24"/>
                      </w:rPr>
                    </w:pPr>
                    <w:r>
                      <w:rPr>
                        <w:rFonts w:ascii="Verdana"/>
                        <w:color w:val="FFFFFF"/>
                        <w:sz w:val="24"/>
                      </w:rPr>
                      <w:t>The</w:t>
                    </w:r>
                    <w:r>
                      <w:rPr>
                        <w:rFonts w:ascii="Verdana"/>
                        <w:color w:val="FFFFFF"/>
                        <w:spacing w:val="-14"/>
                        <w:sz w:val="24"/>
                      </w:rPr>
                      <w:t> </w:t>
                    </w:r>
                    <w:r>
                      <w:rPr>
                        <w:rFonts w:ascii="Verdana"/>
                        <w:color w:val="FFFFFF"/>
                        <w:sz w:val="24"/>
                      </w:rPr>
                      <w:t>Three</w:t>
                    </w:r>
                    <w:r>
                      <w:rPr>
                        <w:rFonts w:ascii="Verdana"/>
                        <w:color w:val="FFFFFF"/>
                        <w:spacing w:val="-16"/>
                        <w:sz w:val="24"/>
                      </w:rPr>
                      <w:t> </w:t>
                    </w:r>
                    <w:r>
                      <w:rPr>
                        <w:rFonts w:ascii="Verdana"/>
                        <w:color w:val="FFFFFF"/>
                        <w:sz w:val="24"/>
                      </w:rPr>
                      <w:t>Opening</w:t>
                    </w:r>
                    <w:r>
                      <w:rPr>
                        <w:rFonts w:ascii="Verdana"/>
                        <w:color w:val="FFFFFF"/>
                        <w:spacing w:val="-14"/>
                        <w:sz w:val="24"/>
                      </w:rPr>
                      <w:t> </w:t>
                    </w:r>
                    <w:r>
                      <w:rPr>
                        <w:rFonts w:ascii="Verdana"/>
                        <w:color w:val="FFFFFF"/>
                        <w:spacing w:val="-2"/>
                        <w:sz w:val="24"/>
                      </w:rPr>
                      <w:t>Relationships</w:t>
                    </w:r>
                  </w:p>
                </w:txbxContent>
              </v:textbox>
              <w10:wrap type="none"/>
            </v:shape>
            <w10:wrap type="topAndBottom"/>
          </v:group>
        </w:pict>
      </w:r>
    </w:p>
    <w:p>
      <w:pPr>
        <w:pStyle w:val="BodyText"/>
        <w:tabs>
          <w:tab w:pos="4209" w:val="left" w:leader="none"/>
        </w:tabs>
        <w:spacing w:line="314" w:lineRule="auto" w:before="28"/>
        <w:ind w:left="623" w:right="1187"/>
        <w:rPr>
          <w:rFonts w:ascii="Tahoma"/>
        </w:rPr>
      </w:pPr>
      <w:r>
        <w:rPr>
          <w:rFonts w:ascii="Tahoma"/>
        </w:rPr>
        <w:t>In Range and In Value</w:t>
        <w:tab/>
      </w:r>
      <w:r>
        <w:rPr>
          <w:rFonts w:ascii="Tahoma"/>
          <w:spacing w:val="-2"/>
        </w:rPr>
        <w:t>Acceptance/Rejection </w:t>
      </w:r>
      <w:r>
        <w:rPr>
          <w:rFonts w:ascii="Tahoma"/>
        </w:rPr>
        <w:t>In</w:t>
      </w:r>
      <w:r>
        <w:rPr>
          <w:rFonts w:ascii="Tahoma"/>
          <w:spacing w:val="-5"/>
        </w:rPr>
        <w:t> </w:t>
      </w:r>
      <w:r>
        <w:rPr>
          <w:rFonts w:ascii="Tahoma"/>
        </w:rPr>
        <w:t>Range</w:t>
      </w:r>
      <w:r>
        <w:rPr>
          <w:rFonts w:ascii="Tahoma"/>
          <w:spacing w:val="-4"/>
        </w:rPr>
        <w:t> </w:t>
      </w:r>
      <w:r>
        <w:rPr>
          <w:rFonts w:ascii="Tahoma"/>
        </w:rPr>
        <w:t>and</w:t>
      </w:r>
      <w:r>
        <w:rPr>
          <w:rFonts w:ascii="Tahoma"/>
          <w:spacing w:val="-4"/>
        </w:rPr>
        <w:t> </w:t>
      </w:r>
      <w:r>
        <w:rPr>
          <w:rFonts w:ascii="Tahoma"/>
        </w:rPr>
        <w:t>Out</w:t>
      </w:r>
      <w:r>
        <w:rPr>
          <w:rFonts w:ascii="Tahoma"/>
          <w:spacing w:val="-2"/>
        </w:rPr>
        <w:t> </w:t>
      </w:r>
      <w:r>
        <w:rPr>
          <w:rFonts w:ascii="Tahoma"/>
        </w:rPr>
        <w:t>of</w:t>
      </w:r>
      <w:r>
        <w:rPr>
          <w:rFonts w:ascii="Tahoma"/>
          <w:spacing w:val="-4"/>
        </w:rPr>
        <w:t> </w:t>
      </w:r>
      <w:r>
        <w:rPr>
          <w:rFonts w:ascii="Tahoma"/>
          <w:spacing w:val="-2"/>
        </w:rPr>
        <w:t>Value</w:t>
      </w:r>
      <w:r>
        <w:rPr>
          <w:rFonts w:ascii="Tahoma"/>
        </w:rPr>
        <w:tab/>
      </w:r>
      <w:r>
        <w:rPr>
          <w:rFonts w:ascii="Tahoma"/>
          <w:spacing w:val="-2"/>
        </w:rPr>
        <w:t>Acceptance/Rejection</w:t>
      </w:r>
    </w:p>
    <w:p>
      <w:pPr>
        <w:pStyle w:val="BodyText"/>
        <w:tabs>
          <w:tab w:pos="4208" w:val="left" w:leader="none"/>
        </w:tabs>
        <w:spacing w:before="11"/>
        <w:ind w:left="623"/>
        <w:rPr>
          <w:rFonts w:ascii="Tahoma"/>
        </w:rPr>
      </w:pPr>
      <w:r>
        <w:rPr/>
        <w:pict>
          <v:shape style="position:absolute;margin-left:54.060001pt;margin-top:15.995358pt;width:305.2pt;height:.5pt;mso-position-horizontal-relative:page;mso-position-vertical-relative:paragraph;z-index:-15697408;mso-wrap-distance-left:0;mso-wrap-distance-right:0" id="docshape276" coordorigin="1081,320" coordsize="6104,10" path="m7184,320l4680,320,4666,320,1081,320,1081,330,4666,330,4680,330,7184,330,7184,320xe" filled="true" fillcolor="#000000" stroked="false">
            <v:path arrowok="t"/>
            <v:fill type="solid"/>
            <w10:wrap type="topAndBottom"/>
          </v:shape>
        </w:pict>
      </w:r>
      <w:r>
        <w:rPr/>
        <w:pict>
          <v:rect style="position:absolute;margin-left:54.779999pt;margin-top:-20.004633pt;width:304.44pt;height:.48pt;mso-position-horizontal-relative:page;mso-position-vertical-relative:paragraph;z-index:15760896" id="docshape277" filled="true" fillcolor="#000000" stroked="false">
            <v:fill type="solid"/>
            <w10:wrap type="none"/>
          </v:rect>
        </w:pict>
      </w:r>
      <w:r>
        <w:rPr/>
        <w:pict>
          <v:rect style="position:absolute;margin-left:54.779999pt;margin-top:-2.004633pt;width:304.44pt;height:.48pt;mso-position-horizontal-relative:page;mso-position-vertical-relative:paragraph;z-index:15761408" id="docshape278" filled="true" fillcolor="#000000" stroked="false">
            <v:fill type="solid"/>
            <w10:wrap type="none"/>
          </v:rect>
        </w:pict>
      </w:r>
      <w:r>
        <w:rPr>
          <w:rFonts w:ascii="Tahoma"/>
        </w:rPr>
        <w:t>Out</w:t>
      </w:r>
      <w:r>
        <w:rPr>
          <w:rFonts w:ascii="Tahoma"/>
          <w:spacing w:val="-5"/>
        </w:rPr>
        <w:t> </w:t>
      </w:r>
      <w:r>
        <w:rPr>
          <w:rFonts w:ascii="Tahoma"/>
        </w:rPr>
        <w:t>of</w:t>
      </w:r>
      <w:r>
        <w:rPr>
          <w:rFonts w:ascii="Tahoma"/>
          <w:spacing w:val="-4"/>
        </w:rPr>
        <w:t> </w:t>
      </w:r>
      <w:r>
        <w:rPr>
          <w:rFonts w:ascii="Tahoma"/>
        </w:rPr>
        <w:t>Range</w:t>
      </w:r>
      <w:r>
        <w:rPr>
          <w:rFonts w:ascii="Tahoma"/>
          <w:spacing w:val="-6"/>
        </w:rPr>
        <w:t> </w:t>
      </w:r>
      <w:r>
        <w:rPr>
          <w:rFonts w:ascii="Tahoma"/>
        </w:rPr>
        <w:t>and</w:t>
      </w:r>
      <w:r>
        <w:rPr>
          <w:rFonts w:ascii="Tahoma"/>
          <w:spacing w:val="-3"/>
        </w:rPr>
        <w:t> </w:t>
      </w:r>
      <w:r>
        <w:rPr>
          <w:rFonts w:ascii="Tahoma"/>
        </w:rPr>
        <w:t>Out</w:t>
      </w:r>
      <w:r>
        <w:rPr>
          <w:rFonts w:ascii="Tahoma"/>
          <w:spacing w:val="-5"/>
        </w:rPr>
        <w:t> </w:t>
      </w:r>
      <w:r>
        <w:rPr>
          <w:rFonts w:ascii="Tahoma"/>
        </w:rPr>
        <w:t>of</w:t>
      </w:r>
      <w:r>
        <w:rPr>
          <w:rFonts w:ascii="Tahoma"/>
          <w:spacing w:val="-4"/>
        </w:rPr>
        <w:t> </w:t>
      </w:r>
      <w:r>
        <w:rPr>
          <w:rFonts w:ascii="Tahoma"/>
          <w:spacing w:val="-2"/>
        </w:rPr>
        <w:t>Value</w:t>
      </w:r>
      <w:r>
        <w:rPr>
          <w:rFonts w:ascii="Tahoma"/>
        </w:rPr>
        <w:tab/>
      </w:r>
      <w:r>
        <w:rPr>
          <w:rFonts w:ascii="Tahoma"/>
          <w:spacing w:val="-2"/>
        </w:rPr>
        <w:t>Acceptance/Rejection</w:t>
      </w:r>
    </w:p>
    <w:p>
      <w:pPr>
        <w:spacing w:before="0"/>
        <w:ind w:left="572" w:right="0" w:firstLine="0"/>
        <w:jc w:val="left"/>
        <w:rPr>
          <w:sz w:val="16"/>
        </w:rPr>
      </w:pPr>
      <w:r>
        <w:rPr>
          <w:sz w:val="16"/>
        </w:rPr>
        <w:t>TABLE</w:t>
      </w:r>
      <w:r>
        <w:rPr>
          <w:spacing w:val="1"/>
          <w:sz w:val="16"/>
        </w:rPr>
        <w:t> </w:t>
      </w:r>
      <w:r>
        <w:rPr>
          <w:sz w:val="16"/>
        </w:rPr>
        <w:t>4.1:</w:t>
      </w:r>
      <w:r>
        <w:rPr>
          <w:spacing w:val="2"/>
          <w:sz w:val="16"/>
        </w:rPr>
        <w:t> </w:t>
      </w:r>
      <w:r>
        <w:rPr>
          <w:sz w:val="16"/>
        </w:rPr>
        <w:t>The</w:t>
      </w:r>
      <w:r>
        <w:rPr>
          <w:spacing w:val="1"/>
          <w:sz w:val="16"/>
        </w:rPr>
        <w:t> </w:t>
      </w:r>
      <w:r>
        <w:rPr>
          <w:sz w:val="16"/>
        </w:rPr>
        <w:t>three</w:t>
      </w:r>
      <w:r>
        <w:rPr>
          <w:spacing w:val="2"/>
          <w:sz w:val="16"/>
        </w:rPr>
        <w:t> </w:t>
      </w:r>
      <w:r>
        <w:rPr>
          <w:sz w:val="16"/>
        </w:rPr>
        <w:t>types</w:t>
      </w:r>
      <w:r>
        <w:rPr>
          <w:spacing w:val="2"/>
          <w:sz w:val="16"/>
        </w:rPr>
        <w:t> </w:t>
      </w:r>
      <w:r>
        <w:rPr>
          <w:sz w:val="16"/>
        </w:rPr>
        <w:t>of</w:t>
      </w:r>
      <w:r>
        <w:rPr>
          <w:spacing w:val="2"/>
          <w:sz w:val="16"/>
        </w:rPr>
        <w:t> </w:t>
      </w:r>
      <w:r>
        <w:rPr>
          <w:sz w:val="16"/>
        </w:rPr>
        <w:t>opening</w:t>
      </w:r>
      <w:r>
        <w:rPr>
          <w:spacing w:val="1"/>
          <w:sz w:val="16"/>
        </w:rPr>
        <w:t> </w:t>
      </w:r>
      <w:r>
        <w:rPr>
          <w:spacing w:val="-2"/>
          <w:sz w:val="16"/>
        </w:rPr>
        <w:t>relationships</w:t>
      </w:r>
    </w:p>
    <w:p>
      <w:pPr>
        <w:pStyle w:val="BodyText"/>
        <w:spacing w:before="8"/>
        <w:rPr>
          <w:sz w:val="21"/>
        </w:rPr>
      </w:pPr>
    </w:p>
    <w:p>
      <w:pPr>
        <w:pStyle w:val="BodyText"/>
        <w:ind w:left="140" w:right="495" w:firstLine="432"/>
        <w:jc w:val="both"/>
      </w:pPr>
      <w:r>
        <w:rPr/>
        <w:t>There are three types of opening relationships to consider when contemplating a day’s potential outcome (see Table 4.1). With each relationship, you must also factor in acceptance or rejection of value. The</w:t>
      </w:r>
      <w:r>
        <w:rPr>
          <w:spacing w:val="40"/>
        </w:rPr>
        <w:t> </w:t>
      </w:r>
      <w:r>
        <w:rPr/>
        <w:t>first type of opening relationship is an open that occurs within the prior day’s price range and within the prior day’s value area. An open that occurs in range and in value indicates market sentiment from the prior day has not changed and the market is currently in balance. When this occurs, the day’s risk</w:t>
      </w:r>
      <w:r>
        <w:rPr>
          <w:spacing w:val="38"/>
        </w:rPr>
        <w:t> </w:t>
      </w:r>
      <w:r>
        <w:rPr/>
        <w:t>and</w:t>
      </w:r>
      <w:r>
        <w:rPr>
          <w:spacing w:val="39"/>
        </w:rPr>
        <w:t> </w:t>
      </w:r>
      <w:r>
        <w:rPr/>
        <w:t>opportunity</w:t>
      </w:r>
      <w:r>
        <w:rPr>
          <w:spacing w:val="37"/>
        </w:rPr>
        <w:t> </w:t>
      </w:r>
      <w:r>
        <w:rPr/>
        <w:t>are</w:t>
      </w:r>
      <w:r>
        <w:rPr>
          <w:spacing w:val="39"/>
        </w:rPr>
        <w:t> </w:t>
      </w:r>
      <w:r>
        <w:rPr/>
        <w:t>both</w:t>
      </w:r>
      <w:r>
        <w:rPr>
          <w:spacing w:val="39"/>
        </w:rPr>
        <w:t> </w:t>
      </w:r>
      <w:r>
        <w:rPr/>
        <w:t>low,</w:t>
      </w:r>
      <w:r>
        <w:rPr>
          <w:spacing w:val="38"/>
        </w:rPr>
        <w:t> </w:t>
      </w:r>
      <w:r>
        <w:rPr/>
        <w:t>which</w:t>
      </w:r>
      <w:r>
        <w:rPr>
          <w:spacing w:val="38"/>
        </w:rPr>
        <w:t> </w:t>
      </w:r>
      <w:r>
        <w:rPr/>
        <w:t>usually</w:t>
      </w:r>
      <w:r>
        <w:rPr>
          <w:spacing w:val="37"/>
        </w:rPr>
        <w:t> </w:t>
      </w:r>
      <w:r>
        <w:rPr/>
        <w:t>leads</w:t>
      </w:r>
      <w:r>
        <w:rPr>
          <w:spacing w:val="39"/>
        </w:rPr>
        <w:t> </w:t>
      </w:r>
      <w:r>
        <w:rPr/>
        <w:t>to</w:t>
      </w:r>
      <w:r>
        <w:rPr>
          <w:spacing w:val="39"/>
        </w:rPr>
        <w:t> </w:t>
      </w:r>
      <w:r>
        <w:rPr/>
        <w:t>a</w:t>
      </w:r>
      <w:r>
        <w:rPr>
          <w:spacing w:val="39"/>
        </w:rPr>
        <w:t> </w:t>
      </w:r>
      <w:r>
        <w:rPr/>
        <w:t>quiet</w:t>
      </w:r>
      <w:r>
        <w:rPr>
          <w:spacing w:val="39"/>
        </w:rPr>
        <w:t> </w:t>
      </w:r>
      <w:r>
        <w:rPr/>
        <w:t>trading</w:t>
      </w:r>
    </w:p>
    <w:p>
      <w:pPr>
        <w:pStyle w:val="BodyText"/>
        <w:spacing w:before="7"/>
        <w:rPr>
          <w:sz w:val="8"/>
        </w:rPr>
      </w:pPr>
      <w:r>
        <w:rPr/>
        <w:pict>
          <v:rect style="position:absolute;margin-left:34.5pt;margin-top:6.14961pt;width:345pt;height:.48001pt;mso-position-horizontal-relative:page;mso-position-vertical-relative:paragraph;z-index:-15696896;mso-wrap-distance-left:0;mso-wrap-distance-right:0" id="docshape279" filled="true" fillcolor="#000000" stroked="false">
            <v:fill type="solid"/>
            <w10:wrap type="topAndBottom"/>
          </v:rect>
        </w:pict>
      </w:r>
    </w:p>
    <w:p>
      <w:pPr>
        <w:spacing w:after="0"/>
        <w:rPr>
          <w:sz w:val="8"/>
        </w:rPr>
        <w:sectPr>
          <w:headerReference w:type="even" r:id="rId80"/>
          <w:headerReference w:type="default" r:id="rId81"/>
          <w:pgSz w:w="8640" w:h="12960"/>
          <w:pgMar w:header="579" w:footer="1004" w:top="760" w:bottom="1200" w:left="580" w:right="580"/>
        </w:sectPr>
      </w:pPr>
    </w:p>
    <w:p>
      <w:pPr>
        <w:pStyle w:val="BodyText"/>
        <w:spacing w:before="3"/>
      </w:pPr>
    </w:p>
    <w:p>
      <w:pPr>
        <w:pStyle w:val="BodyText"/>
        <w:spacing w:before="64"/>
        <w:ind w:left="500" w:right="138"/>
        <w:jc w:val="both"/>
      </w:pPr>
      <w:r>
        <w:rPr/>
        <w:t>range session. A Typical Day, Trading Range Day, or Sideways Day will usually develop from this type of opening relationship.</w:t>
      </w:r>
    </w:p>
    <w:p>
      <w:pPr>
        <w:pStyle w:val="BodyText"/>
        <w:ind w:left="500" w:right="134" w:firstLine="432"/>
        <w:jc w:val="both"/>
      </w:pPr>
      <w:r>
        <w:rPr/>
        <w:t>Figure 4.1 shows a typical open that occurs within the prior day’s range and value in a five-minute chart of the E-Mini Russell 2000. Notice that the market briefly tested price levels above the prior day’s range and value area, but responsive sellers entered the market and pushed price back toward accepted value. Price then traded back and forth within the day’s initial balance, creating a clear Trading Range Day. Remember, if price opens within range and value, market sentiment has not changed from the prior session. As such, the market is content to trade quietly in a range, as buyers and sellers find easy facilitation of trade, thereby accepting the opening relationship. If the market had rejected the initial relationship, initiative parties would have extended the day’s range beyond the prior day’s</w:t>
      </w:r>
      <w:r>
        <w:rPr>
          <w:spacing w:val="40"/>
        </w:rPr>
        <w:t> </w:t>
      </w:r>
      <w:r>
        <w:rPr/>
        <w:t>extremes, and a bigger move would have resulted.</w:t>
      </w:r>
    </w:p>
    <w:p>
      <w:pPr>
        <w:pStyle w:val="BodyText"/>
        <w:spacing w:before="1"/>
        <w:rPr>
          <w:sz w:val="20"/>
        </w:rPr>
      </w:pPr>
      <w:r>
        <w:rPr/>
        <w:drawing>
          <wp:anchor distT="0" distB="0" distL="0" distR="0" allowOverlap="1" layoutInCell="1" locked="0" behindDoc="0" simplePos="0" relativeHeight="65">
            <wp:simplePos x="0" y="0"/>
            <wp:positionH relativeFrom="page">
              <wp:posOffset>685800</wp:posOffset>
            </wp:positionH>
            <wp:positionV relativeFrom="paragraph">
              <wp:posOffset>162311</wp:posOffset>
            </wp:positionV>
            <wp:extent cx="4342904" cy="3103054"/>
            <wp:effectExtent l="0" t="0" r="0" b="0"/>
            <wp:wrapTopAndBottom/>
            <wp:docPr id="65" name="image34.png"/>
            <wp:cNvGraphicFramePr>
              <a:graphicFrameLocks noChangeAspect="1"/>
            </wp:cNvGraphicFramePr>
            <a:graphic>
              <a:graphicData uri="http://schemas.openxmlformats.org/drawingml/2006/picture">
                <pic:pic>
                  <pic:nvPicPr>
                    <pic:cNvPr id="66" name="image34.png"/>
                    <pic:cNvPicPr/>
                  </pic:nvPicPr>
                  <pic:blipFill>
                    <a:blip r:embed="rId84"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 4.1:</w:t>
      </w:r>
      <w:r>
        <w:rPr>
          <w:spacing w:val="2"/>
          <w:sz w:val="16"/>
        </w:rPr>
        <w:t> </w:t>
      </w:r>
      <w:r>
        <w:rPr>
          <w:sz w:val="16"/>
        </w:rPr>
        <w:t>An</w:t>
      </w:r>
      <w:r>
        <w:rPr>
          <w:spacing w:val="2"/>
          <w:sz w:val="16"/>
        </w:rPr>
        <w:t> </w:t>
      </w:r>
      <w:r>
        <w:rPr>
          <w:sz w:val="16"/>
        </w:rPr>
        <w:t>open</w:t>
      </w:r>
      <w:r>
        <w:rPr>
          <w:spacing w:val="1"/>
          <w:sz w:val="16"/>
        </w:rPr>
        <w:t> </w:t>
      </w:r>
      <w:r>
        <w:rPr>
          <w:sz w:val="16"/>
        </w:rPr>
        <w:t>within</w:t>
      </w:r>
      <w:r>
        <w:rPr>
          <w:spacing w:val="1"/>
          <w:sz w:val="16"/>
        </w:rPr>
        <w:t> </w:t>
      </w:r>
      <w:r>
        <w:rPr>
          <w:sz w:val="16"/>
        </w:rPr>
        <w:t>range</w:t>
      </w:r>
      <w:r>
        <w:rPr>
          <w:spacing w:val="1"/>
          <w:sz w:val="16"/>
        </w:rPr>
        <w:t> </w:t>
      </w:r>
      <w:r>
        <w:rPr>
          <w:sz w:val="16"/>
        </w:rPr>
        <w:t>and</w:t>
      </w:r>
      <w:r>
        <w:rPr>
          <w:spacing w:val="1"/>
          <w:sz w:val="16"/>
        </w:rPr>
        <w:t> </w:t>
      </w:r>
      <w:r>
        <w:rPr>
          <w:sz w:val="16"/>
        </w:rPr>
        <w:t>value</w:t>
      </w:r>
      <w:r>
        <w:rPr>
          <w:spacing w:val="1"/>
          <w:sz w:val="16"/>
        </w:rPr>
        <w:t> </w:t>
      </w:r>
      <w:r>
        <w:rPr>
          <w:sz w:val="16"/>
        </w:rPr>
        <w:t>leads</w:t>
      </w:r>
      <w:r>
        <w:rPr>
          <w:spacing w:val="1"/>
          <w:sz w:val="16"/>
        </w:rPr>
        <w:t> </w:t>
      </w:r>
      <w:r>
        <w:rPr>
          <w:sz w:val="16"/>
        </w:rPr>
        <w:t>to</w:t>
      </w:r>
      <w:r>
        <w:rPr>
          <w:spacing w:val="1"/>
          <w:sz w:val="16"/>
        </w:rPr>
        <w:t> </w:t>
      </w:r>
      <w:r>
        <w:rPr>
          <w:sz w:val="16"/>
        </w:rPr>
        <w:t>a</w:t>
      </w:r>
      <w:r>
        <w:rPr>
          <w:spacing w:val="1"/>
          <w:sz w:val="16"/>
        </w:rPr>
        <w:t> </w:t>
      </w:r>
      <w:r>
        <w:rPr>
          <w:sz w:val="16"/>
        </w:rPr>
        <w:t>Trading</w:t>
      </w:r>
      <w:r>
        <w:rPr>
          <w:spacing w:val="1"/>
          <w:sz w:val="16"/>
        </w:rPr>
        <w:t> </w:t>
      </w:r>
      <w:r>
        <w:rPr>
          <w:sz w:val="16"/>
        </w:rPr>
        <w:t>Range</w:t>
      </w:r>
      <w:r>
        <w:rPr>
          <w:spacing w:val="1"/>
          <w:sz w:val="16"/>
        </w:rPr>
        <w:t> </w:t>
      </w:r>
      <w:r>
        <w:rPr>
          <w:sz w:val="16"/>
        </w:rPr>
        <w:t>Day</w:t>
      </w:r>
      <w:r>
        <w:rPr>
          <w:spacing w:val="1"/>
          <w:sz w:val="16"/>
        </w:rPr>
        <w:t> </w:t>
      </w:r>
      <w:r>
        <w:rPr>
          <w:sz w:val="16"/>
        </w:rPr>
        <w:t>in</w:t>
      </w:r>
      <w:r>
        <w:rPr>
          <w:spacing w:val="1"/>
          <w:sz w:val="16"/>
        </w:rPr>
        <w:t> </w:t>
      </w:r>
      <w:r>
        <w:rPr>
          <w:sz w:val="16"/>
        </w:rPr>
        <w:t>the</w:t>
      </w:r>
      <w:r>
        <w:rPr>
          <w:spacing w:val="2"/>
          <w:sz w:val="16"/>
        </w:rPr>
        <w:t> </w:t>
      </w:r>
      <w:r>
        <w:rPr>
          <w:spacing w:val="-5"/>
          <w:sz w:val="16"/>
        </w:rPr>
        <w:t>TF.</w:t>
      </w:r>
    </w:p>
    <w:p>
      <w:pPr>
        <w:pStyle w:val="BodyText"/>
        <w:spacing w:before="9"/>
        <w:rPr>
          <w:sz w:val="21"/>
        </w:rPr>
      </w:pPr>
    </w:p>
    <w:p>
      <w:pPr>
        <w:pStyle w:val="BodyText"/>
        <w:ind w:left="500" w:right="137" w:firstLine="432"/>
        <w:jc w:val="both"/>
      </w:pPr>
      <w:r>
        <w:rPr/>
        <w:t>The second type of opening relationship is an open that occurs outside</w:t>
      </w:r>
      <w:r>
        <w:rPr>
          <w:spacing w:val="40"/>
        </w:rPr>
        <w:t> </w:t>
      </w:r>
      <w:r>
        <w:rPr/>
        <w:t>of the prior day’s value area, but within the prior day’s range. An open that occurs</w:t>
      </w:r>
      <w:r>
        <w:rPr>
          <w:spacing w:val="-3"/>
        </w:rPr>
        <w:t> </w:t>
      </w:r>
      <w:r>
        <w:rPr/>
        <w:t>in</w:t>
      </w:r>
      <w:r>
        <w:rPr>
          <w:spacing w:val="-3"/>
        </w:rPr>
        <w:t> </w:t>
      </w:r>
      <w:r>
        <w:rPr/>
        <w:t>range,</w:t>
      </w:r>
      <w:r>
        <w:rPr>
          <w:spacing w:val="-3"/>
        </w:rPr>
        <w:t> </w:t>
      </w:r>
      <w:r>
        <w:rPr/>
        <w:t>but</w:t>
      </w:r>
      <w:r>
        <w:rPr>
          <w:spacing w:val="-4"/>
        </w:rPr>
        <w:t> </w:t>
      </w:r>
      <w:r>
        <w:rPr/>
        <w:t>out</w:t>
      </w:r>
      <w:r>
        <w:rPr>
          <w:spacing w:val="-3"/>
        </w:rPr>
        <w:t> </w:t>
      </w:r>
      <w:r>
        <w:rPr/>
        <w:t>of</w:t>
      </w:r>
      <w:r>
        <w:rPr>
          <w:spacing w:val="-4"/>
        </w:rPr>
        <w:t> </w:t>
      </w:r>
      <w:r>
        <w:rPr/>
        <w:t>value,</w:t>
      </w:r>
      <w:r>
        <w:rPr>
          <w:spacing w:val="-3"/>
        </w:rPr>
        <w:t> </w:t>
      </w:r>
      <w:r>
        <w:rPr/>
        <w:t>indicates</w:t>
      </w:r>
      <w:r>
        <w:rPr>
          <w:spacing w:val="-3"/>
        </w:rPr>
        <w:t> </w:t>
      </w:r>
      <w:r>
        <w:rPr/>
        <w:t>that</w:t>
      </w:r>
      <w:r>
        <w:rPr>
          <w:spacing w:val="-3"/>
        </w:rPr>
        <w:t> </w:t>
      </w:r>
      <w:r>
        <w:rPr/>
        <w:t>market</w:t>
      </w:r>
      <w:r>
        <w:rPr>
          <w:spacing w:val="-3"/>
        </w:rPr>
        <w:t> </w:t>
      </w:r>
      <w:r>
        <w:rPr/>
        <w:t>sentiment</w:t>
      </w:r>
      <w:r>
        <w:rPr>
          <w:spacing w:val="-3"/>
        </w:rPr>
        <w:t> </w:t>
      </w:r>
      <w:r>
        <w:rPr/>
        <w:t>has</w:t>
      </w:r>
      <w:r>
        <w:rPr>
          <w:spacing w:val="-3"/>
        </w:rPr>
        <w:t> </w:t>
      </w:r>
      <w:r>
        <w:rPr/>
        <w:t>changed slightly, which offers more risk and opportunity. However, in order for greater</w:t>
      </w:r>
      <w:r>
        <w:rPr>
          <w:spacing w:val="-3"/>
        </w:rPr>
        <w:t> </w:t>
      </w:r>
      <w:r>
        <w:rPr/>
        <w:t>directional</w:t>
      </w:r>
      <w:r>
        <w:rPr>
          <w:spacing w:val="-3"/>
        </w:rPr>
        <w:t> </w:t>
      </w:r>
      <w:r>
        <w:rPr/>
        <w:t>conviction</w:t>
      </w:r>
      <w:r>
        <w:rPr>
          <w:spacing w:val="-2"/>
        </w:rPr>
        <w:t> </w:t>
      </w:r>
      <w:r>
        <w:rPr/>
        <w:t>to</w:t>
      </w:r>
      <w:r>
        <w:rPr>
          <w:spacing w:val="-4"/>
        </w:rPr>
        <w:t> </w:t>
      </w:r>
      <w:r>
        <w:rPr/>
        <w:t>be</w:t>
      </w:r>
      <w:r>
        <w:rPr>
          <w:spacing w:val="-3"/>
        </w:rPr>
        <w:t> </w:t>
      </w:r>
      <w:r>
        <w:rPr/>
        <w:t>seen,</w:t>
      </w:r>
      <w:r>
        <w:rPr>
          <w:spacing w:val="-2"/>
        </w:rPr>
        <w:t> </w:t>
      </w:r>
      <w:r>
        <w:rPr/>
        <w:t>the</w:t>
      </w:r>
      <w:r>
        <w:rPr>
          <w:spacing w:val="-3"/>
        </w:rPr>
        <w:t> </w:t>
      </w:r>
      <w:r>
        <w:rPr/>
        <w:t>market</w:t>
      </w:r>
      <w:r>
        <w:rPr>
          <w:spacing w:val="-1"/>
        </w:rPr>
        <w:t> </w:t>
      </w:r>
      <w:r>
        <w:rPr/>
        <w:t>must</w:t>
      </w:r>
      <w:r>
        <w:rPr>
          <w:spacing w:val="-2"/>
        </w:rPr>
        <w:t> </w:t>
      </w:r>
      <w:r>
        <w:rPr/>
        <w:t>break</w:t>
      </w:r>
      <w:r>
        <w:rPr>
          <w:spacing w:val="-3"/>
        </w:rPr>
        <w:t> </w:t>
      </w:r>
      <w:r>
        <w:rPr/>
        <w:t>free</w:t>
      </w:r>
      <w:r>
        <w:rPr>
          <w:spacing w:val="-3"/>
        </w:rPr>
        <w:t> </w:t>
      </w:r>
      <w:r>
        <w:rPr/>
        <w:t>from</w:t>
      </w:r>
      <w:r>
        <w:rPr>
          <w:spacing w:val="-2"/>
        </w:rPr>
        <w:t> </w:t>
      </w:r>
      <w:r>
        <w:rPr>
          <w:spacing w:val="-5"/>
        </w:rPr>
        <w:t>the</w:t>
      </w:r>
    </w:p>
    <w:p>
      <w:pPr>
        <w:pStyle w:val="BodyText"/>
        <w:ind w:left="470"/>
        <w:jc w:val="both"/>
      </w:pPr>
      <w:r>
        <w:rPr>
          <w:spacing w:val="-26"/>
          <w:u w:val="single"/>
        </w:rPr>
        <w:t> </w:t>
      </w:r>
      <w:r>
        <w:rPr>
          <w:u w:val="single"/>
        </w:rPr>
        <w:t>prior</w:t>
      </w:r>
      <w:r>
        <w:rPr>
          <w:spacing w:val="1"/>
          <w:u w:val="single"/>
        </w:rPr>
        <w:t> </w:t>
      </w:r>
      <w:r>
        <w:rPr>
          <w:u w:val="single"/>
        </w:rPr>
        <w:t>day’s</w:t>
      </w:r>
      <w:r>
        <w:rPr>
          <w:spacing w:val="4"/>
          <w:u w:val="single"/>
        </w:rPr>
        <w:t> </w:t>
      </w:r>
      <w:r>
        <w:rPr>
          <w:u w:val="single"/>
        </w:rPr>
        <w:t>range</w:t>
      </w:r>
      <w:r>
        <w:rPr>
          <w:spacing w:val="3"/>
          <w:u w:val="single"/>
        </w:rPr>
        <w:t> </w:t>
      </w:r>
      <w:r>
        <w:rPr>
          <w:u w:val="single"/>
        </w:rPr>
        <w:t>and</w:t>
      </w:r>
      <w:r>
        <w:rPr>
          <w:spacing w:val="3"/>
          <w:u w:val="single"/>
        </w:rPr>
        <w:t> </w:t>
      </w:r>
      <w:r>
        <w:rPr>
          <w:u w:val="single"/>
        </w:rPr>
        <w:t>accept</w:t>
      </w:r>
      <w:r>
        <w:rPr>
          <w:spacing w:val="4"/>
          <w:u w:val="single"/>
        </w:rPr>
        <w:t> </w:t>
      </w:r>
      <w:r>
        <w:rPr>
          <w:u w:val="single"/>
        </w:rPr>
        <w:t>new</w:t>
      </w:r>
      <w:r>
        <w:rPr>
          <w:spacing w:val="3"/>
          <w:u w:val="single"/>
        </w:rPr>
        <w:t> </w:t>
      </w:r>
      <w:r>
        <w:rPr>
          <w:u w:val="single"/>
        </w:rPr>
        <w:t>value.</w:t>
      </w:r>
      <w:r>
        <w:rPr>
          <w:spacing w:val="3"/>
          <w:u w:val="single"/>
        </w:rPr>
        <w:t> </w:t>
      </w:r>
      <w:r>
        <w:rPr>
          <w:u w:val="single"/>
        </w:rPr>
        <w:t>If</w:t>
      </w:r>
      <w:r>
        <w:rPr>
          <w:spacing w:val="4"/>
          <w:u w:val="single"/>
        </w:rPr>
        <w:t> </w:t>
      </w:r>
      <w:r>
        <w:rPr>
          <w:u w:val="single"/>
        </w:rPr>
        <w:t>this</w:t>
      </w:r>
      <w:r>
        <w:rPr>
          <w:spacing w:val="3"/>
          <w:u w:val="single"/>
        </w:rPr>
        <w:t> </w:t>
      </w:r>
      <w:r>
        <w:rPr>
          <w:u w:val="single"/>
        </w:rPr>
        <w:t>occurs,</w:t>
      </w:r>
      <w:r>
        <w:rPr>
          <w:spacing w:val="4"/>
          <w:u w:val="single"/>
        </w:rPr>
        <w:t> </w:t>
      </w:r>
      <w:r>
        <w:rPr>
          <w:u w:val="single"/>
        </w:rPr>
        <w:t>a</w:t>
      </w:r>
      <w:r>
        <w:rPr>
          <w:spacing w:val="3"/>
          <w:u w:val="single"/>
        </w:rPr>
        <w:t> </w:t>
      </w:r>
      <w:r>
        <w:rPr>
          <w:u w:val="single"/>
        </w:rPr>
        <w:t>Trend</w:t>
      </w:r>
      <w:r>
        <w:rPr>
          <w:spacing w:val="3"/>
          <w:u w:val="single"/>
        </w:rPr>
        <w:t> </w:t>
      </w:r>
      <w:r>
        <w:rPr>
          <w:u w:val="single"/>
        </w:rPr>
        <w:t>Day,</w:t>
      </w:r>
      <w:r>
        <w:rPr>
          <w:spacing w:val="4"/>
          <w:u w:val="single"/>
        </w:rPr>
        <w:t> </w:t>
      </w:r>
      <w:r>
        <w:rPr>
          <w:spacing w:val="-2"/>
          <w:u w:val="single"/>
        </w:rPr>
        <w:t>Double-</w:t>
      </w:r>
    </w:p>
    <w:p>
      <w:pPr>
        <w:spacing w:after="0"/>
        <w:jc w:val="both"/>
        <w:sectPr>
          <w:footerReference w:type="default" r:id="rId82"/>
          <w:footerReference w:type="even" r:id="rId83"/>
          <w:pgSz w:w="8640" w:h="12960"/>
          <w:pgMar w:footer="985" w:header="536" w:top="720" w:bottom="1180" w:left="580" w:right="580"/>
          <w:pgNumType w:start="73"/>
        </w:sectPr>
      </w:pPr>
    </w:p>
    <w:p>
      <w:pPr>
        <w:pStyle w:val="BodyText"/>
        <w:spacing w:before="5"/>
        <w:rPr>
          <w:sz w:val="18"/>
        </w:rPr>
      </w:pPr>
    </w:p>
    <w:p>
      <w:pPr>
        <w:pStyle w:val="BodyText"/>
        <w:spacing w:before="64"/>
        <w:ind w:left="140" w:right="499"/>
        <w:jc w:val="both"/>
      </w:pPr>
      <w:r>
        <w:rPr/>
        <w:t>Distribution Trend Day, or Expanded Typical Day scenario will likely develop. If the market does not break free from the prior day’s range, however, further range activity will be seen, paving the way for a Typical Day, Trading Range Day, or Sideways Day scenario.</w:t>
      </w:r>
    </w:p>
    <w:p>
      <w:pPr>
        <w:pStyle w:val="BodyText"/>
        <w:ind w:left="140" w:right="494" w:firstLine="432"/>
        <w:jc w:val="both"/>
      </w:pPr>
      <w:r>
        <w:rPr/>
        <w:t>Figure 4.2 shows a five-minute chart of Crude Oil futures during a day that opened out of value, but in range. Initially, price pushed back into the day’s</w:t>
      </w:r>
      <w:r>
        <w:rPr>
          <w:spacing w:val="-2"/>
        </w:rPr>
        <w:t> </w:t>
      </w:r>
      <w:r>
        <w:rPr/>
        <w:t>value</w:t>
      </w:r>
      <w:r>
        <w:rPr>
          <w:spacing w:val="-2"/>
        </w:rPr>
        <w:t> </w:t>
      </w:r>
      <w:r>
        <w:rPr/>
        <w:t>area,</w:t>
      </w:r>
      <w:r>
        <w:rPr>
          <w:spacing w:val="-2"/>
        </w:rPr>
        <w:t> </w:t>
      </w:r>
      <w:r>
        <w:rPr/>
        <w:t>but</w:t>
      </w:r>
      <w:r>
        <w:rPr>
          <w:spacing w:val="-2"/>
        </w:rPr>
        <w:t> </w:t>
      </w:r>
      <w:r>
        <w:rPr/>
        <w:t>was</w:t>
      </w:r>
      <w:r>
        <w:rPr>
          <w:spacing w:val="-1"/>
        </w:rPr>
        <w:t> </w:t>
      </w:r>
      <w:r>
        <w:rPr/>
        <w:t>met</w:t>
      </w:r>
      <w:r>
        <w:rPr>
          <w:spacing w:val="-2"/>
        </w:rPr>
        <w:t> </w:t>
      </w:r>
      <w:r>
        <w:rPr/>
        <w:t>with</w:t>
      </w:r>
      <w:r>
        <w:rPr>
          <w:spacing w:val="-2"/>
        </w:rPr>
        <w:t> </w:t>
      </w:r>
      <w:r>
        <w:rPr/>
        <w:t>selling</w:t>
      </w:r>
      <w:r>
        <w:rPr>
          <w:spacing w:val="-2"/>
        </w:rPr>
        <w:t> </w:t>
      </w:r>
      <w:r>
        <w:rPr/>
        <w:t>pressure.</w:t>
      </w:r>
      <w:r>
        <w:rPr>
          <w:spacing w:val="-2"/>
        </w:rPr>
        <w:t> </w:t>
      </w:r>
      <w:r>
        <w:rPr/>
        <w:t>The</w:t>
      </w:r>
      <w:r>
        <w:rPr>
          <w:spacing w:val="-2"/>
        </w:rPr>
        <w:t> </w:t>
      </w:r>
      <w:r>
        <w:rPr/>
        <w:t>rejection</w:t>
      </w:r>
      <w:r>
        <w:rPr>
          <w:spacing w:val="-2"/>
        </w:rPr>
        <w:t> </w:t>
      </w:r>
      <w:r>
        <w:rPr/>
        <w:t>at</w:t>
      </w:r>
      <w:r>
        <w:rPr>
          <w:spacing w:val="-2"/>
        </w:rPr>
        <w:t> </w:t>
      </w:r>
      <w:r>
        <w:rPr/>
        <w:t>the</w:t>
      </w:r>
      <w:r>
        <w:rPr>
          <w:spacing w:val="-2"/>
        </w:rPr>
        <w:t> </w:t>
      </w:r>
      <w:r>
        <w:rPr/>
        <w:t>value area eventually led to the acceptance of slightly lower value. If price had accepted value within the day’s value area, the result would have been quiet trading range behavior. Instead, the fact that the market opened out of value indicated the potential for increased directional conviction or, at the very least, active price discovery. While price did not aggressively seek new</w:t>
      </w:r>
      <w:r>
        <w:rPr>
          <w:spacing w:val="40"/>
        </w:rPr>
        <w:t> </w:t>
      </w:r>
      <w:r>
        <w:rPr/>
        <w:t>value, this type of day usually introduces much more active price activity</w:t>
      </w:r>
      <w:r>
        <w:rPr>
          <w:spacing w:val="40"/>
        </w:rPr>
        <w:t> </w:t>
      </w:r>
      <w:r>
        <w:rPr/>
        <w:t>than the prior opening relationship.</w:t>
      </w:r>
    </w:p>
    <w:p>
      <w:pPr>
        <w:pStyle w:val="BodyText"/>
        <w:spacing w:before="1"/>
        <w:rPr>
          <w:sz w:val="20"/>
        </w:rPr>
      </w:pPr>
      <w:r>
        <w:rPr/>
        <w:drawing>
          <wp:anchor distT="0" distB="0" distL="0" distR="0" allowOverlap="1" layoutInCell="1" locked="0" behindDoc="0" simplePos="0" relativeHeight="66">
            <wp:simplePos x="0" y="0"/>
            <wp:positionH relativeFrom="page">
              <wp:posOffset>457200</wp:posOffset>
            </wp:positionH>
            <wp:positionV relativeFrom="paragraph">
              <wp:posOffset>162360</wp:posOffset>
            </wp:positionV>
            <wp:extent cx="4342904" cy="3103054"/>
            <wp:effectExtent l="0" t="0" r="0" b="0"/>
            <wp:wrapTopAndBottom/>
            <wp:docPr id="67" name="image35.png"/>
            <wp:cNvGraphicFramePr>
              <a:graphicFrameLocks noChangeAspect="1"/>
            </wp:cNvGraphicFramePr>
            <a:graphic>
              <a:graphicData uri="http://schemas.openxmlformats.org/drawingml/2006/picture">
                <pic:pic>
                  <pic:nvPicPr>
                    <pic:cNvPr id="68" name="image35.png"/>
                    <pic:cNvPicPr/>
                  </pic:nvPicPr>
                  <pic:blipFill>
                    <a:blip r:embed="rId85"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4.2:</w:t>
      </w:r>
      <w:r>
        <w:rPr>
          <w:spacing w:val="1"/>
          <w:sz w:val="16"/>
        </w:rPr>
        <w:t> </w:t>
      </w:r>
      <w:r>
        <w:rPr>
          <w:sz w:val="16"/>
        </w:rPr>
        <w:t>An</w:t>
      </w:r>
      <w:r>
        <w:rPr>
          <w:spacing w:val="1"/>
          <w:sz w:val="16"/>
        </w:rPr>
        <w:t> </w:t>
      </w:r>
      <w:r>
        <w:rPr>
          <w:sz w:val="16"/>
        </w:rPr>
        <w:t>open in range and out of value leads to slightly</w:t>
      </w:r>
      <w:r>
        <w:rPr>
          <w:spacing w:val="1"/>
          <w:sz w:val="16"/>
        </w:rPr>
        <w:t> </w:t>
      </w:r>
      <w:r>
        <w:rPr>
          <w:sz w:val="16"/>
        </w:rPr>
        <w:t>more</w:t>
      </w:r>
      <w:r>
        <w:rPr>
          <w:spacing w:val="1"/>
          <w:sz w:val="16"/>
        </w:rPr>
        <w:t> </w:t>
      </w:r>
      <w:r>
        <w:rPr>
          <w:sz w:val="16"/>
        </w:rPr>
        <w:t>volatility in Crude </w:t>
      </w:r>
      <w:r>
        <w:rPr>
          <w:spacing w:val="-4"/>
          <w:sz w:val="16"/>
        </w:rPr>
        <w:t>Oil.</w:t>
      </w:r>
    </w:p>
    <w:p>
      <w:pPr>
        <w:pStyle w:val="BodyText"/>
        <w:spacing w:before="9"/>
        <w:rPr>
          <w:sz w:val="21"/>
        </w:rPr>
      </w:pPr>
    </w:p>
    <w:p>
      <w:pPr>
        <w:pStyle w:val="BodyText"/>
        <w:ind w:left="140" w:right="495" w:firstLine="432"/>
        <w:jc w:val="both"/>
      </w:pPr>
      <w:r>
        <w:rPr/>
        <w:t>The last type of opening relationship is an open that occurs out of the prior day’s range and out of the prior day’s value area. On this type of day, the market has opened out of balance, indicating that market sentiment has clearly changed from the prior day. If the market does not fall back within</w:t>
      </w:r>
      <w:r>
        <w:rPr>
          <w:spacing w:val="40"/>
        </w:rPr>
        <w:t> </w:t>
      </w:r>
      <w:r>
        <w:rPr/>
        <w:t>the</w:t>
      </w:r>
      <w:r>
        <w:rPr>
          <w:spacing w:val="27"/>
        </w:rPr>
        <w:t> </w:t>
      </w:r>
      <w:r>
        <w:rPr/>
        <w:t>prior</w:t>
      </w:r>
      <w:r>
        <w:rPr>
          <w:spacing w:val="27"/>
        </w:rPr>
        <w:t> </w:t>
      </w:r>
      <w:r>
        <w:rPr/>
        <w:t>day’s</w:t>
      </w:r>
      <w:r>
        <w:rPr>
          <w:spacing w:val="27"/>
        </w:rPr>
        <w:t> </w:t>
      </w:r>
      <w:r>
        <w:rPr/>
        <w:t>range,</w:t>
      </w:r>
      <w:r>
        <w:rPr>
          <w:spacing w:val="26"/>
        </w:rPr>
        <w:t> </w:t>
      </w:r>
      <w:r>
        <w:rPr/>
        <w:t>this</w:t>
      </w:r>
      <w:r>
        <w:rPr>
          <w:spacing w:val="26"/>
        </w:rPr>
        <w:t> </w:t>
      </w:r>
      <w:r>
        <w:rPr/>
        <w:t>means</w:t>
      </w:r>
      <w:r>
        <w:rPr>
          <w:spacing w:val="28"/>
        </w:rPr>
        <w:t> </w:t>
      </w:r>
      <w:r>
        <w:rPr/>
        <w:t>the</w:t>
      </w:r>
      <w:r>
        <w:rPr>
          <w:spacing w:val="27"/>
        </w:rPr>
        <w:t> </w:t>
      </w:r>
      <w:r>
        <w:rPr/>
        <w:t>market</w:t>
      </w:r>
      <w:r>
        <w:rPr>
          <w:spacing w:val="28"/>
        </w:rPr>
        <w:t> </w:t>
      </w:r>
      <w:r>
        <w:rPr/>
        <w:t>is</w:t>
      </w:r>
      <w:r>
        <w:rPr>
          <w:spacing w:val="28"/>
        </w:rPr>
        <w:t> </w:t>
      </w:r>
      <w:r>
        <w:rPr/>
        <w:t>likely</w:t>
      </w:r>
      <w:r>
        <w:rPr>
          <w:spacing w:val="27"/>
        </w:rPr>
        <w:t> </w:t>
      </w:r>
      <w:r>
        <w:rPr/>
        <w:t>accepting</w:t>
      </w:r>
      <w:r>
        <w:rPr>
          <w:spacing w:val="27"/>
        </w:rPr>
        <w:t> </w:t>
      </w:r>
      <w:r>
        <w:rPr/>
        <w:t>new</w:t>
      </w:r>
      <w:r>
        <w:rPr>
          <w:spacing w:val="27"/>
        </w:rPr>
        <w:t> </w:t>
      </w:r>
      <w:r>
        <w:rPr>
          <w:spacing w:val="-2"/>
        </w:rPr>
        <w:t>value</w:t>
      </w:r>
    </w:p>
    <w:p>
      <w:pPr>
        <w:pStyle w:val="BodyText"/>
        <w:ind w:left="110"/>
        <w:jc w:val="both"/>
      </w:pPr>
      <w:r>
        <w:rPr>
          <w:spacing w:val="-26"/>
          <w:u w:val="single"/>
        </w:rPr>
        <w:t> </w:t>
      </w:r>
      <w:r>
        <w:rPr>
          <w:u w:val="single"/>
        </w:rPr>
        <w:t>and</w:t>
      </w:r>
      <w:r>
        <w:rPr>
          <w:spacing w:val="12"/>
          <w:u w:val="single"/>
        </w:rPr>
        <w:t> </w:t>
      </w:r>
      <w:r>
        <w:rPr>
          <w:u w:val="single"/>
        </w:rPr>
        <w:t>further</w:t>
      </w:r>
      <w:r>
        <w:rPr>
          <w:spacing w:val="14"/>
          <w:u w:val="single"/>
        </w:rPr>
        <w:t> </w:t>
      </w:r>
      <w:r>
        <w:rPr>
          <w:u w:val="single"/>
        </w:rPr>
        <w:t>range</w:t>
      </w:r>
      <w:r>
        <w:rPr>
          <w:spacing w:val="13"/>
          <w:u w:val="single"/>
        </w:rPr>
        <w:t> </w:t>
      </w:r>
      <w:r>
        <w:rPr>
          <w:u w:val="single"/>
        </w:rPr>
        <w:t>extension</w:t>
      </w:r>
      <w:r>
        <w:rPr>
          <w:spacing w:val="14"/>
          <w:u w:val="single"/>
        </w:rPr>
        <w:t> </w:t>
      </w:r>
      <w:r>
        <w:rPr>
          <w:u w:val="single"/>
        </w:rPr>
        <w:t>will</w:t>
      </w:r>
      <w:r>
        <w:rPr>
          <w:spacing w:val="13"/>
          <w:u w:val="single"/>
        </w:rPr>
        <w:t> </w:t>
      </w:r>
      <w:r>
        <w:rPr>
          <w:u w:val="single"/>
        </w:rPr>
        <w:t>be</w:t>
      </w:r>
      <w:r>
        <w:rPr>
          <w:spacing w:val="14"/>
          <w:u w:val="single"/>
        </w:rPr>
        <w:t> </w:t>
      </w:r>
      <w:r>
        <w:rPr>
          <w:u w:val="single"/>
        </w:rPr>
        <w:t>seen,</w:t>
      </w:r>
      <w:r>
        <w:rPr>
          <w:spacing w:val="14"/>
          <w:u w:val="single"/>
        </w:rPr>
        <w:t> </w:t>
      </w:r>
      <w:r>
        <w:rPr>
          <w:u w:val="single"/>
        </w:rPr>
        <w:t>as</w:t>
      </w:r>
      <w:r>
        <w:rPr>
          <w:spacing w:val="13"/>
          <w:u w:val="single"/>
        </w:rPr>
        <w:t> </w:t>
      </w:r>
      <w:r>
        <w:rPr>
          <w:u w:val="single"/>
        </w:rPr>
        <w:t>additional</w:t>
      </w:r>
      <w:r>
        <w:rPr>
          <w:spacing w:val="14"/>
          <w:u w:val="single"/>
        </w:rPr>
        <w:t> </w:t>
      </w:r>
      <w:r>
        <w:rPr>
          <w:u w:val="single"/>
        </w:rPr>
        <w:t>initiative</w:t>
      </w:r>
      <w:r>
        <w:rPr>
          <w:spacing w:val="13"/>
          <w:u w:val="single"/>
        </w:rPr>
        <w:t> </w:t>
      </w:r>
      <w:r>
        <w:rPr>
          <w:spacing w:val="-2"/>
          <w:u w:val="single"/>
        </w:rPr>
        <w:t>participants</w:t>
      </w:r>
    </w:p>
    <w:p>
      <w:pPr>
        <w:spacing w:after="0"/>
        <w:jc w:val="both"/>
        <w:sectPr>
          <w:pgSz w:w="8640" w:h="12960"/>
          <w:pgMar w:header="579" w:footer="985" w:top="760" w:bottom="1180" w:left="580" w:right="580"/>
        </w:sectPr>
      </w:pPr>
    </w:p>
    <w:p>
      <w:pPr>
        <w:pStyle w:val="BodyText"/>
        <w:spacing w:before="3"/>
      </w:pPr>
    </w:p>
    <w:p>
      <w:pPr>
        <w:pStyle w:val="BodyText"/>
        <w:spacing w:before="64"/>
        <w:ind w:left="500" w:right="136"/>
        <w:jc w:val="both"/>
      </w:pPr>
      <w:r>
        <w:rPr/>
        <w:t>will enter the market. A Trend Day or Double-Distribution Trend Day</w:t>
      </w:r>
      <w:r>
        <w:rPr>
          <w:spacing w:val="40"/>
        </w:rPr>
        <w:t> </w:t>
      </w:r>
      <w:r>
        <w:rPr/>
        <w:t>usually arises from this relationship. However, if price pushes back within</w:t>
      </w:r>
      <w:r>
        <w:rPr>
          <w:spacing w:val="40"/>
        </w:rPr>
        <w:t> </w:t>
      </w:r>
      <w:r>
        <w:rPr/>
        <w:t>the prior day’s range, this means that responsive market participants were able to push price back toward prior value, indicating a failed breakout attempt, thereby leading to a Typical Day, Expanded Typical Day, or</w:t>
      </w:r>
      <w:r>
        <w:rPr>
          <w:spacing w:val="80"/>
        </w:rPr>
        <w:t> </w:t>
      </w:r>
      <w:r>
        <w:rPr/>
        <w:t>Trading Range Day. If new value is rejected in strong fashion, a Trend Day</w:t>
      </w:r>
      <w:r>
        <w:rPr>
          <w:spacing w:val="40"/>
        </w:rPr>
        <w:t> </w:t>
      </w:r>
      <w:r>
        <w:rPr/>
        <w:t>in the opposite direction could also be seen.</w:t>
      </w:r>
    </w:p>
    <w:p>
      <w:pPr>
        <w:pStyle w:val="BodyText"/>
        <w:spacing w:before="2"/>
      </w:pPr>
    </w:p>
    <w:p>
      <w:pPr>
        <w:spacing w:before="0"/>
        <w:ind w:left="555" w:right="192" w:hanging="2"/>
        <w:jc w:val="center"/>
        <w:rPr>
          <w:i/>
          <w:sz w:val="22"/>
        </w:rPr>
      </w:pPr>
      <w:r>
        <w:rPr>
          <w:i/>
          <w:sz w:val="22"/>
        </w:rPr>
        <w:t>An open that occurs out of range and value offers the most risk and</w:t>
      </w:r>
      <w:r>
        <w:rPr>
          <w:i/>
          <w:sz w:val="22"/>
        </w:rPr>
        <w:t> opportunity,</w:t>
      </w:r>
      <w:r>
        <w:rPr>
          <w:i/>
          <w:spacing w:val="-6"/>
          <w:sz w:val="22"/>
        </w:rPr>
        <w:t> </w:t>
      </w:r>
      <w:r>
        <w:rPr>
          <w:i/>
          <w:sz w:val="22"/>
        </w:rPr>
        <w:t>paving</w:t>
      </w:r>
      <w:r>
        <w:rPr>
          <w:i/>
          <w:spacing w:val="-4"/>
          <w:sz w:val="22"/>
        </w:rPr>
        <w:t> </w:t>
      </w:r>
      <w:r>
        <w:rPr>
          <w:i/>
          <w:sz w:val="22"/>
        </w:rPr>
        <w:t>the</w:t>
      </w:r>
      <w:r>
        <w:rPr>
          <w:i/>
          <w:spacing w:val="-4"/>
          <w:sz w:val="22"/>
        </w:rPr>
        <w:t> </w:t>
      </w:r>
      <w:r>
        <w:rPr>
          <w:i/>
          <w:sz w:val="22"/>
        </w:rPr>
        <w:t>way</w:t>
      </w:r>
      <w:r>
        <w:rPr>
          <w:i/>
          <w:spacing w:val="-4"/>
          <w:sz w:val="22"/>
        </w:rPr>
        <w:t> </w:t>
      </w:r>
      <w:r>
        <w:rPr>
          <w:i/>
          <w:sz w:val="22"/>
        </w:rPr>
        <w:t>for</w:t>
      </w:r>
      <w:r>
        <w:rPr>
          <w:i/>
          <w:spacing w:val="-4"/>
          <w:sz w:val="22"/>
        </w:rPr>
        <w:t> </w:t>
      </w:r>
      <w:r>
        <w:rPr>
          <w:i/>
          <w:sz w:val="22"/>
        </w:rPr>
        <w:t>greater</w:t>
      </w:r>
      <w:r>
        <w:rPr>
          <w:i/>
          <w:spacing w:val="-4"/>
          <w:sz w:val="22"/>
        </w:rPr>
        <w:t> </w:t>
      </w:r>
      <w:r>
        <w:rPr>
          <w:i/>
          <w:sz w:val="22"/>
        </w:rPr>
        <w:t>directional</w:t>
      </w:r>
      <w:r>
        <w:rPr>
          <w:i/>
          <w:spacing w:val="-4"/>
          <w:sz w:val="22"/>
        </w:rPr>
        <w:t> </w:t>
      </w:r>
      <w:r>
        <w:rPr>
          <w:i/>
          <w:sz w:val="22"/>
        </w:rPr>
        <w:t>conviction.</w:t>
      </w:r>
      <w:r>
        <w:rPr>
          <w:i/>
          <w:spacing w:val="-4"/>
          <w:sz w:val="22"/>
        </w:rPr>
        <w:t> </w:t>
      </w:r>
      <w:r>
        <w:rPr>
          <w:i/>
          <w:sz w:val="22"/>
        </w:rPr>
        <w:t>This</w:t>
      </w:r>
      <w:r>
        <w:rPr>
          <w:i/>
          <w:spacing w:val="-4"/>
          <w:sz w:val="22"/>
        </w:rPr>
        <w:t> </w:t>
      </w:r>
      <w:r>
        <w:rPr>
          <w:i/>
          <w:sz w:val="22"/>
        </w:rPr>
        <w:t>opening relationship offers the most aggressive price discovery.</w:t>
      </w:r>
    </w:p>
    <w:p>
      <w:pPr>
        <w:pStyle w:val="BodyText"/>
        <w:spacing w:before="10"/>
        <w:rPr>
          <w:i/>
          <w:sz w:val="21"/>
        </w:rPr>
      </w:pPr>
    </w:p>
    <w:p>
      <w:pPr>
        <w:pStyle w:val="BodyText"/>
        <w:ind w:left="500" w:right="135" w:firstLine="432"/>
        <w:jc w:val="both"/>
      </w:pPr>
      <w:r>
        <w:rPr/>
        <w:t>Figure 4.3 shows a five-minute chart of the Mini-Sized Dow futures contract during a day that opened out of range and value. The fact that the YM gapped above the prior day’s range and out of the Money Zone’s value area indicated that market sentiment had clearly changed and initiative</w:t>
      </w:r>
      <w:r>
        <w:rPr>
          <w:spacing w:val="40"/>
        </w:rPr>
        <w:t> </w:t>
      </w:r>
      <w:r>
        <w:rPr/>
        <w:t>buyers were attempting to push price to new value. Since the market</w:t>
      </w:r>
      <w:r>
        <w:rPr>
          <w:spacing w:val="40"/>
        </w:rPr>
        <w:t> </w:t>
      </w:r>
      <w:r>
        <w:rPr/>
        <w:t>accepted new value above the prior day’s range, the market trended steadily higher throughout the session, leading to a Trend Day scenario. If price had reversed back into the prior day’s range, a rejection of the breakout would have been seen.</w:t>
      </w:r>
    </w:p>
    <w:p>
      <w:pPr>
        <w:pStyle w:val="BodyText"/>
        <w:spacing w:before="1"/>
        <w:rPr>
          <w:sz w:val="20"/>
        </w:rPr>
      </w:pPr>
      <w:r>
        <w:rPr/>
        <w:drawing>
          <wp:anchor distT="0" distB="0" distL="0" distR="0" allowOverlap="1" layoutInCell="1" locked="0" behindDoc="0" simplePos="0" relativeHeight="67">
            <wp:simplePos x="0" y="0"/>
            <wp:positionH relativeFrom="page">
              <wp:posOffset>685800</wp:posOffset>
            </wp:positionH>
            <wp:positionV relativeFrom="paragraph">
              <wp:posOffset>162215</wp:posOffset>
            </wp:positionV>
            <wp:extent cx="4342904" cy="3103054"/>
            <wp:effectExtent l="0" t="0" r="0" b="0"/>
            <wp:wrapTopAndBottom/>
            <wp:docPr id="69" name="image36.png"/>
            <wp:cNvGraphicFramePr>
              <a:graphicFrameLocks noChangeAspect="1"/>
            </wp:cNvGraphicFramePr>
            <a:graphic>
              <a:graphicData uri="http://schemas.openxmlformats.org/drawingml/2006/picture">
                <pic:pic>
                  <pic:nvPicPr>
                    <pic:cNvPr id="70" name="image36.png"/>
                    <pic:cNvPicPr/>
                  </pic:nvPicPr>
                  <pic:blipFill>
                    <a:blip r:embed="rId86" cstate="print"/>
                    <a:stretch>
                      <a:fillRect/>
                    </a:stretch>
                  </pic:blipFill>
                  <pic:spPr>
                    <a:xfrm>
                      <a:off x="0" y="0"/>
                      <a:ext cx="4342904" cy="3103054"/>
                    </a:xfrm>
                    <a:prstGeom prst="rect">
                      <a:avLst/>
                    </a:prstGeom>
                  </pic:spPr>
                </pic:pic>
              </a:graphicData>
            </a:graphic>
          </wp:anchor>
        </w:drawing>
      </w:r>
    </w:p>
    <w:p>
      <w:pPr>
        <w:tabs>
          <w:tab w:pos="7259" w:val="left" w:leader="none"/>
        </w:tabs>
        <w:spacing w:before="0"/>
        <w:ind w:left="360" w:right="0" w:firstLine="0"/>
        <w:jc w:val="center"/>
        <w:rPr>
          <w:sz w:val="16"/>
        </w:rPr>
      </w:pPr>
      <w:r>
        <w:rPr>
          <w:spacing w:val="-10"/>
          <w:sz w:val="16"/>
          <w:u w:val="single"/>
        </w:rPr>
        <w:t> </w:t>
      </w:r>
      <w:r>
        <w:rPr>
          <w:sz w:val="16"/>
          <w:u w:val="single"/>
        </w:rPr>
        <w:t>FIGURE</w:t>
      </w:r>
      <w:r>
        <w:rPr>
          <w:spacing w:val="1"/>
          <w:sz w:val="16"/>
          <w:u w:val="single"/>
        </w:rPr>
        <w:t> </w:t>
      </w:r>
      <w:r>
        <w:rPr>
          <w:sz w:val="16"/>
          <w:u w:val="single"/>
        </w:rPr>
        <w:t>4.3:</w:t>
      </w:r>
      <w:r>
        <w:rPr>
          <w:spacing w:val="1"/>
          <w:sz w:val="16"/>
          <w:u w:val="single"/>
        </w:rPr>
        <w:t> </w:t>
      </w:r>
      <w:r>
        <w:rPr>
          <w:sz w:val="16"/>
          <w:u w:val="single"/>
        </w:rPr>
        <w:t>An</w:t>
      </w:r>
      <w:r>
        <w:rPr>
          <w:spacing w:val="2"/>
          <w:sz w:val="16"/>
          <w:u w:val="single"/>
        </w:rPr>
        <w:t> </w:t>
      </w:r>
      <w:r>
        <w:rPr>
          <w:sz w:val="16"/>
          <w:u w:val="single"/>
        </w:rPr>
        <w:t>open out</w:t>
      </w:r>
      <w:r>
        <w:rPr>
          <w:spacing w:val="1"/>
          <w:sz w:val="16"/>
          <w:u w:val="single"/>
        </w:rPr>
        <w:t> </w:t>
      </w:r>
      <w:r>
        <w:rPr>
          <w:sz w:val="16"/>
          <w:u w:val="single"/>
        </w:rPr>
        <w:t>of</w:t>
      </w:r>
      <w:r>
        <w:rPr>
          <w:spacing w:val="1"/>
          <w:sz w:val="16"/>
          <w:u w:val="single"/>
        </w:rPr>
        <w:t> </w:t>
      </w:r>
      <w:r>
        <w:rPr>
          <w:sz w:val="16"/>
          <w:u w:val="single"/>
        </w:rPr>
        <w:t>range and</w:t>
      </w:r>
      <w:r>
        <w:rPr>
          <w:spacing w:val="1"/>
          <w:sz w:val="16"/>
          <w:u w:val="single"/>
        </w:rPr>
        <w:t> </w:t>
      </w:r>
      <w:r>
        <w:rPr>
          <w:sz w:val="16"/>
          <w:u w:val="single"/>
        </w:rPr>
        <w:t>value</w:t>
      </w:r>
      <w:r>
        <w:rPr>
          <w:spacing w:val="1"/>
          <w:sz w:val="16"/>
          <w:u w:val="single"/>
        </w:rPr>
        <w:t> </w:t>
      </w:r>
      <w:r>
        <w:rPr>
          <w:sz w:val="16"/>
          <w:u w:val="single"/>
        </w:rPr>
        <w:t>leads to</w:t>
      </w:r>
      <w:r>
        <w:rPr>
          <w:spacing w:val="1"/>
          <w:sz w:val="16"/>
          <w:u w:val="single"/>
        </w:rPr>
        <w:t> </w:t>
      </w:r>
      <w:r>
        <w:rPr>
          <w:sz w:val="16"/>
          <w:u w:val="single"/>
        </w:rPr>
        <w:t>a big</w:t>
      </w:r>
      <w:r>
        <w:rPr>
          <w:spacing w:val="1"/>
          <w:sz w:val="16"/>
          <w:u w:val="single"/>
        </w:rPr>
        <w:t> </w:t>
      </w:r>
      <w:r>
        <w:rPr>
          <w:sz w:val="16"/>
          <w:u w:val="single"/>
        </w:rPr>
        <w:t>day</w:t>
      </w:r>
      <w:r>
        <w:rPr>
          <w:spacing w:val="1"/>
          <w:sz w:val="16"/>
          <w:u w:val="single"/>
        </w:rPr>
        <w:t> </w:t>
      </w:r>
      <w:r>
        <w:rPr>
          <w:sz w:val="16"/>
          <w:u w:val="single"/>
        </w:rPr>
        <w:t>in the</w:t>
      </w:r>
      <w:r>
        <w:rPr>
          <w:spacing w:val="2"/>
          <w:sz w:val="16"/>
          <w:u w:val="single"/>
        </w:rPr>
        <w:t> </w:t>
      </w:r>
      <w:r>
        <w:rPr>
          <w:spacing w:val="-5"/>
          <w:sz w:val="16"/>
          <w:u w:val="single"/>
        </w:rPr>
        <w:t>YM.</w:t>
      </w:r>
      <w:r>
        <w:rPr>
          <w:sz w:val="16"/>
          <w:u w:val="single"/>
        </w:rPr>
        <w:tab/>
      </w:r>
    </w:p>
    <w:p>
      <w:pPr>
        <w:spacing w:after="0"/>
        <w:jc w:val="center"/>
        <w:rPr>
          <w:sz w:val="16"/>
        </w:rPr>
        <w:sectPr>
          <w:pgSz w:w="8640" w:h="12960"/>
          <w:pgMar w:header="536" w:footer="985" w:top="720" w:bottom="1180" w:left="580" w:right="580"/>
        </w:sectPr>
      </w:pPr>
    </w:p>
    <w:p>
      <w:pPr>
        <w:pStyle w:val="BodyText"/>
        <w:rPr>
          <w:sz w:val="20"/>
        </w:rPr>
      </w:pPr>
    </w:p>
    <w:p>
      <w:pPr>
        <w:pStyle w:val="BodyText"/>
        <w:spacing w:before="5"/>
        <w:rPr>
          <w:sz w:val="20"/>
        </w:rPr>
      </w:pPr>
    </w:p>
    <w:p>
      <w:pPr>
        <w:pStyle w:val="BodyText"/>
        <w:spacing w:before="64"/>
        <w:ind w:left="139" w:right="496" w:firstLine="432"/>
        <w:jc w:val="both"/>
      </w:pPr>
      <w:r>
        <w:rPr/>
        <w:t>This opening relationship helps to confirm one of my favorite trade setups, which helps me trigger entries into moves that usually deliver the biggest rewards. Later in the chapter, and throughout the book, I will show different ways to spot this breakout opportunity before the open of the</w:t>
      </w:r>
      <w:r>
        <w:rPr>
          <w:spacing w:val="80"/>
        </w:rPr>
        <w:t> </w:t>
      </w:r>
      <w:r>
        <w:rPr/>
        <w:t>market even occurs, which gives you advanced warning of a potentially big day ahead.</w:t>
      </w:r>
    </w:p>
    <w:p>
      <w:pPr>
        <w:pStyle w:val="BodyText"/>
        <w:ind w:left="139" w:right="497" w:firstLine="432"/>
        <w:jc w:val="both"/>
      </w:pPr>
      <w:r>
        <w:rPr/>
        <w:t>Like many of the concepts we have learned thus far, the three opening relationships are meant as a guide to help you decipher potential market behavior and conviction. Simply understanding that the market has opened out of range and value will allow you to prepare for a potentially big day payday. Conversely, an opening print that occurs within range and value will allow you to play reversals at the extremes of the day’s trading range, or cause you</w:t>
      </w:r>
      <w:r>
        <w:rPr>
          <w:spacing w:val="-1"/>
        </w:rPr>
        <w:t> </w:t>
      </w:r>
      <w:r>
        <w:rPr/>
        <w:t>to</w:t>
      </w:r>
      <w:r>
        <w:rPr>
          <w:spacing w:val="-2"/>
        </w:rPr>
        <w:t> </w:t>
      </w:r>
      <w:r>
        <w:rPr/>
        <w:t>sit out the session entirely.</w:t>
      </w:r>
      <w:r>
        <w:rPr>
          <w:spacing w:val="-2"/>
        </w:rPr>
        <w:t> </w:t>
      </w:r>
      <w:r>
        <w:rPr/>
        <w:t>Simply paying attention</w:t>
      </w:r>
      <w:r>
        <w:rPr>
          <w:spacing w:val="-1"/>
        </w:rPr>
        <w:t> </w:t>
      </w:r>
      <w:r>
        <w:rPr/>
        <w:t>to</w:t>
      </w:r>
      <w:r>
        <w:rPr>
          <w:spacing w:val="-2"/>
        </w:rPr>
        <w:t> </w:t>
      </w:r>
      <w:r>
        <w:rPr/>
        <w:t>important price-to-pivot relationships can immensely improve your trading.</w:t>
      </w:r>
    </w:p>
    <w:p>
      <w:pPr>
        <w:pStyle w:val="BodyText"/>
        <w:spacing w:before="11"/>
        <w:rPr>
          <w:sz w:val="21"/>
        </w:rPr>
      </w:pPr>
    </w:p>
    <w:p>
      <w:pPr>
        <w:pStyle w:val="Heading3"/>
      </w:pPr>
      <w:r>
        <w:rPr/>
        <w:pict>
          <v:shape style="position:absolute;margin-left:36.779999pt;margin-top:18.290300pt;width:341pt;height:.1pt;mso-position-horizontal-relative:page;mso-position-vertical-relative:paragraph;z-index:-15693824;mso-wrap-distance-left:0;mso-wrap-distance-right:0" id="docshape282" coordorigin="736,366" coordsize="6820,0" path="m736,366l7555,366e" filled="false" stroked="true" strokeweight=".75pt" strokecolor="#000000">
            <v:path arrowok="t"/>
            <v:stroke dashstyle="solid"/>
            <w10:wrap type="topAndBottom"/>
          </v:shape>
        </w:pict>
      </w:r>
      <w:bookmarkStart w:name="_TOC_250061" w:id="30"/>
      <w:r>
        <w:rPr>
          <w:smallCaps/>
          <w:spacing w:val="-2"/>
        </w:rPr>
        <w:t>Value</w:t>
      </w:r>
      <w:r>
        <w:rPr>
          <w:smallCaps/>
        </w:rPr>
        <w:t> </w:t>
      </w:r>
      <w:r>
        <w:rPr>
          <w:smallCaps/>
          <w:spacing w:val="-2"/>
        </w:rPr>
        <w:t>Area</w:t>
      </w:r>
      <w:r>
        <w:rPr>
          <w:smallCaps/>
          <w:spacing w:val="-12"/>
        </w:rPr>
        <w:t> </w:t>
      </w:r>
      <w:bookmarkEnd w:id="30"/>
      <w:r>
        <w:rPr>
          <w:smallCaps/>
          <w:spacing w:val="-2"/>
        </w:rPr>
        <w:t>Relationships</w:t>
      </w:r>
    </w:p>
    <w:p>
      <w:pPr>
        <w:pStyle w:val="BodyText"/>
        <w:spacing w:before="202"/>
        <w:ind w:left="140" w:right="495" w:firstLine="432"/>
        <w:jc w:val="both"/>
      </w:pPr>
      <w:r>
        <w:rPr/>
        <w:t>The value area is important because it represents where 70 percent of</w:t>
      </w:r>
      <w:r>
        <w:rPr>
          <w:spacing w:val="40"/>
        </w:rPr>
        <w:t> </w:t>
      </w:r>
      <w:r>
        <w:rPr/>
        <w:t>the trading activity occurred in a day. The market identified this area as a zone for fair trade facilitation between buyers and sellers; therefore, most of the day’s trades occurred within this range. The ability to understand the relationships between current and prior value areas is extremely important market-generated information. Unlike other indicators, a prior day’s Money Zone levels are still very relevant in the marketplace for several days, and even weeks. Understanding how current Money Zone levels relate to a prior day’s levels will go a long way toward understanding current market</w:t>
      </w:r>
      <w:r>
        <w:rPr>
          <w:spacing w:val="40"/>
        </w:rPr>
        <w:t> </w:t>
      </w:r>
      <w:r>
        <w:rPr/>
        <w:t>behavior and future price movement.</w:t>
      </w:r>
    </w:p>
    <w:p>
      <w:pPr>
        <w:pStyle w:val="BodyText"/>
        <w:ind w:left="140" w:right="497" w:firstLine="432"/>
        <w:jc w:val="both"/>
      </w:pPr>
      <w:r>
        <w:rPr/>
        <w:t>Knowing the type of value area relationship the market is currently operating from allows you to gauge current market strength and prepare for specific types of setups during the day. There are seven types of value area relationships that should be considered when analyzing the current strength and attempted direction of the market: </w:t>
      </w:r>
      <w:r>
        <w:rPr>
          <w:i/>
        </w:rPr>
        <w:t>Higher Value</w:t>
      </w:r>
      <w:r>
        <w:rPr/>
        <w:t>, </w:t>
      </w:r>
      <w:r>
        <w:rPr>
          <w:i/>
        </w:rPr>
        <w:t>Overlapping Higher</w:t>
      </w:r>
      <w:r>
        <w:rPr>
          <w:i/>
        </w:rPr>
        <w:t> Value</w:t>
      </w:r>
      <w:r>
        <w:rPr/>
        <w:t>, </w:t>
      </w:r>
      <w:r>
        <w:rPr>
          <w:i/>
        </w:rPr>
        <w:t>Lower Value</w:t>
      </w:r>
      <w:r>
        <w:rPr/>
        <w:t>, </w:t>
      </w:r>
      <w:r>
        <w:rPr>
          <w:i/>
        </w:rPr>
        <w:t>Overlapping Lower Value</w:t>
      </w:r>
      <w:r>
        <w:rPr/>
        <w:t>, </w:t>
      </w:r>
      <w:r>
        <w:rPr>
          <w:i/>
        </w:rPr>
        <w:t>Unchanged Value</w:t>
      </w:r>
      <w:r>
        <w:rPr/>
        <w:t>, </w:t>
      </w:r>
      <w:r>
        <w:rPr>
          <w:i/>
        </w:rPr>
        <w:t>Outside</w:t>
      </w:r>
      <w:r>
        <w:rPr>
          <w:i/>
        </w:rPr>
        <w:t> Value</w:t>
      </w:r>
      <w:r>
        <w:rPr/>
        <w:t>, and </w:t>
      </w:r>
      <w:r>
        <w:rPr>
          <w:i/>
        </w:rPr>
        <w:t>Inside Value</w:t>
      </w:r>
      <w:r>
        <w:rPr/>
        <w:t>. Each value area relationship brings with it a directional</w:t>
      </w:r>
      <w:r>
        <w:rPr>
          <w:spacing w:val="-3"/>
        </w:rPr>
        <w:t> </w:t>
      </w:r>
      <w:r>
        <w:rPr/>
        <w:t>bias</w:t>
      </w:r>
      <w:r>
        <w:rPr>
          <w:spacing w:val="-3"/>
        </w:rPr>
        <w:t> </w:t>
      </w:r>
      <w:r>
        <w:rPr/>
        <w:t>or</w:t>
      </w:r>
      <w:r>
        <w:rPr>
          <w:spacing w:val="-3"/>
        </w:rPr>
        <w:t> </w:t>
      </w:r>
      <w:r>
        <w:rPr/>
        <w:t>expected</w:t>
      </w:r>
      <w:r>
        <w:rPr>
          <w:spacing w:val="-3"/>
        </w:rPr>
        <w:t> </w:t>
      </w:r>
      <w:r>
        <w:rPr/>
        <w:t>outcome,</w:t>
      </w:r>
      <w:r>
        <w:rPr>
          <w:spacing w:val="-3"/>
        </w:rPr>
        <w:t> </w:t>
      </w:r>
      <w:r>
        <w:rPr/>
        <w:t>which</w:t>
      </w:r>
      <w:r>
        <w:rPr>
          <w:spacing w:val="-3"/>
        </w:rPr>
        <w:t> </w:t>
      </w:r>
      <w:r>
        <w:rPr/>
        <w:t>can</w:t>
      </w:r>
      <w:r>
        <w:rPr>
          <w:spacing w:val="-3"/>
        </w:rPr>
        <w:t> </w:t>
      </w:r>
      <w:r>
        <w:rPr/>
        <w:t>prepare</w:t>
      </w:r>
      <w:r>
        <w:rPr>
          <w:spacing w:val="-3"/>
        </w:rPr>
        <w:t> </w:t>
      </w:r>
      <w:r>
        <w:rPr/>
        <w:t>you</w:t>
      </w:r>
      <w:r>
        <w:rPr>
          <w:spacing w:val="-3"/>
        </w:rPr>
        <w:t> </w:t>
      </w:r>
      <w:r>
        <w:rPr/>
        <w:t>for</w:t>
      </w:r>
      <w:r>
        <w:rPr>
          <w:spacing w:val="-5"/>
        </w:rPr>
        <w:t> </w:t>
      </w:r>
      <w:r>
        <w:rPr/>
        <w:t>certain</w:t>
      </w:r>
      <w:r>
        <w:rPr>
          <w:spacing w:val="-3"/>
        </w:rPr>
        <w:t> </w:t>
      </w:r>
      <w:r>
        <w:rPr/>
        <w:t>types of trading scenarios in the following session (see Table 4.2).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pict>
          <v:rect style="position:absolute;margin-left:34.5pt;margin-top:14.779306pt;width:345pt;height:.48001pt;mso-position-horizontal-relative:page;mso-position-vertical-relative:paragraph;z-index:-15693312;mso-wrap-distance-left:0;mso-wrap-distance-right:0" id="docshape283" filled="true" fillcolor="#000000" stroked="false">
            <v:fill type="solid"/>
            <w10:wrap type="topAndBottom"/>
          </v:rect>
        </w:pict>
      </w:r>
    </w:p>
    <w:p>
      <w:pPr>
        <w:spacing w:after="0"/>
        <w:rPr>
          <w:sz w:val="23"/>
        </w:rPr>
        <w:sectPr>
          <w:pgSz w:w="8640" w:h="12960"/>
          <w:pgMar w:header="579" w:footer="985" w:top="760" w:bottom="1200" w:left="580" w:right="580"/>
        </w:sectPr>
      </w:pPr>
    </w:p>
    <w:p>
      <w:pPr>
        <w:pStyle w:val="BodyText"/>
        <w:spacing w:after="1"/>
        <w:rPr>
          <w:sz w:val="28"/>
        </w:rPr>
      </w:pPr>
    </w:p>
    <w:p>
      <w:pPr>
        <w:pStyle w:val="BodyText"/>
        <w:ind w:left="866"/>
        <w:rPr>
          <w:sz w:val="20"/>
        </w:rPr>
      </w:pPr>
      <w:r>
        <w:rPr>
          <w:sz w:val="20"/>
        </w:rPr>
        <w:pict>
          <v:group style="width:305.4pt;height:18pt;mso-position-horizontal-relative:char;mso-position-vertical-relative:line" id="docshapegroup289" coordorigin="0,0" coordsize="6108,360">
            <v:rect style="position:absolute;left:20;top:20;width:6068;height:340" id="docshape290" filled="true" fillcolor="#000000" stroked="false">
              <v:fill type="solid"/>
            </v:rect>
            <v:shape style="position:absolute;left:0;top:0;width:6089;height:21" id="docshape291" coordorigin="0,0" coordsize="6089,21" path="m6089,0l19,0,0,0,0,19,0,20,19,20,19,19,6089,19,6089,0xe" filled="true" fillcolor="#3f3f3f" stroked="false">
              <v:path arrowok="t"/>
              <v:fill type="solid"/>
            </v:shape>
            <v:rect style="position:absolute;left:19;top:19;width:6070;height:2" id="docshape292" filled="true" fillcolor="#000000" stroked="false">
              <v:fill type="solid"/>
            </v:rect>
            <v:shape style="position:absolute;left:0;top:0;width:6108;height:360" id="docshape293" coordorigin="0,0" coordsize="6108,360" path="m19,20l0,20,0,360,19,360,19,20xm6108,0l6089,0,6089,19,6089,20,6089,360,6108,360,6108,20,6108,19,6108,0xe" filled="true" fillcolor="#3f3f3f" stroked="false">
              <v:path arrowok="t"/>
              <v:fill type="solid"/>
            </v:shape>
            <v:shape style="position:absolute;left:19;top:20;width:6070;height:340" type="#_x0000_t202" id="docshape294" filled="false" stroked="false">
              <v:textbox inset="0,0,0,0">
                <w:txbxContent>
                  <w:p>
                    <w:pPr>
                      <w:spacing w:before="24"/>
                      <w:ind w:left="764" w:right="765" w:firstLine="0"/>
                      <w:jc w:val="center"/>
                      <w:rPr>
                        <w:rFonts w:ascii="Verdana"/>
                        <w:sz w:val="24"/>
                      </w:rPr>
                    </w:pPr>
                    <w:r>
                      <w:rPr>
                        <w:rFonts w:ascii="Verdana"/>
                        <w:color w:val="FFFFFF"/>
                        <w:sz w:val="24"/>
                      </w:rPr>
                      <w:t>Two-Day</w:t>
                    </w:r>
                    <w:r>
                      <w:rPr>
                        <w:rFonts w:ascii="Verdana"/>
                        <w:color w:val="FFFFFF"/>
                        <w:spacing w:val="-16"/>
                        <w:sz w:val="24"/>
                      </w:rPr>
                      <w:t> </w:t>
                    </w:r>
                    <w:r>
                      <w:rPr>
                        <w:rFonts w:ascii="Verdana"/>
                        <w:color w:val="FFFFFF"/>
                        <w:sz w:val="24"/>
                      </w:rPr>
                      <w:t>Value</w:t>
                    </w:r>
                    <w:r>
                      <w:rPr>
                        <w:rFonts w:ascii="Verdana"/>
                        <w:color w:val="FFFFFF"/>
                        <w:spacing w:val="-16"/>
                        <w:sz w:val="24"/>
                      </w:rPr>
                      <w:t> </w:t>
                    </w:r>
                    <w:r>
                      <w:rPr>
                        <w:rFonts w:ascii="Verdana"/>
                        <w:color w:val="FFFFFF"/>
                        <w:sz w:val="24"/>
                      </w:rPr>
                      <w:t>Area</w:t>
                    </w:r>
                    <w:r>
                      <w:rPr>
                        <w:rFonts w:ascii="Verdana"/>
                        <w:color w:val="FFFFFF"/>
                        <w:spacing w:val="-16"/>
                        <w:sz w:val="24"/>
                      </w:rPr>
                      <w:t> </w:t>
                    </w:r>
                    <w:r>
                      <w:rPr>
                        <w:rFonts w:ascii="Verdana"/>
                        <w:color w:val="FFFFFF"/>
                        <w:spacing w:val="-2"/>
                        <w:sz w:val="24"/>
                      </w:rPr>
                      <w:t>Relationships</w:t>
                    </w:r>
                  </w:p>
                </w:txbxContent>
              </v:textbox>
              <w10:wrap type="none"/>
            </v:shape>
          </v:group>
        </w:pict>
      </w:r>
      <w:r>
        <w:rPr>
          <w:sz w:val="20"/>
        </w:rPr>
      </w:r>
    </w:p>
    <w:p>
      <w:pPr>
        <w:pStyle w:val="BodyText"/>
        <w:tabs>
          <w:tab w:pos="3934" w:val="left" w:leader="none"/>
        </w:tabs>
        <w:spacing w:line="321" w:lineRule="auto" w:before="3"/>
        <w:ind w:left="983" w:right="1693"/>
        <w:rPr>
          <w:rFonts w:ascii="Tahoma"/>
        </w:rPr>
      </w:pPr>
      <w:r>
        <w:rPr/>
        <w:pict>
          <v:rect style="position:absolute;margin-left:72.779999pt;margin-top:14.935305pt;width:304.44pt;height:.48004pt;mso-position-horizontal-relative:page;mso-position-vertical-relative:paragraph;z-index:15766016" id="docshape295" filled="true" fillcolor="#000000" stroked="false">
            <v:fill type="solid"/>
            <w10:wrap type="none"/>
          </v:rect>
        </w:pict>
      </w:r>
      <w:r>
        <w:rPr/>
        <w:pict>
          <v:rect style="position:absolute;margin-left:72.779999pt;margin-top:32.935303pt;width:304.44pt;height:.48004pt;mso-position-horizontal-relative:page;mso-position-vertical-relative:paragraph;z-index:15766528" id="docshape296" filled="true" fillcolor="#000000" stroked="false">
            <v:fill type="solid"/>
            <w10:wrap type="none"/>
          </v:rect>
        </w:pict>
      </w:r>
      <w:r>
        <w:rPr/>
        <w:pict>
          <v:rect style="position:absolute;margin-left:72.779999pt;margin-top:50.935364pt;width:304.44pt;height:.47998pt;mso-position-horizontal-relative:page;mso-position-vertical-relative:paragraph;z-index:15767040" id="docshape297" filled="true" fillcolor="#000000" stroked="false">
            <v:fill type="solid"/>
            <w10:wrap type="none"/>
          </v:rect>
        </w:pict>
      </w:r>
      <w:r>
        <w:rPr/>
        <w:pict>
          <v:rect style="position:absolute;margin-left:72.779999pt;margin-top:68.935333pt;width:304.44pt;height:.48001pt;mso-position-horizontal-relative:page;mso-position-vertical-relative:paragraph;z-index:15767552" id="docshape298" filled="true" fillcolor="#000000" stroked="false">
            <v:fill type="solid"/>
            <w10:wrap type="none"/>
          </v:rect>
        </w:pict>
      </w:r>
      <w:r>
        <w:rPr/>
        <w:pict>
          <v:rect style="position:absolute;margin-left:72.779999pt;margin-top:86.935333pt;width:304.44pt;height:.48001pt;mso-position-horizontal-relative:page;mso-position-vertical-relative:paragraph;z-index:15768064" id="docshape299" filled="true" fillcolor="#000000" stroked="false">
            <v:fill type="solid"/>
            <w10:wrap type="none"/>
          </v:rect>
        </w:pict>
      </w:r>
      <w:r>
        <w:rPr>
          <w:rFonts w:ascii="Tahoma"/>
        </w:rPr>
        <w:t>Higher Value</w:t>
        <w:tab/>
      </w:r>
      <w:r>
        <w:rPr>
          <w:rFonts w:ascii="Tahoma"/>
          <w:spacing w:val="-69"/>
        </w:rPr>
        <w:t> </w:t>
      </w:r>
      <w:r>
        <w:rPr>
          <w:rFonts w:ascii="Tahoma"/>
          <w:spacing w:val="-2"/>
        </w:rPr>
        <w:t>Bullish</w:t>
      </w:r>
      <w:r>
        <w:rPr>
          <w:rFonts w:ascii="Tahoma"/>
          <w:spacing w:val="80"/>
        </w:rPr>
        <w:t> </w:t>
      </w:r>
      <w:r>
        <w:rPr>
          <w:rFonts w:ascii="Tahoma"/>
        </w:rPr>
        <w:t>Overlapping Higher Value</w:t>
        <w:tab/>
      </w:r>
      <w:r>
        <w:rPr>
          <w:rFonts w:ascii="Tahoma"/>
          <w:spacing w:val="-68"/>
        </w:rPr>
        <w:t> </w:t>
      </w:r>
      <w:r>
        <w:rPr>
          <w:rFonts w:ascii="Tahoma"/>
        </w:rPr>
        <w:t>Moderately Bullish Lower Value</w:t>
        <w:tab/>
      </w:r>
      <w:r>
        <w:rPr>
          <w:rFonts w:ascii="Tahoma"/>
          <w:spacing w:val="-69"/>
        </w:rPr>
        <w:t> </w:t>
      </w:r>
      <w:r>
        <w:rPr>
          <w:rFonts w:ascii="Tahoma"/>
          <w:spacing w:val="-2"/>
        </w:rPr>
        <w:t>Bearish </w:t>
      </w:r>
      <w:r>
        <w:rPr>
          <w:rFonts w:ascii="Tahoma"/>
        </w:rPr>
        <w:t>Overlapping Lower Value</w:t>
        <w:tab/>
        <w:t>Moderately</w:t>
      </w:r>
      <w:r>
        <w:rPr>
          <w:rFonts w:ascii="Tahoma"/>
          <w:spacing w:val="-18"/>
        </w:rPr>
        <w:t> </w:t>
      </w:r>
      <w:r>
        <w:rPr>
          <w:rFonts w:ascii="Tahoma"/>
        </w:rPr>
        <w:t>Bearish Unchanged</w:t>
      </w:r>
      <w:r>
        <w:rPr>
          <w:rFonts w:ascii="Tahoma"/>
          <w:spacing w:val="-10"/>
        </w:rPr>
        <w:t> </w:t>
      </w:r>
      <w:r>
        <w:rPr>
          <w:rFonts w:ascii="Tahoma"/>
          <w:spacing w:val="-2"/>
        </w:rPr>
        <w:t>Value</w:t>
      </w:r>
      <w:r>
        <w:rPr>
          <w:rFonts w:ascii="Tahoma"/>
        </w:rPr>
        <w:tab/>
      </w:r>
      <w:r>
        <w:rPr>
          <w:rFonts w:ascii="Tahoma"/>
          <w:spacing w:val="-68"/>
        </w:rPr>
        <w:t> </w:t>
      </w:r>
      <w:r>
        <w:rPr>
          <w:rFonts w:ascii="Tahoma"/>
          <w:spacing w:val="-2"/>
        </w:rPr>
        <w:t>Sideways/Breakout</w:t>
      </w:r>
    </w:p>
    <w:p>
      <w:pPr>
        <w:pStyle w:val="BodyText"/>
        <w:tabs>
          <w:tab w:pos="3935" w:val="left" w:leader="none"/>
        </w:tabs>
        <w:spacing w:before="9"/>
        <w:ind w:left="983"/>
        <w:rPr>
          <w:rFonts w:ascii="Tahoma"/>
        </w:rPr>
      </w:pPr>
      <w:r>
        <w:rPr/>
        <w:pict>
          <v:rect style="position:absolute;margin-left:72.779999pt;margin-top:15.835371pt;width:304.44pt;height:.48001pt;mso-position-horizontal-relative:page;mso-position-vertical-relative:paragraph;z-index:-15692288;mso-wrap-distance-left:0;mso-wrap-distance-right:0" id="docshape300" filled="true" fillcolor="#000000" stroked="false">
            <v:fill type="solid"/>
            <w10:wrap type="topAndBottom"/>
          </v:rect>
        </w:pict>
      </w:r>
      <w:r>
        <w:rPr>
          <w:rFonts w:ascii="Tahoma"/>
        </w:rPr>
        <w:t>Outside</w:t>
      </w:r>
      <w:r>
        <w:rPr>
          <w:rFonts w:ascii="Tahoma"/>
          <w:spacing w:val="-13"/>
        </w:rPr>
        <w:t> </w:t>
      </w:r>
      <w:r>
        <w:rPr>
          <w:rFonts w:ascii="Tahoma"/>
          <w:spacing w:val="-2"/>
        </w:rPr>
        <w:t>Value</w:t>
      </w:r>
      <w:r>
        <w:rPr>
          <w:rFonts w:ascii="Tahoma"/>
        </w:rPr>
        <w:tab/>
      </w:r>
      <w:r>
        <w:rPr>
          <w:rFonts w:ascii="Tahoma"/>
          <w:spacing w:val="-2"/>
        </w:rPr>
        <w:t>Sideways</w:t>
      </w:r>
    </w:p>
    <w:p>
      <w:pPr>
        <w:pStyle w:val="BodyText"/>
        <w:tabs>
          <w:tab w:pos="3936" w:val="left" w:leader="none"/>
        </w:tabs>
        <w:spacing w:before="42" w:after="43"/>
        <w:ind w:left="983"/>
        <w:rPr>
          <w:rFonts w:ascii="Tahoma"/>
        </w:rPr>
      </w:pPr>
      <w:r>
        <w:rPr>
          <w:rFonts w:ascii="Tahoma"/>
        </w:rPr>
        <w:t>Inside</w:t>
      </w:r>
      <w:r>
        <w:rPr>
          <w:rFonts w:ascii="Tahoma"/>
          <w:spacing w:val="-5"/>
        </w:rPr>
        <w:t> </w:t>
      </w:r>
      <w:r>
        <w:rPr>
          <w:rFonts w:ascii="Tahoma"/>
          <w:spacing w:val="-2"/>
        </w:rPr>
        <w:t>Value</w:t>
      </w:r>
      <w:r>
        <w:rPr>
          <w:rFonts w:ascii="Tahoma"/>
        </w:rPr>
        <w:tab/>
      </w:r>
      <w:r>
        <w:rPr>
          <w:rFonts w:ascii="Tahoma"/>
          <w:spacing w:val="-2"/>
        </w:rPr>
        <w:t>Breakout</w:t>
      </w:r>
    </w:p>
    <w:p>
      <w:pPr>
        <w:pStyle w:val="BodyText"/>
        <w:spacing w:line="20" w:lineRule="exact"/>
        <w:ind w:left="861"/>
        <w:rPr>
          <w:rFonts w:ascii="Tahoma"/>
          <w:sz w:val="2"/>
        </w:rPr>
      </w:pPr>
      <w:r>
        <w:rPr>
          <w:rFonts w:ascii="Tahoma"/>
          <w:sz w:val="2"/>
        </w:rPr>
        <w:pict>
          <v:group style="width:305.2pt;height:.5pt;mso-position-horizontal-relative:char;mso-position-vertical-relative:line" id="docshapegroup301" coordorigin="0,0" coordsize="6104,10">
            <v:shape style="position:absolute;left:0;top:0;width:6104;height:10" id="docshape302" coordorigin="0,0" coordsize="6104,10" path="m6103,0l2966,0,2952,0,0,0,0,10,2952,10,2966,10,6103,10,6103,0xe" filled="true" fillcolor="#000000" stroked="false">
              <v:path arrowok="t"/>
              <v:fill type="solid"/>
            </v:shape>
          </v:group>
        </w:pict>
      </w:r>
      <w:r>
        <w:rPr>
          <w:rFonts w:ascii="Tahoma"/>
          <w:sz w:val="2"/>
        </w:rPr>
      </w:r>
    </w:p>
    <w:p>
      <w:pPr>
        <w:spacing w:before="0"/>
        <w:ind w:left="888" w:right="0" w:firstLine="0"/>
        <w:jc w:val="left"/>
        <w:rPr>
          <w:sz w:val="16"/>
        </w:rPr>
      </w:pPr>
      <w:r>
        <w:rPr>
          <w:sz w:val="16"/>
        </w:rPr>
        <w:t>TABLE</w:t>
      </w:r>
      <w:r>
        <w:rPr>
          <w:spacing w:val="5"/>
          <w:sz w:val="16"/>
        </w:rPr>
        <w:t> </w:t>
      </w:r>
      <w:r>
        <w:rPr>
          <w:sz w:val="16"/>
        </w:rPr>
        <w:t>4.2:</w:t>
      </w:r>
      <w:r>
        <w:rPr>
          <w:spacing w:val="6"/>
          <w:sz w:val="16"/>
        </w:rPr>
        <w:t> </w:t>
      </w:r>
      <w:r>
        <w:rPr>
          <w:sz w:val="16"/>
        </w:rPr>
        <w:t>Value</w:t>
      </w:r>
      <w:r>
        <w:rPr>
          <w:spacing w:val="6"/>
          <w:sz w:val="16"/>
        </w:rPr>
        <w:t> </w:t>
      </w:r>
      <w:r>
        <w:rPr>
          <w:sz w:val="16"/>
        </w:rPr>
        <w:t>area</w:t>
      </w:r>
      <w:r>
        <w:rPr>
          <w:spacing w:val="7"/>
          <w:sz w:val="16"/>
        </w:rPr>
        <w:t> </w:t>
      </w:r>
      <w:r>
        <w:rPr>
          <w:spacing w:val="-2"/>
          <w:sz w:val="16"/>
        </w:rPr>
        <w:t>relationships</w:t>
      </w:r>
    </w:p>
    <w:p>
      <w:pPr>
        <w:pStyle w:val="BodyText"/>
        <w:spacing w:before="11"/>
        <w:rPr>
          <w:sz w:val="20"/>
        </w:rPr>
      </w:pPr>
    </w:p>
    <w:p>
      <w:pPr>
        <w:pStyle w:val="BodyText"/>
        <w:ind w:left="499" w:right="137" w:firstLine="432"/>
        <w:jc w:val="both"/>
      </w:pPr>
      <w:r>
        <w:rPr/>
        <w:t>The value area relationships and their respective directional biases should not be viewed as written in stone or used in a rigid manner. Instead, these are guidelines that will help you diagnose current market direction and conviction. The act of noting which type of value area relationship the</w:t>
      </w:r>
      <w:r>
        <w:rPr>
          <w:spacing w:val="40"/>
        </w:rPr>
        <w:t> </w:t>
      </w:r>
      <w:r>
        <w:rPr/>
        <w:t>market is currently exhibiting will give you early directional bias, which you should then analyze for effectiveness of directional conviction, or for failing to realize its directional bias. Both following through and failing to follow through on its directional bias can tell you a lot about the market’s current state, which then helps you determine which types of trades are likely to present themselves.</w:t>
      </w:r>
    </w:p>
    <w:p>
      <w:pPr>
        <w:pStyle w:val="BodyText"/>
        <w:ind w:left="499" w:right="136" w:firstLine="432"/>
        <w:jc w:val="both"/>
      </w:pPr>
      <w:r>
        <w:rPr/>
        <w:t>The first value area relationship that I will discuss is the Higher Value relationship, which occurs when the current day’s value area is completely higher than the prior day’s value area. Therefore, today’s value area low is </w:t>
      </w:r>
      <w:r>
        <w:rPr>
          <w:i/>
        </w:rPr>
        <w:t>higher </w:t>
      </w:r>
      <w:r>
        <w:rPr/>
        <w:t>than yesterday’s value area high. This is the most bullish value area relationship, as it indicates the market was effectively able to push price to a higher area of value in a convincing manner. When this occurs, you will typically look to align yourself on the long side of the market. Any pull-back should be viewed as a buying opportunity, especially if a string of higher value days have occurred in a row. This would indicate the market is successfully pushing price to higher value day over day, which is outwardly shown as a bullish trend. However, if the day’s open does not coincide with typical higher value behavior, a failure to achieve the day’s directional bias could be seen, which would then shift your focus to a bearish scenario. For example, if the market has formed several Higher Value relationships in a row, but opens the day with a bearish gap that sends price below the day’s value area and below the prior day’s range, this could be a very bearish scenario, as the market has clearly shifted its sentiment. Therefore, when this relationship occurs, the market should open the session anywhere above the value area low in order to remain bullishly optimistic.</w:t>
      </w:r>
    </w:p>
    <w:p>
      <w:pPr>
        <w:spacing w:after="0"/>
        <w:jc w:val="both"/>
        <w:sectPr>
          <w:headerReference w:type="default" r:id="rId87"/>
          <w:headerReference w:type="even" r:id="rId88"/>
          <w:footerReference w:type="default" r:id="rId89"/>
          <w:footerReference w:type="even" r:id="rId90"/>
          <w:pgSz w:w="8640" w:h="12960"/>
          <w:pgMar w:header="536" w:footer="995" w:top="720" w:bottom="1180" w:left="580" w:right="580"/>
          <w:pgNumType w:start="77"/>
        </w:sectPr>
      </w:pPr>
    </w:p>
    <w:p>
      <w:pPr>
        <w:pStyle w:val="BodyText"/>
        <w:spacing w:before="5"/>
        <w:rPr>
          <w:sz w:val="18"/>
        </w:rPr>
      </w:pPr>
    </w:p>
    <w:p>
      <w:pPr>
        <w:pStyle w:val="BodyText"/>
        <w:spacing w:before="64"/>
        <w:ind w:left="140" w:right="496" w:firstLine="432"/>
        <w:jc w:val="both"/>
      </w:pPr>
      <w:r>
        <w:rPr/>
        <w:t>Let’s take a look at a typical Higher Value relationship in the five- minute timeframe of Amazon.com in Figure 4.4. Notice that the current</w:t>
      </w:r>
      <w:r>
        <w:rPr>
          <w:spacing w:val="80"/>
        </w:rPr>
        <w:t> </w:t>
      </w:r>
      <w:r>
        <w:rPr/>
        <w:t>value area is completely higher than the prior day’s value area, which is typically indicative of continued strength. Just knowing this simple fact can help you prepare for the day’s potential direction. In this particular case,</w:t>
      </w:r>
      <w:r>
        <w:rPr>
          <w:spacing w:val="40"/>
        </w:rPr>
        <w:t> </w:t>
      </w:r>
      <w:r>
        <w:rPr/>
        <w:t>price opened at the value area high and aggressively pushed through this level, which is behavior that is typically associated with continued strength. Anytime price opens within or above the value area on this type of day, a bullish bias should be expected. However, if price had opened the day with a gap below the day’s value area low, a completely different outcome would have occurred. This is the difference between understanding the market’s intended directional bias and the direction that actually occurs. To every scenario, there is acceptance or rejection. You must prepare for both scenarios and trade at your earliest inclination of what is likely to occur.</w:t>
      </w:r>
    </w:p>
    <w:p>
      <w:pPr>
        <w:pStyle w:val="BodyText"/>
        <w:spacing w:before="1"/>
        <w:rPr>
          <w:sz w:val="20"/>
        </w:rPr>
      </w:pPr>
      <w:r>
        <w:rPr/>
        <w:drawing>
          <wp:anchor distT="0" distB="0" distL="0" distR="0" allowOverlap="1" layoutInCell="1" locked="0" behindDoc="0" simplePos="0" relativeHeight="78">
            <wp:simplePos x="0" y="0"/>
            <wp:positionH relativeFrom="page">
              <wp:posOffset>457200</wp:posOffset>
            </wp:positionH>
            <wp:positionV relativeFrom="paragraph">
              <wp:posOffset>162360</wp:posOffset>
            </wp:positionV>
            <wp:extent cx="4342904" cy="3103054"/>
            <wp:effectExtent l="0" t="0" r="0" b="0"/>
            <wp:wrapTopAndBottom/>
            <wp:docPr id="71" name="image37.png"/>
            <wp:cNvGraphicFramePr>
              <a:graphicFrameLocks noChangeAspect="1"/>
            </wp:cNvGraphicFramePr>
            <a:graphic>
              <a:graphicData uri="http://schemas.openxmlformats.org/drawingml/2006/picture">
                <pic:pic>
                  <pic:nvPicPr>
                    <pic:cNvPr id="72" name="image37.png"/>
                    <pic:cNvPicPr/>
                  </pic:nvPicPr>
                  <pic:blipFill>
                    <a:blip r:embed="rId91"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w:t>
      </w:r>
      <w:r>
        <w:rPr>
          <w:spacing w:val="8"/>
          <w:sz w:val="16"/>
        </w:rPr>
        <w:t> </w:t>
      </w:r>
      <w:r>
        <w:rPr>
          <w:sz w:val="16"/>
        </w:rPr>
        <w:t>4.4:</w:t>
      </w:r>
      <w:r>
        <w:rPr>
          <w:spacing w:val="10"/>
          <w:sz w:val="16"/>
        </w:rPr>
        <w:t> </w:t>
      </w:r>
      <w:r>
        <w:rPr>
          <w:sz w:val="16"/>
        </w:rPr>
        <w:t>Higher</w:t>
      </w:r>
      <w:r>
        <w:rPr>
          <w:spacing w:val="9"/>
          <w:sz w:val="16"/>
        </w:rPr>
        <w:t> </w:t>
      </w:r>
      <w:r>
        <w:rPr>
          <w:sz w:val="16"/>
        </w:rPr>
        <w:t>Value</w:t>
      </w:r>
      <w:r>
        <w:rPr>
          <w:spacing w:val="9"/>
          <w:sz w:val="16"/>
        </w:rPr>
        <w:t> </w:t>
      </w:r>
      <w:r>
        <w:rPr>
          <w:spacing w:val="-2"/>
          <w:sz w:val="16"/>
        </w:rPr>
        <w:t>relationship</w:t>
      </w:r>
    </w:p>
    <w:p>
      <w:pPr>
        <w:pStyle w:val="BodyText"/>
        <w:spacing w:before="9"/>
        <w:rPr>
          <w:sz w:val="21"/>
        </w:rPr>
      </w:pPr>
    </w:p>
    <w:p>
      <w:pPr>
        <w:pStyle w:val="BodyText"/>
        <w:ind w:left="139" w:right="495" w:firstLine="432"/>
        <w:jc w:val="both"/>
      </w:pPr>
      <w:r>
        <w:rPr/>
        <w:t>At times, it becomes quite clear that despite the formation of certain value area relationships, price can take a different path. Figure 4.5 shows a fifteen-minute chart of Research in Motion, Ltd. that illustrates this case perfectly.</w:t>
      </w:r>
      <w:r>
        <w:rPr>
          <w:spacing w:val="-4"/>
        </w:rPr>
        <w:t> </w:t>
      </w:r>
      <w:r>
        <w:rPr/>
        <w:t>The</w:t>
      </w:r>
      <w:r>
        <w:rPr>
          <w:spacing w:val="-3"/>
        </w:rPr>
        <w:t> </w:t>
      </w:r>
      <w:r>
        <w:rPr/>
        <w:t>market</w:t>
      </w:r>
      <w:r>
        <w:rPr>
          <w:spacing w:val="-4"/>
        </w:rPr>
        <w:t> </w:t>
      </w:r>
      <w:r>
        <w:rPr/>
        <w:t>developed</w:t>
      </w:r>
      <w:r>
        <w:rPr>
          <w:spacing w:val="-4"/>
        </w:rPr>
        <w:t> </w:t>
      </w:r>
      <w:r>
        <w:rPr/>
        <w:t>a</w:t>
      </w:r>
      <w:r>
        <w:rPr>
          <w:spacing w:val="-4"/>
        </w:rPr>
        <w:t> </w:t>
      </w:r>
      <w:r>
        <w:rPr/>
        <w:t>bullish</w:t>
      </w:r>
      <w:r>
        <w:rPr>
          <w:spacing w:val="-4"/>
        </w:rPr>
        <w:t> </w:t>
      </w:r>
      <w:r>
        <w:rPr/>
        <w:t>two-day</w:t>
      </w:r>
      <w:r>
        <w:rPr>
          <w:spacing w:val="-4"/>
        </w:rPr>
        <w:t> </w:t>
      </w:r>
      <w:r>
        <w:rPr/>
        <w:t>Higher</w:t>
      </w:r>
      <w:r>
        <w:rPr>
          <w:spacing w:val="-4"/>
        </w:rPr>
        <w:t> </w:t>
      </w:r>
      <w:r>
        <w:rPr/>
        <w:t>Value</w:t>
      </w:r>
      <w:r>
        <w:rPr>
          <w:spacing w:val="-4"/>
        </w:rPr>
        <w:t> </w:t>
      </w:r>
      <w:r>
        <w:rPr/>
        <w:t>relationship, but</w:t>
      </w:r>
      <w:r>
        <w:rPr>
          <w:spacing w:val="25"/>
        </w:rPr>
        <w:t> </w:t>
      </w:r>
      <w:r>
        <w:rPr/>
        <w:t>price</w:t>
      </w:r>
      <w:r>
        <w:rPr>
          <w:spacing w:val="25"/>
        </w:rPr>
        <w:t> </w:t>
      </w:r>
      <w:r>
        <w:rPr/>
        <w:t>ultimately</w:t>
      </w:r>
      <w:r>
        <w:rPr>
          <w:spacing w:val="25"/>
        </w:rPr>
        <w:t> </w:t>
      </w:r>
      <w:r>
        <w:rPr/>
        <w:t>experienced</w:t>
      </w:r>
      <w:r>
        <w:rPr>
          <w:spacing w:val="26"/>
        </w:rPr>
        <w:t> </w:t>
      </w:r>
      <w:r>
        <w:rPr/>
        <w:t>selling</w:t>
      </w:r>
      <w:r>
        <w:rPr>
          <w:spacing w:val="25"/>
        </w:rPr>
        <w:t> </w:t>
      </w:r>
      <w:r>
        <w:rPr/>
        <w:t>pressure</w:t>
      </w:r>
      <w:r>
        <w:rPr>
          <w:spacing w:val="25"/>
        </w:rPr>
        <w:t> </w:t>
      </w:r>
      <w:r>
        <w:rPr/>
        <w:t>throughout</w:t>
      </w:r>
      <w:r>
        <w:rPr>
          <w:spacing w:val="26"/>
        </w:rPr>
        <w:t> </w:t>
      </w:r>
      <w:r>
        <w:rPr/>
        <w:t>the</w:t>
      </w:r>
      <w:r>
        <w:rPr>
          <w:spacing w:val="25"/>
        </w:rPr>
        <w:t> </w:t>
      </w:r>
      <w:r>
        <w:rPr/>
        <w:t>day.</w:t>
      </w:r>
      <w:r>
        <w:rPr>
          <w:spacing w:val="25"/>
        </w:rPr>
        <w:t> </w:t>
      </w:r>
      <w:r>
        <w:rPr>
          <w:spacing w:val="-2"/>
        </w:rPr>
        <w:t>Let’s</w:t>
      </w:r>
    </w:p>
    <w:p>
      <w:pPr>
        <w:pStyle w:val="BodyText"/>
        <w:tabs>
          <w:tab w:pos="7009" w:val="left" w:leader="none"/>
        </w:tabs>
        <w:ind w:left="110"/>
        <w:jc w:val="both"/>
      </w:pPr>
      <w:r>
        <w:rPr>
          <w:spacing w:val="-26"/>
          <w:u w:val="single"/>
        </w:rPr>
        <w:t> </w:t>
      </w:r>
      <w:r>
        <w:rPr>
          <w:u w:val="single"/>
        </w:rPr>
        <w:t>understand</w:t>
      </w:r>
      <w:r>
        <w:rPr>
          <w:spacing w:val="-7"/>
          <w:u w:val="single"/>
        </w:rPr>
        <w:t> </w:t>
      </w:r>
      <w:r>
        <w:rPr>
          <w:u w:val="single"/>
        </w:rPr>
        <w:t>why</w:t>
      </w:r>
      <w:r>
        <w:rPr>
          <w:spacing w:val="-5"/>
          <w:u w:val="single"/>
        </w:rPr>
        <w:t> </w:t>
      </w:r>
      <w:r>
        <w:rPr>
          <w:u w:val="single"/>
        </w:rPr>
        <w:t>this</w:t>
      </w:r>
      <w:r>
        <w:rPr>
          <w:spacing w:val="-4"/>
          <w:u w:val="single"/>
        </w:rPr>
        <w:t> </w:t>
      </w:r>
      <w:r>
        <w:rPr>
          <w:spacing w:val="-2"/>
          <w:u w:val="single"/>
        </w:rPr>
        <w:t>happened.</w:t>
      </w:r>
      <w:r>
        <w:rPr>
          <w:u w:val="single"/>
        </w:rPr>
        <w:tab/>
      </w:r>
    </w:p>
    <w:p>
      <w:pPr>
        <w:spacing w:after="0"/>
        <w:jc w:val="both"/>
        <w:sectPr>
          <w:pgSz w:w="8640" w:h="12960"/>
          <w:pgMar w:header="579" w:footer="985" w:top="760" w:bottom="1180" w:left="580" w:right="580"/>
        </w:sectPr>
      </w:pPr>
    </w:p>
    <w:p>
      <w:pPr>
        <w:pStyle w:val="BodyText"/>
        <w:spacing w:before="3"/>
      </w:pPr>
    </w:p>
    <w:p>
      <w:pPr>
        <w:pStyle w:val="BodyText"/>
        <w:spacing w:before="64"/>
        <w:ind w:left="500" w:right="137" w:firstLine="432"/>
        <w:jc w:val="both"/>
      </w:pPr>
      <w:r>
        <w:rPr/>
        <w:t>It’s</w:t>
      </w:r>
      <w:r>
        <w:rPr>
          <w:spacing w:val="-1"/>
        </w:rPr>
        <w:t> </w:t>
      </w:r>
      <w:r>
        <w:rPr/>
        <w:t>clear</w:t>
      </w:r>
      <w:r>
        <w:rPr>
          <w:spacing w:val="-1"/>
        </w:rPr>
        <w:t> </w:t>
      </w:r>
      <w:r>
        <w:rPr/>
        <w:t>that a</w:t>
      </w:r>
      <w:r>
        <w:rPr>
          <w:spacing w:val="-1"/>
        </w:rPr>
        <w:t> </w:t>
      </w:r>
      <w:r>
        <w:rPr/>
        <w:t>Higher</w:t>
      </w:r>
      <w:r>
        <w:rPr>
          <w:spacing w:val="-1"/>
        </w:rPr>
        <w:t> </w:t>
      </w:r>
      <w:r>
        <w:rPr/>
        <w:t>Value</w:t>
      </w:r>
      <w:r>
        <w:rPr>
          <w:spacing w:val="-1"/>
        </w:rPr>
        <w:t> </w:t>
      </w:r>
      <w:r>
        <w:rPr/>
        <w:t>relationship</w:t>
      </w:r>
      <w:r>
        <w:rPr>
          <w:spacing w:val="-1"/>
        </w:rPr>
        <w:t> </w:t>
      </w:r>
      <w:r>
        <w:rPr/>
        <w:t>has</w:t>
      </w:r>
      <w:r>
        <w:rPr>
          <w:spacing w:val="-1"/>
        </w:rPr>
        <w:t> </w:t>
      </w:r>
      <w:r>
        <w:rPr/>
        <w:t>formed,</w:t>
      </w:r>
      <w:r>
        <w:rPr>
          <w:spacing w:val="-1"/>
        </w:rPr>
        <w:t> </w:t>
      </w:r>
      <w:r>
        <w:rPr/>
        <w:t>but</w:t>
      </w:r>
      <w:r>
        <w:rPr>
          <w:spacing w:val="-1"/>
        </w:rPr>
        <w:t> </w:t>
      </w:r>
      <w:r>
        <w:rPr/>
        <w:t>two</w:t>
      </w:r>
      <w:r>
        <w:rPr>
          <w:spacing w:val="-1"/>
        </w:rPr>
        <w:t> </w:t>
      </w:r>
      <w:r>
        <w:rPr/>
        <w:t>important elements tip you off that price was likely headed lower. First, the fact that price sold off late in the session on January 21, closing beneath the next</w:t>
      </w:r>
      <w:r>
        <w:rPr>
          <w:spacing w:val="40"/>
        </w:rPr>
        <w:t> </w:t>
      </w:r>
      <w:r>
        <w:rPr/>
        <w:t>day’s value area, indicated that a rejection of the current value area relationship could be seen in the following session. Essentially, the market is giving you an advanced warning that the following day could turn bearish despite the market successfully advancing to higher value. When this occurs, I watch the opening print closely the next day. If the market opens the</w:t>
      </w:r>
      <w:r>
        <w:rPr>
          <w:spacing w:val="40"/>
        </w:rPr>
        <w:t> </w:t>
      </w:r>
      <w:r>
        <w:rPr/>
        <w:t>session below the day’s value area, I will be inclined to sell any rally to the VAL or POC. In this case, RIMM opened the session below the value area and briefly rallied into VAL before forming a bearish extreme reversal pattern, which was all the confirmation needed to enter a short play. As it turns out, RIMM dropped sharply the rest of the session.</w:t>
      </w:r>
    </w:p>
    <w:p>
      <w:pPr>
        <w:pStyle w:val="BodyText"/>
        <w:spacing w:before="2"/>
        <w:rPr>
          <w:sz w:val="20"/>
        </w:rPr>
      </w:pPr>
      <w:r>
        <w:rPr/>
        <w:drawing>
          <wp:anchor distT="0" distB="0" distL="0" distR="0" allowOverlap="1" layoutInCell="1" locked="0" behindDoc="0" simplePos="0" relativeHeight="79">
            <wp:simplePos x="0" y="0"/>
            <wp:positionH relativeFrom="page">
              <wp:posOffset>685800</wp:posOffset>
            </wp:positionH>
            <wp:positionV relativeFrom="paragraph">
              <wp:posOffset>162932</wp:posOffset>
            </wp:positionV>
            <wp:extent cx="4342904" cy="3103054"/>
            <wp:effectExtent l="0" t="0" r="0" b="0"/>
            <wp:wrapTopAndBottom/>
            <wp:docPr id="73" name="image38.png"/>
            <wp:cNvGraphicFramePr>
              <a:graphicFrameLocks noChangeAspect="1"/>
            </wp:cNvGraphicFramePr>
            <a:graphic>
              <a:graphicData uri="http://schemas.openxmlformats.org/drawingml/2006/picture">
                <pic:pic>
                  <pic:nvPicPr>
                    <pic:cNvPr id="74" name="image38.png"/>
                    <pic:cNvPicPr/>
                  </pic:nvPicPr>
                  <pic:blipFill>
                    <a:blip r:embed="rId92" cstate="print"/>
                    <a:stretch>
                      <a:fillRect/>
                    </a:stretch>
                  </pic:blipFill>
                  <pic:spPr>
                    <a:xfrm>
                      <a:off x="0" y="0"/>
                      <a:ext cx="4342904" cy="3103054"/>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4.5:</w:t>
      </w:r>
      <w:r>
        <w:rPr>
          <w:spacing w:val="1"/>
          <w:sz w:val="16"/>
        </w:rPr>
        <w:t> </w:t>
      </w:r>
      <w:r>
        <w:rPr>
          <w:sz w:val="16"/>
        </w:rPr>
        <w:t>A failed</w:t>
      </w:r>
      <w:r>
        <w:rPr>
          <w:spacing w:val="-1"/>
          <w:sz w:val="16"/>
        </w:rPr>
        <w:t> </w:t>
      </w:r>
      <w:r>
        <w:rPr>
          <w:sz w:val="16"/>
        </w:rPr>
        <w:t>Higher Value relationship</w:t>
      </w:r>
      <w:r>
        <w:rPr>
          <w:spacing w:val="-1"/>
          <w:sz w:val="16"/>
        </w:rPr>
        <w:t> </w:t>
      </w:r>
      <w:r>
        <w:rPr>
          <w:sz w:val="16"/>
        </w:rPr>
        <w:t>leads to heavy selling</w:t>
      </w:r>
      <w:r>
        <w:rPr>
          <w:spacing w:val="-1"/>
          <w:sz w:val="16"/>
        </w:rPr>
        <w:t> </w:t>
      </w:r>
      <w:r>
        <w:rPr>
          <w:spacing w:val="-2"/>
          <w:sz w:val="16"/>
        </w:rPr>
        <w:t>pressure.</w:t>
      </w:r>
    </w:p>
    <w:p>
      <w:pPr>
        <w:pStyle w:val="BodyText"/>
        <w:spacing w:before="8"/>
        <w:rPr>
          <w:sz w:val="21"/>
        </w:rPr>
      </w:pPr>
    </w:p>
    <w:p>
      <w:pPr>
        <w:pStyle w:val="BodyText"/>
        <w:ind w:left="499" w:right="136" w:firstLine="432"/>
        <w:jc w:val="both"/>
      </w:pPr>
      <w:r>
        <w:rPr/>
        <w:t>This is a great example that illustrates a failed value area relationship and reinforces the concept that, while powerful, these relationships offer guidelines that should be proved or disproved by the market’s actions. It is your job to formulate a plan for trading each day using the information you have. Once you have formulated a plan, you then allow the market to prove</w:t>
      </w:r>
      <w:r>
        <w:rPr>
          <w:spacing w:val="40"/>
        </w:rPr>
        <w:t> </w:t>
      </w:r>
      <w:r>
        <w:rPr/>
        <w:t>or</w:t>
      </w:r>
      <w:r>
        <w:rPr>
          <w:spacing w:val="4"/>
        </w:rPr>
        <w:t> </w:t>
      </w:r>
      <w:r>
        <w:rPr/>
        <w:t>disprove</w:t>
      </w:r>
      <w:r>
        <w:rPr>
          <w:spacing w:val="5"/>
        </w:rPr>
        <w:t> </w:t>
      </w:r>
      <w:r>
        <w:rPr/>
        <w:t>the</w:t>
      </w:r>
      <w:r>
        <w:rPr>
          <w:spacing w:val="5"/>
        </w:rPr>
        <w:t> </w:t>
      </w:r>
      <w:r>
        <w:rPr/>
        <w:t>plan,</w:t>
      </w:r>
      <w:r>
        <w:rPr>
          <w:spacing w:val="5"/>
        </w:rPr>
        <w:t> </w:t>
      </w:r>
      <w:r>
        <w:rPr/>
        <w:t>which</w:t>
      </w:r>
      <w:r>
        <w:rPr>
          <w:spacing w:val="5"/>
        </w:rPr>
        <w:t> </w:t>
      </w:r>
      <w:r>
        <w:rPr/>
        <w:t>allows</w:t>
      </w:r>
      <w:r>
        <w:rPr>
          <w:spacing w:val="5"/>
        </w:rPr>
        <w:t> </w:t>
      </w:r>
      <w:r>
        <w:rPr/>
        <w:t>you</w:t>
      </w:r>
      <w:r>
        <w:rPr>
          <w:spacing w:val="3"/>
        </w:rPr>
        <w:t> </w:t>
      </w:r>
      <w:r>
        <w:rPr/>
        <w:t>to</w:t>
      </w:r>
      <w:r>
        <w:rPr>
          <w:spacing w:val="5"/>
        </w:rPr>
        <w:t> </w:t>
      </w:r>
      <w:r>
        <w:rPr/>
        <w:t>take</w:t>
      </w:r>
      <w:r>
        <w:rPr>
          <w:spacing w:val="5"/>
        </w:rPr>
        <w:t> </w:t>
      </w:r>
      <w:r>
        <w:rPr/>
        <w:t>the</w:t>
      </w:r>
      <w:r>
        <w:rPr>
          <w:spacing w:val="5"/>
        </w:rPr>
        <w:t> </w:t>
      </w:r>
      <w:r>
        <w:rPr/>
        <w:t>proper</w:t>
      </w:r>
      <w:r>
        <w:rPr>
          <w:spacing w:val="5"/>
        </w:rPr>
        <w:t> </w:t>
      </w:r>
      <w:r>
        <w:rPr/>
        <w:t>course</w:t>
      </w:r>
      <w:r>
        <w:rPr>
          <w:spacing w:val="5"/>
        </w:rPr>
        <w:t> </w:t>
      </w:r>
      <w:r>
        <w:rPr/>
        <w:t>of</w:t>
      </w:r>
      <w:r>
        <w:rPr>
          <w:spacing w:val="5"/>
        </w:rPr>
        <w:t> </w:t>
      </w:r>
      <w:r>
        <w:rPr/>
        <w:t>action.</w:t>
      </w:r>
      <w:r>
        <w:rPr>
          <w:spacing w:val="4"/>
        </w:rPr>
        <w:t> </w:t>
      </w:r>
      <w:r>
        <w:rPr>
          <w:spacing w:val="-5"/>
        </w:rPr>
        <w:t>It</w:t>
      </w:r>
    </w:p>
    <w:p>
      <w:pPr>
        <w:spacing w:after="0"/>
        <w:jc w:val="both"/>
        <w:sectPr>
          <w:pgSz w:w="8640" w:h="12960"/>
          <w:pgMar w:header="536" w:footer="995" w:top="720" w:bottom="1260" w:left="580" w:right="580"/>
        </w:sectPr>
      </w:pPr>
    </w:p>
    <w:p>
      <w:pPr>
        <w:pStyle w:val="BodyText"/>
        <w:spacing w:before="5"/>
        <w:rPr>
          <w:sz w:val="18"/>
        </w:rPr>
      </w:pPr>
    </w:p>
    <w:p>
      <w:pPr>
        <w:pStyle w:val="BodyText"/>
        <w:spacing w:before="64"/>
        <w:ind w:left="140" w:right="519"/>
      </w:pPr>
      <w:r>
        <w:rPr/>
        <w:t>is this type of preparedness that leads to successful trading. We will continue to explore this concept throughout the text.</w:t>
      </w:r>
    </w:p>
    <w:p>
      <w:pPr>
        <w:pStyle w:val="BodyText"/>
        <w:spacing w:before="2"/>
      </w:pPr>
    </w:p>
    <w:p>
      <w:pPr>
        <w:spacing w:before="0"/>
        <w:ind w:left="2549" w:right="2188" w:firstLine="0"/>
        <w:jc w:val="center"/>
        <w:rPr>
          <w:i/>
          <w:sz w:val="22"/>
        </w:rPr>
      </w:pPr>
      <w:r>
        <w:rPr>
          <w:i/>
          <w:sz w:val="22"/>
        </w:rPr>
        <w:t>Plan</w:t>
      </w:r>
      <w:r>
        <w:rPr>
          <w:i/>
          <w:spacing w:val="-2"/>
          <w:sz w:val="22"/>
        </w:rPr>
        <w:t> </w:t>
      </w:r>
      <w:r>
        <w:rPr>
          <w:i/>
          <w:sz w:val="22"/>
        </w:rPr>
        <w:t>the</w:t>
      </w:r>
      <w:r>
        <w:rPr>
          <w:i/>
          <w:spacing w:val="-1"/>
          <w:sz w:val="22"/>
        </w:rPr>
        <w:t> </w:t>
      </w:r>
      <w:r>
        <w:rPr>
          <w:i/>
          <w:sz w:val="22"/>
        </w:rPr>
        <w:t>trade.</w:t>
      </w:r>
      <w:r>
        <w:rPr>
          <w:i/>
          <w:spacing w:val="-2"/>
          <w:sz w:val="22"/>
        </w:rPr>
        <w:t> </w:t>
      </w:r>
      <w:r>
        <w:rPr>
          <w:i/>
          <w:sz w:val="22"/>
        </w:rPr>
        <w:t>Trade</w:t>
      </w:r>
      <w:r>
        <w:rPr>
          <w:i/>
          <w:spacing w:val="-1"/>
          <w:sz w:val="22"/>
        </w:rPr>
        <w:t> </w:t>
      </w:r>
      <w:r>
        <w:rPr>
          <w:i/>
          <w:sz w:val="22"/>
        </w:rPr>
        <w:t>the</w:t>
      </w:r>
      <w:r>
        <w:rPr>
          <w:i/>
          <w:spacing w:val="-1"/>
          <w:sz w:val="22"/>
        </w:rPr>
        <w:t> </w:t>
      </w:r>
      <w:r>
        <w:rPr>
          <w:i/>
          <w:spacing w:val="-2"/>
          <w:sz w:val="22"/>
        </w:rPr>
        <w:t>plan.</w:t>
      </w:r>
    </w:p>
    <w:p>
      <w:pPr>
        <w:pStyle w:val="BodyText"/>
        <w:spacing w:before="9"/>
        <w:rPr>
          <w:i/>
          <w:sz w:val="21"/>
        </w:rPr>
      </w:pPr>
    </w:p>
    <w:p>
      <w:pPr>
        <w:pStyle w:val="BodyText"/>
        <w:spacing w:before="1"/>
        <w:ind w:left="140" w:right="495" w:firstLine="432"/>
        <w:jc w:val="both"/>
      </w:pPr>
      <w:r>
        <w:rPr/>
        <w:t>The second type of value area relationship is the Overlapping Higher Value relationship, which occurs when the current day’s value area is higher than the prior day’s value area, but today’s value area low is </w:t>
      </w:r>
      <w:r>
        <w:rPr>
          <w:i/>
        </w:rPr>
        <w:t>lower </w:t>
      </w:r>
      <w:r>
        <w:rPr/>
        <w:t>than yesterday’s value area high. This is a moderately bullish scenario, which is a step below the Higher Value relationship. An overlapping higher value day indicates market participants were able to push price to higher valuation, but only marginally. This relationship suggests a bullish bias, but indicates that strength is beginning to waver and leaves the door open for a potential decline. On this type of session, you will typically align yourself on the long side of the market, but will also take into consideration short opportunities given the right circumstances.</w:t>
      </w:r>
    </w:p>
    <w:p>
      <w:pPr>
        <w:pStyle w:val="BodyText"/>
        <w:ind w:left="140" w:right="495" w:firstLine="432"/>
        <w:jc w:val="both"/>
      </w:pPr>
      <w:r>
        <w:rPr/>
        <w:t>The Overlapping Higher Value relationship will usually occur at different locations in a trend, which can then tip you off on potential price movement. This relationship can occur in a trading range market, in the beginning of a newly-developing trend, in the middle of an existing trend, or at the end of a trend. Determining where in a trend this relationship has formed</w:t>
      </w:r>
      <w:r>
        <w:rPr>
          <w:spacing w:val="-2"/>
        </w:rPr>
        <w:t> </w:t>
      </w:r>
      <w:r>
        <w:rPr/>
        <w:t>can</w:t>
      </w:r>
      <w:r>
        <w:rPr>
          <w:spacing w:val="-2"/>
        </w:rPr>
        <w:t> </w:t>
      </w:r>
      <w:r>
        <w:rPr/>
        <w:t>help</w:t>
      </w:r>
      <w:r>
        <w:rPr>
          <w:spacing w:val="-2"/>
        </w:rPr>
        <w:t> </w:t>
      </w:r>
      <w:r>
        <w:rPr/>
        <w:t>you</w:t>
      </w:r>
      <w:r>
        <w:rPr>
          <w:spacing w:val="-2"/>
        </w:rPr>
        <w:t> </w:t>
      </w:r>
      <w:r>
        <w:rPr/>
        <w:t>forecast</w:t>
      </w:r>
      <w:r>
        <w:rPr>
          <w:spacing w:val="-2"/>
        </w:rPr>
        <w:t> </w:t>
      </w:r>
      <w:r>
        <w:rPr/>
        <w:t>price</w:t>
      </w:r>
      <w:r>
        <w:rPr>
          <w:spacing w:val="-2"/>
        </w:rPr>
        <w:t> </w:t>
      </w:r>
      <w:r>
        <w:rPr/>
        <w:t>direction.</w:t>
      </w:r>
      <w:r>
        <w:rPr>
          <w:spacing w:val="-2"/>
        </w:rPr>
        <w:t> </w:t>
      </w:r>
      <w:r>
        <w:rPr/>
        <w:t>For</w:t>
      </w:r>
      <w:r>
        <w:rPr>
          <w:spacing w:val="-2"/>
        </w:rPr>
        <w:t> </w:t>
      </w:r>
      <w:r>
        <w:rPr/>
        <w:t>example,</w:t>
      </w:r>
      <w:r>
        <w:rPr>
          <w:spacing w:val="-2"/>
        </w:rPr>
        <w:t> </w:t>
      </w:r>
      <w:r>
        <w:rPr/>
        <w:t>if</w:t>
      </w:r>
      <w:r>
        <w:rPr>
          <w:spacing w:val="-2"/>
        </w:rPr>
        <w:t> </w:t>
      </w:r>
      <w:r>
        <w:rPr/>
        <w:t>this</w:t>
      </w:r>
      <w:r>
        <w:rPr>
          <w:spacing w:val="-2"/>
        </w:rPr>
        <w:t> </w:t>
      </w:r>
      <w:r>
        <w:rPr/>
        <w:t>relationship has formed at the extreme of a bullish trend, the market is telling you that buyers were able to push price to higher valuation, but not with the</w:t>
      </w:r>
      <w:r>
        <w:rPr>
          <w:spacing w:val="40"/>
        </w:rPr>
        <w:t> </w:t>
      </w:r>
      <w:r>
        <w:rPr/>
        <w:t>conviction</w:t>
      </w:r>
      <w:r>
        <w:rPr>
          <w:spacing w:val="-2"/>
        </w:rPr>
        <w:t> </w:t>
      </w:r>
      <w:r>
        <w:rPr/>
        <w:t>of</w:t>
      </w:r>
      <w:r>
        <w:rPr>
          <w:spacing w:val="-3"/>
        </w:rPr>
        <w:t> </w:t>
      </w:r>
      <w:r>
        <w:rPr/>
        <w:t>a</w:t>
      </w:r>
      <w:r>
        <w:rPr>
          <w:spacing w:val="-2"/>
        </w:rPr>
        <w:t> </w:t>
      </w:r>
      <w:r>
        <w:rPr/>
        <w:t>higher</w:t>
      </w:r>
      <w:r>
        <w:rPr>
          <w:spacing w:val="-2"/>
        </w:rPr>
        <w:t> </w:t>
      </w:r>
      <w:r>
        <w:rPr/>
        <w:t>value</w:t>
      </w:r>
      <w:r>
        <w:rPr>
          <w:spacing w:val="-2"/>
        </w:rPr>
        <w:t> </w:t>
      </w:r>
      <w:r>
        <w:rPr/>
        <w:t>situation.</w:t>
      </w:r>
      <w:r>
        <w:rPr>
          <w:spacing w:val="-2"/>
        </w:rPr>
        <w:t> </w:t>
      </w:r>
      <w:r>
        <w:rPr/>
        <w:t>Therefore,</w:t>
      </w:r>
      <w:r>
        <w:rPr>
          <w:spacing w:val="-2"/>
        </w:rPr>
        <w:t> </w:t>
      </w:r>
      <w:r>
        <w:rPr/>
        <w:t>buyers</w:t>
      </w:r>
      <w:r>
        <w:rPr>
          <w:spacing w:val="-2"/>
        </w:rPr>
        <w:t> </w:t>
      </w:r>
      <w:r>
        <w:rPr/>
        <w:t>do</w:t>
      </w:r>
      <w:r>
        <w:rPr>
          <w:spacing w:val="-2"/>
        </w:rPr>
        <w:t> </w:t>
      </w:r>
      <w:r>
        <w:rPr/>
        <w:t>not</w:t>
      </w:r>
      <w:r>
        <w:rPr>
          <w:spacing w:val="-2"/>
        </w:rPr>
        <w:t> </w:t>
      </w:r>
      <w:r>
        <w:rPr/>
        <w:t>have</w:t>
      </w:r>
      <w:r>
        <w:rPr>
          <w:spacing w:val="-2"/>
        </w:rPr>
        <w:t> </w:t>
      </w:r>
      <w:r>
        <w:rPr/>
        <w:t>as</w:t>
      </w:r>
      <w:r>
        <w:rPr>
          <w:spacing w:val="-1"/>
        </w:rPr>
        <w:t> </w:t>
      </w:r>
      <w:r>
        <w:rPr/>
        <w:t>much control of the market as they once had, which opens the door to a potential takeover by sellers, thus indicating an upcoming change in trend.</w:t>
      </w:r>
    </w:p>
    <w:p>
      <w:pPr>
        <w:pStyle w:val="BodyText"/>
        <w:ind w:left="140" w:right="497" w:firstLine="432"/>
        <w:jc w:val="both"/>
      </w:pPr>
      <w:r>
        <w:rPr/>
        <w:t>Take a look at Figure 4.6, which shows an Overlapping Higher Value relationship in a five-minute chart of Natural Gas futures. This type of value area relationship typically implies strength, but the outcome will vary depending on how the market opens the session. In this case, Natural Gas futures opened the day with a gap above the value area high, which indicates strength. When this occurs, any pull-back to a Money Zone level should be seen as a buying opportunity. Anytime price opens within or above the value area when this relationship is present, a bullish outcome should be expected. However, if price had opened the session below the day’s VAL and below</w:t>
      </w:r>
      <w:r>
        <w:rPr>
          <w:spacing w:val="40"/>
        </w:rPr>
        <w:t> </w:t>
      </w:r>
      <w:r>
        <w:rPr/>
        <w:t>the prior day’s range, a bearish scenario would have been the result.</w:t>
      </w:r>
    </w:p>
    <w:p>
      <w:pPr>
        <w:pStyle w:val="BodyText"/>
        <w:ind w:left="140" w:right="496" w:firstLine="432"/>
        <w:jc w:val="both"/>
      </w:pPr>
      <w:r>
        <w:rPr/>
        <w:t>When an Overlapping Higher Value relationship develops, the opening price becomes an integral part of how price movement will play out. You typically want to see price open above the day’s value area high for a bullish outcome, or below the day’s value area low for a bearish outcome. If the market</w:t>
      </w:r>
      <w:r>
        <w:rPr>
          <w:spacing w:val="2"/>
        </w:rPr>
        <w:t> </w:t>
      </w:r>
      <w:r>
        <w:rPr/>
        <w:t>gaps</w:t>
      </w:r>
      <w:r>
        <w:rPr>
          <w:spacing w:val="4"/>
        </w:rPr>
        <w:t> </w:t>
      </w:r>
      <w:r>
        <w:rPr/>
        <w:t>above</w:t>
      </w:r>
      <w:r>
        <w:rPr>
          <w:spacing w:val="2"/>
        </w:rPr>
        <w:t> </w:t>
      </w:r>
      <w:r>
        <w:rPr/>
        <w:t>VAH</w:t>
      </w:r>
      <w:r>
        <w:rPr>
          <w:spacing w:val="2"/>
        </w:rPr>
        <w:t> </w:t>
      </w:r>
      <w:r>
        <w:rPr/>
        <w:t>to</w:t>
      </w:r>
      <w:r>
        <w:rPr>
          <w:spacing w:val="2"/>
        </w:rPr>
        <w:t> </w:t>
      </w:r>
      <w:r>
        <w:rPr/>
        <w:t>begin</w:t>
      </w:r>
      <w:r>
        <w:rPr>
          <w:spacing w:val="1"/>
        </w:rPr>
        <w:t> </w:t>
      </w:r>
      <w:r>
        <w:rPr/>
        <w:t>the</w:t>
      </w:r>
      <w:r>
        <w:rPr>
          <w:spacing w:val="2"/>
        </w:rPr>
        <w:t> </w:t>
      </w:r>
      <w:r>
        <w:rPr/>
        <w:t>day,</w:t>
      </w:r>
      <w:r>
        <w:rPr>
          <w:spacing w:val="3"/>
        </w:rPr>
        <w:t> </w:t>
      </w:r>
      <w:r>
        <w:rPr/>
        <w:t>I</w:t>
      </w:r>
      <w:r>
        <w:rPr>
          <w:spacing w:val="1"/>
        </w:rPr>
        <w:t> </w:t>
      </w:r>
      <w:r>
        <w:rPr/>
        <w:t>will</w:t>
      </w:r>
      <w:r>
        <w:rPr>
          <w:spacing w:val="2"/>
        </w:rPr>
        <w:t> </w:t>
      </w:r>
      <w:r>
        <w:rPr/>
        <w:t>look</w:t>
      </w:r>
      <w:r>
        <w:rPr>
          <w:spacing w:val="2"/>
        </w:rPr>
        <w:t> </w:t>
      </w:r>
      <w:r>
        <w:rPr/>
        <w:t>to</w:t>
      </w:r>
      <w:r>
        <w:rPr>
          <w:spacing w:val="1"/>
        </w:rPr>
        <w:t> </w:t>
      </w:r>
      <w:r>
        <w:rPr/>
        <w:t>buy</w:t>
      </w:r>
      <w:r>
        <w:rPr>
          <w:spacing w:val="1"/>
        </w:rPr>
        <w:t> </w:t>
      </w:r>
      <w:r>
        <w:rPr/>
        <w:t>any</w:t>
      </w:r>
      <w:r>
        <w:rPr>
          <w:spacing w:val="2"/>
        </w:rPr>
        <w:t> </w:t>
      </w:r>
      <w:r>
        <w:rPr/>
        <w:t>pull-back</w:t>
      </w:r>
      <w:r>
        <w:rPr>
          <w:spacing w:val="2"/>
        </w:rPr>
        <w:t> </w:t>
      </w:r>
      <w:r>
        <w:rPr>
          <w:spacing w:val="-5"/>
        </w:rPr>
        <w:t>to</w:t>
      </w:r>
    </w:p>
    <w:p>
      <w:pPr>
        <w:spacing w:after="0"/>
        <w:jc w:val="both"/>
        <w:sectPr>
          <w:headerReference w:type="even" r:id="rId93"/>
          <w:headerReference w:type="default" r:id="rId94"/>
          <w:footerReference w:type="even" r:id="rId95"/>
          <w:footerReference w:type="default" r:id="rId96"/>
          <w:pgSz w:w="8640" w:h="12960"/>
          <w:pgMar w:header="579" w:footer="996" w:top="760" w:bottom="1180" w:left="580" w:right="580"/>
          <w:pgNumType w:start="80"/>
        </w:sectPr>
      </w:pPr>
    </w:p>
    <w:p>
      <w:pPr>
        <w:pStyle w:val="BodyText"/>
        <w:spacing w:before="3"/>
      </w:pPr>
    </w:p>
    <w:p>
      <w:pPr>
        <w:pStyle w:val="BodyText"/>
        <w:spacing w:before="64"/>
        <w:ind w:left="500" w:right="137"/>
        <w:jc w:val="both"/>
      </w:pPr>
      <w:r>
        <w:rPr/>
        <w:t>the VAH or the day’s POC, with my target set to a new high within the current trend.</w:t>
      </w:r>
    </w:p>
    <w:p>
      <w:pPr>
        <w:pStyle w:val="BodyText"/>
        <w:spacing w:before="2"/>
        <w:rPr>
          <w:sz w:val="20"/>
        </w:rPr>
      </w:pPr>
      <w:r>
        <w:rPr/>
        <w:drawing>
          <wp:anchor distT="0" distB="0" distL="0" distR="0" allowOverlap="1" layoutInCell="1" locked="0" behindDoc="0" simplePos="0" relativeHeight="80">
            <wp:simplePos x="0" y="0"/>
            <wp:positionH relativeFrom="page">
              <wp:posOffset>685800</wp:posOffset>
            </wp:positionH>
            <wp:positionV relativeFrom="paragraph">
              <wp:posOffset>162909</wp:posOffset>
            </wp:positionV>
            <wp:extent cx="4342904" cy="3103054"/>
            <wp:effectExtent l="0" t="0" r="0" b="0"/>
            <wp:wrapTopAndBottom/>
            <wp:docPr id="75" name="image39.png"/>
            <wp:cNvGraphicFramePr>
              <a:graphicFrameLocks noChangeAspect="1"/>
            </wp:cNvGraphicFramePr>
            <a:graphic>
              <a:graphicData uri="http://schemas.openxmlformats.org/drawingml/2006/picture">
                <pic:pic>
                  <pic:nvPicPr>
                    <pic:cNvPr id="76" name="image39.png"/>
                    <pic:cNvPicPr/>
                  </pic:nvPicPr>
                  <pic:blipFill>
                    <a:blip r:embed="rId97"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w:t>
      </w:r>
      <w:r>
        <w:rPr>
          <w:spacing w:val="6"/>
          <w:sz w:val="16"/>
        </w:rPr>
        <w:t> </w:t>
      </w:r>
      <w:r>
        <w:rPr>
          <w:sz w:val="16"/>
        </w:rPr>
        <w:t>4.6:</w:t>
      </w:r>
      <w:r>
        <w:rPr>
          <w:spacing w:val="9"/>
          <w:sz w:val="16"/>
        </w:rPr>
        <w:t> </w:t>
      </w:r>
      <w:r>
        <w:rPr>
          <w:sz w:val="16"/>
        </w:rPr>
        <w:t>Overlapping</w:t>
      </w:r>
      <w:r>
        <w:rPr>
          <w:spacing w:val="6"/>
          <w:sz w:val="16"/>
        </w:rPr>
        <w:t> </w:t>
      </w:r>
      <w:r>
        <w:rPr>
          <w:sz w:val="16"/>
        </w:rPr>
        <w:t>Higher</w:t>
      </w:r>
      <w:r>
        <w:rPr>
          <w:spacing w:val="7"/>
          <w:sz w:val="16"/>
        </w:rPr>
        <w:t> </w:t>
      </w:r>
      <w:r>
        <w:rPr>
          <w:sz w:val="16"/>
        </w:rPr>
        <w:t>Value</w:t>
      </w:r>
      <w:r>
        <w:rPr>
          <w:spacing w:val="7"/>
          <w:sz w:val="16"/>
        </w:rPr>
        <w:t> </w:t>
      </w:r>
      <w:r>
        <w:rPr>
          <w:spacing w:val="-2"/>
          <w:sz w:val="16"/>
        </w:rPr>
        <w:t>relationship.</w:t>
      </w:r>
    </w:p>
    <w:p>
      <w:pPr>
        <w:pStyle w:val="BodyText"/>
        <w:spacing w:before="8"/>
        <w:rPr>
          <w:sz w:val="21"/>
        </w:rPr>
      </w:pPr>
    </w:p>
    <w:p>
      <w:pPr>
        <w:pStyle w:val="BodyText"/>
        <w:ind w:left="499" w:right="135" w:firstLine="432"/>
        <w:jc w:val="both"/>
      </w:pPr>
      <w:r>
        <w:rPr/>
        <w:t>The third value area relationship is the Lower Value relationship, which offers the most bearish directional bias that you will come across. This relationship is characterized by</w:t>
      </w:r>
      <w:r>
        <w:rPr>
          <w:spacing w:val="-1"/>
        </w:rPr>
        <w:t> </w:t>
      </w:r>
      <w:r>
        <w:rPr/>
        <w:t>the current day’s value area being completely lower than the prior day’s value area. Therefore, today’s value area high is lower than yesterday’s value area low. Sellers were able to push price to lower valuation successfully, and take control of the market. When this occurs, you will look to position yourself on the short side of the market, especially if a string of lower value days has occurred in a row. This would indicate that the market is currently in a downtrend, which means every pull- back should be viewed as a selling opportunity. Depending on how price opens the session, you will look to sell a pull-back at a Money Zone level.</w:t>
      </w:r>
    </w:p>
    <w:p>
      <w:pPr>
        <w:pStyle w:val="BodyText"/>
        <w:ind w:left="499" w:right="136" w:firstLine="432"/>
        <w:jc w:val="both"/>
      </w:pPr>
      <w:r>
        <w:rPr/>
        <w:t>Figure 4.7 shows a two-day Lower Value relationship in a five-minute chart of E-Mini S&amp;P 400 futures contract. Notice that the current</w:t>
      </w:r>
      <w:r>
        <w:rPr>
          <w:spacing w:val="-1"/>
        </w:rPr>
        <w:t> </w:t>
      </w:r>
      <w:r>
        <w:rPr/>
        <w:t>day’s</w:t>
      </w:r>
      <w:r>
        <w:rPr>
          <w:spacing w:val="-1"/>
        </w:rPr>
        <w:t> </w:t>
      </w:r>
      <w:r>
        <w:rPr/>
        <w:t>value area is completely lower than the prior day’s value area, which immediately paints</w:t>
      </w:r>
      <w:r>
        <w:rPr>
          <w:spacing w:val="-1"/>
        </w:rPr>
        <w:t> </w:t>
      </w:r>
      <w:r>
        <w:rPr/>
        <w:t>a</w:t>
      </w:r>
      <w:r>
        <w:rPr>
          <w:spacing w:val="-1"/>
        </w:rPr>
        <w:t> </w:t>
      </w:r>
      <w:r>
        <w:rPr/>
        <w:t>bearish</w:t>
      </w:r>
      <w:r>
        <w:rPr>
          <w:spacing w:val="-1"/>
        </w:rPr>
        <w:t> </w:t>
      </w:r>
      <w:r>
        <w:rPr/>
        <w:t>picture</w:t>
      </w:r>
      <w:r>
        <w:rPr>
          <w:spacing w:val="-1"/>
        </w:rPr>
        <w:t> </w:t>
      </w:r>
      <w:r>
        <w:rPr/>
        <w:t>of</w:t>
      </w:r>
      <w:r>
        <w:rPr>
          <w:spacing w:val="-1"/>
        </w:rPr>
        <w:t> </w:t>
      </w:r>
      <w:r>
        <w:rPr/>
        <w:t>the</w:t>
      </w:r>
      <w:r>
        <w:rPr>
          <w:spacing w:val="-1"/>
        </w:rPr>
        <w:t> </w:t>
      </w:r>
      <w:r>
        <w:rPr/>
        <w:t>day’s</w:t>
      </w:r>
      <w:r>
        <w:rPr>
          <w:spacing w:val="-2"/>
        </w:rPr>
        <w:t> </w:t>
      </w:r>
      <w:r>
        <w:rPr/>
        <w:t>directional</w:t>
      </w:r>
      <w:r>
        <w:rPr>
          <w:spacing w:val="-1"/>
        </w:rPr>
        <w:t> </w:t>
      </w:r>
      <w:r>
        <w:rPr/>
        <w:t>bias.</w:t>
      </w:r>
      <w:r>
        <w:rPr>
          <w:spacing w:val="-1"/>
        </w:rPr>
        <w:t> </w:t>
      </w:r>
      <w:r>
        <w:rPr/>
        <w:t>Depending</w:t>
      </w:r>
      <w:r>
        <w:rPr>
          <w:spacing w:val="-1"/>
        </w:rPr>
        <w:t> </w:t>
      </w:r>
      <w:r>
        <w:rPr/>
        <w:t>on</w:t>
      </w:r>
      <w:r>
        <w:rPr>
          <w:spacing w:val="-1"/>
        </w:rPr>
        <w:t> </w:t>
      </w:r>
      <w:r>
        <w:rPr/>
        <w:t>how</w:t>
      </w:r>
      <w:r>
        <w:rPr>
          <w:spacing w:val="-1"/>
        </w:rPr>
        <w:t> </w:t>
      </w:r>
      <w:r>
        <w:rPr/>
        <w:t>price opens the session, you will be looking to take short opportunities in the early part</w:t>
      </w:r>
      <w:r>
        <w:rPr>
          <w:spacing w:val="10"/>
        </w:rPr>
        <w:t> </w:t>
      </w:r>
      <w:r>
        <w:rPr/>
        <w:t>of</w:t>
      </w:r>
      <w:r>
        <w:rPr>
          <w:spacing w:val="11"/>
        </w:rPr>
        <w:t> </w:t>
      </w:r>
      <w:r>
        <w:rPr/>
        <w:t>the</w:t>
      </w:r>
      <w:r>
        <w:rPr>
          <w:spacing w:val="11"/>
        </w:rPr>
        <w:t> </w:t>
      </w:r>
      <w:r>
        <w:rPr/>
        <w:t>session.</w:t>
      </w:r>
      <w:r>
        <w:rPr>
          <w:spacing w:val="10"/>
        </w:rPr>
        <w:t> </w:t>
      </w:r>
      <w:r>
        <w:rPr/>
        <w:t>Since</w:t>
      </w:r>
      <w:r>
        <w:rPr>
          <w:spacing w:val="11"/>
        </w:rPr>
        <w:t> </w:t>
      </w:r>
      <w:r>
        <w:rPr/>
        <w:t>the</w:t>
      </w:r>
      <w:r>
        <w:rPr>
          <w:spacing w:val="11"/>
        </w:rPr>
        <w:t> </w:t>
      </w:r>
      <w:r>
        <w:rPr/>
        <w:t>market</w:t>
      </w:r>
      <w:r>
        <w:rPr>
          <w:spacing w:val="10"/>
        </w:rPr>
        <w:t> </w:t>
      </w:r>
      <w:r>
        <w:rPr/>
        <w:t>opened</w:t>
      </w:r>
      <w:r>
        <w:rPr>
          <w:spacing w:val="11"/>
        </w:rPr>
        <w:t> </w:t>
      </w:r>
      <w:r>
        <w:rPr/>
        <w:t>the</w:t>
      </w:r>
      <w:r>
        <w:rPr>
          <w:spacing w:val="11"/>
        </w:rPr>
        <w:t> </w:t>
      </w:r>
      <w:r>
        <w:rPr/>
        <w:t>day</w:t>
      </w:r>
      <w:r>
        <w:rPr>
          <w:spacing w:val="10"/>
        </w:rPr>
        <w:t> </w:t>
      </w:r>
      <w:r>
        <w:rPr/>
        <w:t>right</w:t>
      </w:r>
      <w:r>
        <w:rPr>
          <w:spacing w:val="10"/>
        </w:rPr>
        <w:t> </w:t>
      </w:r>
      <w:r>
        <w:rPr/>
        <w:t>at</w:t>
      </w:r>
      <w:r>
        <w:rPr>
          <w:spacing w:val="11"/>
        </w:rPr>
        <w:t> </w:t>
      </w:r>
      <w:r>
        <w:rPr/>
        <w:t>the</w:t>
      </w:r>
      <w:r>
        <w:rPr>
          <w:spacing w:val="10"/>
        </w:rPr>
        <w:t> </w:t>
      </w:r>
      <w:r>
        <w:rPr/>
        <w:t>day’s</w:t>
      </w:r>
      <w:r>
        <w:rPr>
          <w:spacing w:val="10"/>
        </w:rPr>
        <w:t> </w:t>
      </w:r>
      <w:r>
        <w:rPr>
          <w:spacing w:val="-2"/>
        </w:rPr>
        <w:t>value</w:t>
      </w:r>
    </w:p>
    <w:p>
      <w:pPr>
        <w:pStyle w:val="BodyText"/>
        <w:ind w:left="470"/>
        <w:jc w:val="both"/>
      </w:pPr>
      <w:r>
        <w:rPr>
          <w:spacing w:val="-28"/>
          <w:u w:val="single"/>
        </w:rPr>
        <w:t> </w:t>
      </w:r>
      <w:r>
        <w:rPr>
          <w:u w:val="single"/>
        </w:rPr>
        <w:t>area</w:t>
      </w:r>
      <w:r>
        <w:rPr>
          <w:spacing w:val="56"/>
          <w:w w:val="150"/>
          <w:u w:val="single"/>
        </w:rPr>
        <w:t> </w:t>
      </w:r>
      <w:r>
        <w:rPr>
          <w:u w:val="single"/>
        </w:rPr>
        <w:t>low,</w:t>
      </w:r>
      <w:r>
        <w:rPr>
          <w:spacing w:val="56"/>
          <w:w w:val="150"/>
          <w:u w:val="single"/>
        </w:rPr>
        <w:t> </w:t>
      </w:r>
      <w:r>
        <w:rPr>
          <w:u w:val="single"/>
        </w:rPr>
        <w:t>any</w:t>
      </w:r>
      <w:r>
        <w:rPr>
          <w:spacing w:val="57"/>
          <w:w w:val="150"/>
          <w:u w:val="single"/>
        </w:rPr>
        <w:t> </w:t>
      </w:r>
      <w:r>
        <w:rPr>
          <w:u w:val="single"/>
        </w:rPr>
        <w:t>pull-back</w:t>
      </w:r>
      <w:r>
        <w:rPr>
          <w:spacing w:val="55"/>
          <w:w w:val="150"/>
          <w:u w:val="single"/>
        </w:rPr>
        <w:t> </w:t>
      </w:r>
      <w:r>
        <w:rPr>
          <w:u w:val="single"/>
        </w:rPr>
        <w:t>to</w:t>
      </w:r>
      <w:r>
        <w:rPr>
          <w:spacing w:val="56"/>
          <w:w w:val="150"/>
          <w:u w:val="single"/>
        </w:rPr>
        <w:t> </w:t>
      </w:r>
      <w:r>
        <w:rPr>
          <w:u w:val="single"/>
        </w:rPr>
        <w:t>a</w:t>
      </w:r>
      <w:r>
        <w:rPr>
          <w:spacing w:val="56"/>
          <w:w w:val="150"/>
          <w:u w:val="single"/>
        </w:rPr>
        <w:t> </w:t>
      </w:r>
      <w:r>
        <w:rPr>
          <w:u w:val="single"/>
        </w:rPr>
        <w:t>Money</w:t>
      </w:r>
      <w:r>
        <w:rPr>
          <w:spacing w:val="56"/>
          <w:w w:val="150"/>
          <w:u w:val="single"/>
        </w:rPr>
        <w:t> </w:t>
      </w:r>
      <w:r>
        <w:rPr>
          <w:u w:val="single"/>
        </w:rPr>
        <w:t>Zone</w:t>
      </w:r>
      <w:r>
        <w:rPr>
          <w:spacing w:val="56"/>
          <w:w w:val="150"/>
          <w:u w:val="single"/>
        </w:rPr>
        <w:t> </w:t>
      </w:r>
      <w:r>
        <w:rPr>
          <w:u w:val="single"/>
        </w:rPr>
        <w:t>level</w:t>
      </w:r>
      <w:r>
        <w:rPr>
          <w:spacing w:val="56"/>
          <w:w w:val="150"/>
          <w:u w:val="single"/>
        </w:rPr>
        <w:t> </w:t>
      </w:r>
      <w:r>
        <w:rPr>
          <w:u w:val="single"/>
        </w:rPr>
        <w:t>should</w:t>
      </w:r>
      <w:r>
        <w:rPr>
          <w:spacing w:val="56"/>
          <w:w w:val="150"/>
          <w:u w:val="single"/>
        </w:rPr>
        <w:t> </w:t>
      </w:r>
      <w:r>
        <w:rPr>
          <w:u w:val="single"/>
        </w:rPr>
        <w:t>be</w:t>
      </w:r>
      <w:r>
        <w:rPr>
          <w:spacing w:val="56"/>
          <w:w w:val="150"/>
          <w:u w:val="single"/>
        </w:rPr>
        <w:t> </w:t>
      </w:r>
      <w:r>
        <w:rPr>
          <w:u w:val="single"/>
        </w:rPr>
        <w:t>a</w:t>
      </w:r>
      <w:r>
        <w:rPr>
          <w:spacing w:val="57"/>
          <w:w w:val="150"/>
          <w:u w:val="single"/>
        </w:rPr>
        <w:t> </w:t>
      </w:r>
      <w:r>
        <w:rPr>
          <w:spacing w:val="-2"/>
          <w:u w:val="single"/>
        </w:rPr>
        <w:t>selling</w:t>
      </w:r>
    </w:p>
    <w:p>
      <w:pPr>
        <w:spacing w:after="0"/>
        <w:jc w:val="both"/>
        <w:sectPr>
          <w:pgSz w:w="8640" w:h="12960"/>
          <w:pgMar w:header="536" w:footer="985" w:top="720" w:bottom="1180" w:left="580" w:right="580"/>
        </w:sectPr>
      </w:pPr>
    </w:p>
    <w:p>
      <w:pPr>
        <w:pStyle w:val="BodyText"/>
        <w:spacing w:before="5"/>
        <w:rPr>
          <w:sz w:val="18"/>
        </w:rPr>
      </w:pPr>
    </w:p>
    <w:p>
      <w:pPr>
        <w:pStyle w:val="BodyText"/>
        <w:spacing w:before="64"/>
        <w:ind w:left="140" w:right="498"/>
        <w:jc w:val="both"/>
      </w:pPr>
      <w:r>
        <w:rPr/>
        <w:t>opportunity. In this example, price initially pushed lower from the day’s VAL, but pulled back briefly to retest this level twice more before experiencing</w:t>
      </w:r>
      <w:r>
        <w:rPr>
          <w:spacing w:val="-2"/>
        </w:rPr>
        <w:t> </w:t>
      </w:r>
      <w:r>
        <w:rPr/>
        <w:t>heavy</w:t>
      </w:r>
      <w:r>
        <w:rPr>
          <w:spacing w:val="-2"/>
        </w:rPr>
        <w:t> </w:t>
      </w:r>
      <w:r>
        <w:rPr/>
        <w:t>selling</w:t>
      </w:r>
      <w:r>
        <w:rPr>
          <w:spacing w:val="-4"/>
        </w:rPr>
        <w:t> </w:t>
      </w:r>
      <w:r>
        <w:rPr/>
        <w:t>pressure.</w:t>
      </w:r>
      <w:r>
        <w:rPr>
          <w:spacing w:val="-2"/>
        </w:rPr>
        <w:t> </w:t>
      </w:r>
      <w:r>
        <w:rPr/>
        <w:t>If</w:t>
      </w:r>
      <w:r>
        <w:rPr>
          <w:spacing w:val="-2"/>
        </w:rPr>
        <w:t> </w:t>
      </w:r>
      <w:r>
        <w:rPr/>
        <w:t>price</w:t>
      </w:r>
      <w:r>
        <w:rPr>
          <w:spacing w:val="-2"/>
        </w:rPr>
        <w:t> </w:t>
      </w:r>
      <w:r>
        <w:rPr/>
        <w:t>had</w:t>
      </w:r>
      <w:r>
        <w:rPr>
          <w:spacing w:val="-2"/>
        </w:rPr>
        <w:t> </w:t>
      </w:r>
      <w:r>
        <w:rPr/>
        <w:t>opened</w:t>
      </w:r>
      <w:r>
        <w:rPr>
          <w:spacing w:val="-2"/>
        </w:rPr>
        <w:t> </w:t>
      </w:r>
      <w:r>
        <w:rPr/>
        <w:t>the</w:t>
      </w:r>
      <w:r>
        <w:rPr>
          <w:spacing w:val="-2"/>
        </w:rPr>
        <w:t> </w:t>
      </w:r>
      <w:r>
        <w:rPr/>
        <w:t>day</w:t>
      </w:r>
      <w:r>
        <w:rPr>
          <w:spacing w:val="-2"/>
        </w:rPr>
        <w:t> </w:t>
      </w:r>
      <w:r>
        <w:rPr/>
        <w:t>above</w:t>
      </w:r>
      <w:r>
        <w:rPr>
          <w:spacing w:val="-2"/>
        </w:rPr>
        <w:t> </w:t>
      </w:r>
      <w:r>
        <w:rPr/>
        <w:t>VAH, however, a different outcome may have been seen.</w:t>
      </w:r>
    </w:p>
    <w:p>
      <w:pPr>
        <w:pStyle w:val="BodyText"/>
        <w:spacing w:before="1"/>
        <w:rPr>
          <w:sz w:val="20"/>
        </w:rPr>
      </w:pPr>
      <w:r>
        <w:rPr/>
        <w:drawing>
          <wp:anchor distT="0" distB="0" distL="0" distR="0" allowOverlap="1" layoutInCell="1" locked="0" behindDoc="0" simplePos="0" relativeHeight="81">
            <wp:simplePos x="0" y="0"/>
            <wp:positionH relativeFrom="page">
              <wp:posOffset>457200</wp:posOffset>
            </wp:positionH>
            <wp:positionV relativeFrom="paragraph">
              <wp:posOffset>162478</wp:posOffset>
            </wp:positionV>
            <wp:extent cx="4342904" cy="3103054"/>
            <wp:effectExtent l="0" t="0" r="0" b="0"/>
            <wp:wrapTopAndBottom/>
            <wp:docPr id="77" name="image40.png"/>
            <wp:cNvGraphicFramePr>
              <a:graphicFrameLocks noChangeAspect="1"/>
            </wp:cNvGraphicFramePr>
            <a:graphic>
              <a:graphicData uri="http://schemas.openxmlformats.org/drawingml/2006/picture">
                <pic:pic>
                  <pic:nvPicPr>
                    <pic:cNvPr id="78" name="image40.png"/>
                    <pic:cNvPicPr/>
                  </pic:nvPicPr>
                  <pic:blipFill>
                    <a:blip r:embed="rId98"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w:t>
      </w:r>
      <w:r>
        <w:rPr>
          <w:spacing w:val="8"/>
          <w:sz w:val="16"/>
        </w:rPr>
        <w:t> </w:t>
      </w:r>
      <w:r>
        <w:rPr>
          <w:sz w:val="16"/>
        </w:rPr>
        <w:t>4.7:</w:t>
      </w:r>
      <w:r>
        <w:rPr>
          <w:spacing w:val="11"/>
          <w:sz w:val="16"/>
        </w:rPr>
        <w:t> </w:t>
      </w:r>
      <w:r>
        <w:rPr>
          <w:sz w:val="16"/>
        </w:rPr>
        <w:t>Lower</w:t>
      </w:r>
      <w:r>
        <w:rPr>
          <w:spacing w:val="9"/>
          <w:sz w:val="16"/>
        </w:rPr>
        <w:t> </w:t>
      </w:r>
      <w:r>
        <w:rPr>
          <w:sz w:val="16"/>
        </w:rPr>
        <w:t>Value</w:t>
      </w:r>
      <w:r>
        <w:rPr>
          <w:spacing w:val="9"/>
          <w:sz w:val="16"/>
        </w:rPr>
        <w:t> </w:t>
      </w:r>
      <w:r>
        <w:rPr>
          <w:spacing w:val="-2"/>
          <w:sz w:val="16"/>
        </w:rPr>
        <w:t>relationship</w:t>
      </w:r>
    </w:p>
    <w:p>
      <w:pPr>
        <w:pStyle w:val="BodyText"/>
        <w:spacing w:before="9"/>
        <w:rPr>
          <w:sz w:val="21"/>
        </w:rPr>
      </w:pPr>
    </w:p>
    <w:p>
      <w:pPr>
        <w:pStyle w:val="BodyText"/>
        <w:ind w:left="139" w:right="497" w:firstLine="719"/>
        <w:jc w:val="both"/>
      </w:pPr>
      <w:r>
        <w:rPr/>
        <w:t>When the market successfully pushes the value area completely lower, this is an outward confirmation that the market is seeking new value and is currently accomplishing its goal. Therefore, when I see this relationship form, my bias will be squarely bearish. If the market opens the session below the VAL, I will look to sell any pull-back to the value area or the point of control, especially if the market is in an established downtrend. Keep in mind that even if this relationship develops, I will allow the market to prove or disprove the directional bias. If the market opens the session with a gap above VAH, look to buy a pull-back to the value area or the point of control with your sights set on a bullish session, as this type of behavior indicates the market is ready to buck the trend.</w:t>
      </w:r>
    </w:p>
    <w:p>
      <w:pPr>
        <w:pStyle w:val="BodyText"/>
        <w:ind w:left="139" w:right="490" w:firstLine="432"/>
        <w:jc w:val="both"/>
      </w:pPr>
      <w:r>
        <w:rPr/>
        <w:t>Table</w:t>
      </w:r>
      <w:r>
        <w:rPr>
          <w:spacing w:val="-11"/>
        </w:rPr>
        <w:t> </w:t>
      </w:r>
      <w:r>
        <w:rPr/>
        <w:t>4.3</w:t>
      </w:r>
      <w:r>
        <w:rPr>
          <w:spacing w:val="-10"/>
        </w:rPr>
        <w:t> </w:t>
      </w:r>
      <w:r>
        <w:rPr/>
        <w:t>shows</w:t>
      </w:r>
      <w:r>
        <w:rPr>
          <w:spacing w:val="-10"/>
        </w:rPr>
        <w:t> </w:t>
      </w:r>
      <w:r>
        <w:rPr/>
        <w:t>a</w:t>
      </w:r>
      <w:r>
        <w:rPr>
          <w:spacing w:val="-10"/>
        </w:rPr>
        <w:t> </w:t>
      </w:r>
      <w:r>
        <w:rPr/>
        <w:t>quick</w:t>
      </w:r>
      <w:r>
        <w:rPr>
          <w:spacing w:val="-11"/>
        </w:rPr>
        <w:t> </w:t>
      </w:r>
      <w:r>
        <w:rPr/>
        <w:t>rundown</w:t>
      </w:r>
      <w:r>
        <w:rPr>
          <w:spacing w:val="-11"/>
        </w:rPr>
        <w:t> </w:t>
      </w:r>
      <w:r>
        <w:rPr/>
        <w:t>of</w:t>
      </w:r>
      <w:r>
        <w:rPr>
          <w:spacing w:val="-10"/>
        </w:rPr>
        <w:t> </w:t>
      </w:r>
      <w:r>
        <w:rPr/>
        <w:t>the</w:t>
      </w:r>
      <w:r>
        <w:rPr>
          <w:spacing w:val="-10"/>
        </w:rPr>
        <w:t> </w:t>
      </w:r>
      <w:r>
        <w:rPr/>
        <w:t>various</w:t>
      </w:r>
      <w:r>
        <w:rPr>
          <w:spacing w:val="-11"/>
        </w:rPr>
        <w:t> </w:t>
      </w:r>
      <w:r>
        <w:rPr/>
        <w:t>actions</w:t>
      </w:r>
      <w:r>
        <w:rPr>
          <w:spacing w:val="-11"/>
        </w:rPr>
        <w:t> </w:t>
      </w:r>
      <w:r>
        <w:rPr/>
        <w:t>to</w:t>
      </w:r>
      <w:r>
        <w:rPr>
          <w:spacing w:val="-10"/>
        </w:rPr>
        <w:t> </w:t>
      </w:r>
      <w:r>
        <w:rPr/>
        <w:t>be</w:t>
      </w:r>
      <w:r>
        <w:rPr>
          <w:spacing w:val="-10"/>
        </w:rPr>
        <w:t> </w:t>
      </w:r>
      <w:r>
        <w:rPr/>
        <w:t>taken</w:t>
      </w:r>
      <w:r>
        <w:rPr>
          <w:spacing w:val="-9"/>
        </w:rPr>
        <w:t> </w:t>
      </w:r>
      <w:r>
        <w:rPr/>
        <w:t>at</w:t>
      </w:r>
      <w:r>
        <w:rPr>
          <w:spacing w:val="-11"/>
        </w:rPr>
        <w:t> </w:t>
      </w:r>
      <w:r>
        <w:rPr/>
        <w:t>key </w:t>
      </w:r>
      <w:r>
        <w:rPr>
          <w:spacing w:val="-6"/>
        </w:rPr>
        <w:t>Money</w:t>
      </w:r>
      <w:r>
        <w:rPr>
          <w:spacing w:val="-8"/>
        </w:rPr>
        <w:t> </w:t>
      </w:r>
      <w:r>
        <w:rPr>
          <w:spacing w:val="-6"/>
        </w:rPr>
        <w:t>Zone</w:t>
      </w:r>
      <w:r>
        <w:rPr>
          <w:spacing w:val="-8"/>
        </w:rPr>
        <w:t> </w:t>
      </w:r>
      <w:r>
        <w:rPr>
          <w:spacing w:val="-6"/>
        </w:rPr>
        <w:t>levels</w:t>
      </w:r>
      <w:r>
        <w:rPr>
          <w:spacing w:val="-8"/>
        </w:rPr>
        <w:t> </w:t>
      </w:r>
      <w:r>
        <w:rPr>
          <w:spacing w:val="-6"/>
        </w:rPr>
        <w:t>during</w:t>
      </w:r>
      <w:r>
        <w:rPr>
          <w:spacing w:val="-7"/>
        </w:rPr>
        <w:t> </w:t>
      </w:r>
      <w:r>
        <w:rPr>
          <w:spacing w:val="-6"/>
        </w:rPr>
        <w:t>trending</w:t>
      </w:r>
      <w:r>
        <w:rPr>
          <w:spacing w:val="-8"/>
        </w:rPr>
        <w:t> </w:t>
      </w:r>
      <w:r>
        <w:rPr>
          <w:spacing w:val="-6"/>
        </w:rPr>
        <w:t>markets.</w:t>
      </w:r>
      <w:r>
        <w:rPr>
          <w:spacing w:val="-8"/>
        </w:rPr>
        <w:t> </w:t>
      </w:r>
      <w:r>
        <w:rPr>
          <w:spacing w:val="-6"/>
        </w:rPr>
        <w:t>The</w:t>
      </w:r>
      <w:r>
        <w:rPr>
          <w:spacing w:val="-8"/>
        </w:rPr>
        <w:t> </w:t>
      </w:r>
      <w:r>
        <w:rPr>
          <w:spacing w:val="-6"/>
        </w:rPr>
        <w:t>open</w:t>
      </w:r>
      <w:r>
        <w:rPr>
          <w:spacing w:val="-7"/>
        </w:rPr>
        <w:t> </w:t>
      </w:r>
      <w:r>
        <w:rPr>
          <w:spacing w:val="-6"/>
        </w:rPr>
        <w:t>in</w:t>
      </w:r>
      <w:r>
        <w:rPr>
          <w:spacing w:val="-8"/>
        </w:rPr>
        <w:t> </w:t>
      </w:r>
      <w:r>
        <w:rPr>
          <w:spacing w:val="-6"/>
        </w:rPr>
        <w:t>relation</w:t>
      </w:r>
      <w:r>
        <w:rPr>
          <w:spacing w:val="-8"/>
        </w:rPr>
        <w:t> </w:t>
      </w:r>
      <w:r>
        <w:rPr>
          <w:spacing w:val="-6"/>
        </w:rPr>
        <w:t>to</w:t>
      </w:r>
      <w:r>
        <w:rPr>
          <w:spacing w:val="-8"/>
        </w:rPr>
        <w:t> </w:t>
      </w:r>
      <w:r>
        <w:rPr>
          <w:spacing w:val="-6"/>
        </w:rPr>
        <w:t>value</w:t>
      </w:r>
      <w:r>
        <w:rPr>
          <w:spacing w:val="-7"/>
        </w:rPr>
        <w:t> </w:t>
      </w:r>
      <w:r>
        <w:rPr>
          <w:spacing w:val="-6"/>
        </w:rPr>
        <w:t>will</w:t>
      </w:r>
      <w:r>
        <w:rPr>
          <w:spacing w:val="-8"/>
        </w:rPr>
        <w:t> </w:t>
      </w:r>
      <w:r>
        <w:rPr>
          <w:spacing w:val="-6"/>
        </w:rPr>
        <w:t>help </w:t>
      </w:r>
      <w:r>
        <w:rPr>
          <w:spacing w:val="-8"/>
        </w:rPr>
        <w:t>you</w:t>
      </w:r>
      <w:r>
        <w:rPr>
          <w:spacing w:val="-2"/>
        </w:rPr>
        <w:t> </w:t>
      </w:r>
      <w:r>
        <w:rPr>
          <w:spacing w:val="-8"/>
        </w:rPr>
        <w:t>determine</w:t>
      </w:r>
      <w:r>
        <w:rPr/>
        <w:t> </w:t>
      </w:r>
      <w:r>
        <w:rPr>
          <w:spacing w:val="-8"/>
        </w:rPr>
        <w:t>if</w:t>
      </w:r>
      <w:r>
        <w:rPr>
          <w:spacing w:val="-1"/>
        </w:rPr>
        <w:t> </w:t>
      </w:r>
      <w:r>
        <w:rPr>
          <w:spacing w:val="-8"/>
        </w:rPr>
        <w:t>the</w:t>
      </w:r>
      <w:r>
        <w:rPr/>
        <w:t> </w:t>
      </w:r>
      <w:r>
        <w:rPr>
          <w:spacing w:val="-8"/>
        </w:rPr>
        <w:t>market</w:t>
      </w:r>
      <w:r>
        <w:rPr/>
        <w:t> </w:t>
      </w:r>
      <w:r>
        <w:rPr>
          <w:spacing w:val="-8"/>
        </w:rPr>
        <w:t>is</w:t>
      </w:r>
      <w:r>
        <w:rPr>
          <w:spacing w:val="-1"/>
        </w:rPr>
        <w:t> </w:t>
      </w:r>
      <w:r>
        <w:rPr>
          <w:spacing w:val="-8"/>
        </w:rPr>
        <w:t>rejecting</w:t>
      </w:r>
      <w:r>
        <w:rPr>
          <w:spacing w:val="-1"/>
        </w:rPr>
        <w:t> </w:t>
      </w:r>
      <w:r>
        <w:rPr>
          <w:spacing w:val="-8"/>
        </w:rPr>
        <w:t>or</w:t>
      </w:r>
      <w:r>
        <w:rPr/>
        <w:t> </w:t>
      </w:r>
      <w:r>
        <w:rPr>
          <w:spacing w:val="-8"/>
        </w:rPr>
        <w:t>accepting</w:t>
      </w:r>
      <w:r>
        <w:rPr>
          <w:spacing w:val="-1"/>
        </w:rPr>
        <w:t> </w:t>
      </w:r>
      <w:r>
        <w:rPr>
          <w:spacing w:val="-8"/>
        </w:rPr>
        <w:t>the</w:t>
      </w:r>
      <w:r>
        <w:rPr>
          <w:spacing w:val="-1"/>
        </w:rPr>
        <w:t> </w:t>
      </w:r>
      <w:r>
        <w:rPr>
          <w:spacing w:val="-8"/>
        </w:rPr>
        <w:t>anticipated</w:t>
      </w:r>
      <w:r>
        <w:rPr>
          <w:spacing w:val="-1"/>
        </w:rPr>
        <w:t> </w:t>
      </w:r>
      <w:r>
        <w:rPr>
          <w:spacing w:val="-8"/>
        </w:rPr>
        <w:t>directional</w:t>
      </w:r>
      <w:r>
        <w:rPr>
          <w:spacing w:val="-1"/>
        </w:rPr>
        <w:t> </w:t>
      </w:r>
      <w:r>
        <w:rPr>
          <w:spacing w:val="-8"/>
        </w:rPr>
        <w:t>bias.</w:t>
      </w:r>
    </w:p>
    <w:p>
      <w:pPr>
        <w:spacing w:after="0"/>
        <w:jc w:val="both"/>
        <w:sectPr>
          <w:pgSz w:w="8640" w:h="12960"/>
          <w:pgMar w:header="579" w:footer="996" w:top="760" w:bottom="1260" w:left="580" w:right="580"/>
        </w:sectPr>
      </w:pPr>
    </w:p>
    <w:p>
      <w:pPr>
        <w:pStyle w:val="BodyText"/>
        <w:rPr>
          <w:sz w:val="20"/>
        </w:rPr>
      </w:pPr>
    </w:p>
    <w:p>
      <w:pPr>
        <w:pStyle w:val="BodyText"/>
        <w:rPr>
          <w:sz w:val="20"/>
        </w:rPr>
      </w:pPr>
    </w:p>
    <w:p>
      <w:pPr>
        <w:pStyle w:val="BodyText"/>
        <w:spacing w:before="1"/>
        <w:rPr>
          <w:sz w:val="10"/>
        </w:rPr>
      </w:pPr>
    </w:p>
    <w:p>
      <w:pPr>
        <w:pStyle w:val="BodyText"/>
        <w:ind w:left="866"/>
        <w:rPr>
          <w:sz w:val="20"/>
        </w:rPr>
      </w:pPr>
      <w:r>
        <w:rPr>
          <w:sz w:val="20"/>
        </w:rPr>
        <w:pict>
          <v:group style="width:305.4pt;height:18pt;mso-position-horizontal-relative:char;mso-position-vertical-relative:line" id="docshapegroup314" coordorigin="0,0" coordsize="6108,360">
            <v:rect style="position:absolute;left:20;top:20;width:6068;height:340" id="docshape315" filled="true" fillcolor="#000000" stroked="false">
              <v:fill type="solid"/>
            </v:rect>
            <v:shape style="position:absolute;left:0;top:0;width:6089;height:21" id="docshape316" coordorigin="0,0" coordsize="6089,21" path="m6089,0l19,0,0,0,0,19,0,20,19,20,19,19,6089,19,6089,0xe" filled="true" fillcolor="#3f3f3f" stroked="false">
              <v:path arrowok="t"/>
              <v:fill type="solid"/>
            </v:shape>
            <v:rect style="position:absolute;left:19;top:19;width:6070;height:2" id="docshape317" filled="true" fillcolor="#000000" stroked="false">
              <v:fill type="solid"/>
            </v:rect>
            <v:shape style="position:absolute;left:0;top:0;width:6108;height:360" id="docshape318" coordorigin="0,0" coordsize="6108,360" path="m19,20l0,20,0,360,19,360,19,20xm6108,0l6089,0,6089,19,6089,20,6089,360,6108,360,6108,20,6108,19,6108,0xe" filled="true" fillcolor="#3f3f3f" stroked="false">
              <v:path arrowok="t"/>
              <v:fill type="solid"/>
            </v:shape>
            <v:shape style="position:absolute;left:19;top:19;width:6070;height:341" type="#_x0000_t202" id="docshape319" filled="false" stroked="false">
              <v:textbox inset="0,0,0,0">
                <w:txbxContent>
                  <w:p>
                    <w:pPr>
                      <w:spacing w:before="25"/>
                      <w:ind w:left="1129" w:right="0" w:firstLine="0"/>
                      <w:jc w:val="left"/>
                      <w:rPr>
                        <w:rFonts w:ascii="Verdana"/>
                        <w:sz w:val="24"/>
                      </w:rPr>
                    </w:pPr>
                    <w:r>
                      <w:rPr>
                        <w:rFonts w:ascii="Verdana"/>
                        <w:color w:val="FFFFFF"/>
                        <w:sz w:val="24"/>
                      </w:rPr>
                      <w:t>Entry</w:t>
                    </w:r>
                    <w:r>
                      <w:rPr>
                        <w:rFonts w:ascii="Verdana"/>
                        <w:color w:val="FFFFFF"/>
                        <w:spacing w:val="-10"/>
                        <w:sz w:val="24"/>
                      </w:rPr>
                      <w:t> </w:t>
                    </w:r>
                    <w:r>
                      <w:rPr>
                        <w:rFonts w:ascii="Verdana"/>
                        <w:color w:val="FFFFFF"/>
                        <w:sz w:val="24"/>
                      </w:rPr>
                      <w:t>Options</w:t>
                    </w:r>
                    <w:r>
                      <w:rPr>
                        <w:rFonts w:ascii="Verdana"/>
                        <w:color w:val="FFFFFF"/>
                        <w:spacing w:val="-10"/>
                        <w:sz w:val="24"/>
                      </w:rPr>
                      <w:t> </w:t>
                    </w:r>
                    <w:r>
                      <w:rPr>
                        <w:rFonts w:ascii="Verdana"/>
                        <w:color w:val="FFFFFF"/>
                        <w:sz w:val="24"/>
                      </w:rPr>
                      <w:t>in</w:t>
                    </w:r>
                    <w:r>
                      <w:rPr>
                        <w:rFonts w:ascii="Verdana"/>
                        <w:color w:val="FFFFFF"/>
                        <w:spacing w:val="-10"/>
                        <w:sz w:val="24"/>
                      </w:rPr>
                      <w:t> </w:t>
                    </w:r>
                    <w:r>
                      <w:rPr>
                        <w:rFonts w:ascii="Verdana"/>
                        <w:color w:val="FFFFFF"/>
                        <w:sz w:val="24"/>
                      </w:rPr>
                      <w:t>a</w:t>
                    </w:r>
                    <w:r>
                      <w:rPr>
                        <w:rFonts w:ascii="Verdana"/>
                        <w:color w:val="FFFFFF"/>
                        <w:spacing w:val="-10"/>
                        <w:sz w:val="24"/>
                      </w:rPr>
                      <w:t> </w:t>
                    </w:r>
                    <w:r>
                      <w:rPr>
                        <w:rFonts w:ascii="Verdana"/>
                        <w:color w:val="FFFFFF"/>
                        <w:sz w:val="24"/>
                      </w:rPr>
                      <w:t>Bullish</w:t>
                    </w:r>
                    <w:r>
                      <w:rPr>
                        <w:rFonts w:ascii="Verdana"/>
                        <w:color w:val="FFFFFF"/>
                        <w:spacing w:val="-10"/>
                        <w:sz w:val="24"/>
                      </w:rPr>
                      <w:t> </w:t>
                    </w:r>
                    <w:r>
                      <w:rPr>
                        <w:rFonts w:ascii="Verdana"/>
                        <w:color w:val="FFFFFF"/>
                        <w:spacing w:val="-2"/>
                        <w:sz w:val="24"/>
                      </w:rPr>
                      <w:t>Trend</w:t>
                    </w:r>
                  </w:p>
                </w:txbxContent>
              </v:textbox>
              <w10:wrap type="none"/>
            </v:shape>
          </v:group>
        </w:pict>
      </w:r>
      <w:r>
        <w:rPr>
          <w:sz w:val="20"/>
        </w:rPr>
      </w:r>
    </w:p>
    <w:p>
      <w:pPr>
        <w:pStyle w:val="BodyText"/>
        <w:tabs>
          <w:tab w:pos="3935" w:val="left" w:leader="none"/>
        </w:tabs>
        <w:spacing w:before="3"/>
        <w:ind w:left="983"/>
        <w:rPr>
          <w:rFonts w:ascii="Tahoma"/>
        </w:rPr>
      </w:pPr>
      <w:r>
        <w:rPr/>
        <w:pict>
          <v:rect style="position:absolute;margin-left:72.779999pt;margin-top:14.935391pt;width:304.44pt;height:.47998pt;mso-position-horizontal-relative:page;mso-position-vertical-relative:paragraph;z-index:-15686144;mso-wrap-distance-left:0;mso-wrap-distance-right:0" id="docshape320" filled="true" fillcolor="#000000" stroked="false">
            <v:fill type="solid"/>
            <w10:wrap type="topAndBottom"/>
          </v:rect>
        </w:pict>
      </w:r>
      <w:r>
        <w:rPr>
          <w:rFonts w:ascii="Tahoma"/>
        </w:rPr>
        <w:t>Open</w:t>
      </w:r>
      <w:r>
        <w:rPr>
          <w:rFonts w:ascii="Tahoma"/>
          <w:spacing w:val="-7"/>
        </w:rPr>
        <w:t> </w:t>
      </w:r>
      <w:r>
        <w:rPr>
          <w:rFonts w:ascii="Tahoma"/>
        </w:rPr>
        <w:t>Above</w:t>
      </w:r>
      <w:r>
        <w:rPr>
          <w:rFonts w:ascii="Tahoma"/>
          <w:spacing w:val="-6"/>
        </w:rPr>
        <w:t> </w:t>
      </w:r>
      <w:r>
        <w:rPr>
          <w:rFonts w:ascii="Tahoma"/>
          <w:spacing w:val="-4"/>
        </w:rPr>
        <w:t>Value</w:t>
      </w:r>
      <w:r>
        <w:rPr>
          <w:rFonts w:ascii="Tahoma"/>
        </w:rPr>
        <w:tab/>
        <w:t>Buy</w:t>
      </w:r>
      <w:r>
        <w:rPr>
          <w:rFonts w:ascii="Tahoma"/>
          <w:spacing w:val="-6"/>
        </w:rPr>
        <w:t> </w:t>
      </w:r>
      <w:r>
        <w:rPr>
          <w:rFonts w:ascii="Tahoma"/>
        </w:rPr>
        <w:t>at</w:t>
      </w:r>
      <w:r>
        <w:rPr>
          <w:rFonts w:ascii="Tahoma"/>
          <w:spacing w:val="-5"/>
        </w:rPr>
        <w:t> </w:t>
      </w:r>
      <w:r>
        <w:rPr>
          <w:rFonts w:ascii="Tahoma"/>
        </w:rPr>
        <w:t>VAH</w:t>
      </w:r>
      <w:r>
        <w:rPr>
          <w:rFonts w:ascii="Tahoma"/>
          <w:spacing w:val="-3"/>
        </w:rPr>
        <w:t> </w:t>
      </w:r>
      <w:r>
        <w:rPr>
          <w:rFonts w:ascii="Tahoma"/>
        </w:rPr>
        <w:t>and</w:t>
      </w:r>
      <w:r>
        <w:rPr>
          <w:rFonts w:ascii="Tahoma"/>
          <w:spacing w:val="-6"/>
        </w:rPr>
        <w:t> </w:t>
      </w:r>
      <w:r>
        <w:rPr>
          <w:rFonts w:ascii="Tahoma"/>
          <w:spacing w:val="-5"/>
        </w:rPr>
        <w:t>POC</w:t>
      </w:r>
    </w:p>
    <w:p>
      <w:pPr>
        <w:pStyle w:val="BodyText"/>
        <w:tabs>
          <w:tab w:pos="3935" w:val="left" w:leader="none"/>
        </w:tabs>
        <w:spacing w:before="41" w:after="44"/>
        <w:ind w:left="983"/>
        <w:rPr>
          <w:rFonts w:ascii="Tahoma"/>
        </w:rPr>
      </w:pPr>
      <w:r>
        <w:rPr>
          <w:rFonts w:ascii="Tahoma"/>
        </w:rPr>
        <w:t>Open</w:t>
      </w:r>
      <w:r>
        <w:rPr>
          <w:rFonts w:ascii="Tahoma"/>
          <w:spacing w:val="-9"/>
        </w:rPr>
        <w:t> </w:t>
      </w:r>
      <w:r>
        <w:rPr>
          <w:rFonts w:ascii="Tahoma"/>
        </w:rPr>
        <w:t>Within</w:t>
      </w:r>
      <w:r>
        <w:rPr>
          <w:rFonts w:ascii="Tahoma"/>
          <w:spacing w:val="-7"/>
        </w:rPr>
        <w:t> </w:t>
      </w:r>
      <w:r>
        <w:rPr>
          <w:rFonts w:ascii="Tahoma"/>
          <w:spacing w:val="-4"/>
        </w:rPr>
        <w:t>Value</w:t>
      </w:r>
      <w:r>
        <w:rPr>
          <w:rFonts w:ascii="Tahoma"/>
        </w:rPr>
        <w:tab/>
        <w:t>Buy</w:t>
      </w:r>
      <w:r>
        <w:rPr>
          <w:rFonts w:ascii="Tahoma"/>
          <w:spacing w:val="-6"/>
        </w:rPr>
        <w:t> </w:t>
      </w:r>
      <w:r>
        <w:rPr>
          <w:rFonts w:ascii="Tahoma"/>
        </w:rPr>
        <w:t>at</w:t>
      </w:r>
      <w:r>
        <w:rPr>
          <w:rFonts w:ascii="Tahoma"/>
          <w:spacing w:val="-4"/>
        </w:rPr>
        <w:t> </w:t>
      </w:r>
      <w:r>
        <w:rPr>
          <w:rFonts w:ascii="Tahoma"/>
        </w:rPr>
        <w:t>POC</w:t>
      </w:r>
      <w:r>
        <w:rPr>
          <w:rFonts w:ascii="Tahoma"/>
          <w:spacing w:val="-4"/>
        </w:rPr>
        <w:t> </w:t>
      </w:r>
      <w:r>
        <w:rPr>
          <w:rFonts w:ascii="Tahoma"/>
        </w:rPr>
        <w:t>and</w:t>
      </w:r>
      <w:r>
        <w:rPr>
          <w:rFonts w:ascii="Tahoma"/>
          <w:spacing w:val="-6"/>
        </w:rPr>
        <w:t> </w:t>
      </w:r>
      <w:r>
        <w:rPr>
          <w:rFonts w:ascii="Tahoma"/>
          <w:spacing w:val="-5"/>
        </w:rPr>
        <w:t>VAL</w:t>
      </w:r>
    </w:p>
    <w:p>
      <w:pPr>
        <w:pStyle w:val="BodyText"/>
        <w:spacing w:line="20" w:lineRule="exact"/>
        <w:ind w:left="875"/>
        <w:rPr>
          <w:rFonts w:ascii="Tahoma"/>
          <w:sz w:val="2"/>
        </w:rPr>
      </w:pPr>
      <w:r>
        <w:rPr>
          <w:rFonts w:ascii="Tahoma"/>
          <w:sz w:val="2"/>
        </w:rPr>
        <w:pict>
          <v:group style="width:304.45pt;height:.5pt;mso-position-horizontal-relative:char;mso-position-vertical-relative:line" id="docshapegroup321" coordorigin="0,0" coordsize="6089,10">
            <v:rect style="position:absolute;left:0;top:0;width:6089;height:10" id="docshape322" filled="true" fillcolor="#000000" stroked="false">
              <v:fill type="solid"/>
            </v:rect>
          </v:group>
        </w:pict>
      </w:r>
      <w:r>
        <w:rPr>
          <w:rFonts w:ascii="Tahoma"/>
          <w:sz w:val="2"/>
        </w:rPr>
      </w:r>
    </w:p>
    <w:p>
      <w:pPr>
        <w:pStyle w:val="BodyText"/>
        <w:tabs>
          <w:tab w:pos="3935" w:val="left" w:leader="none"/>
        </w:tabs>
        <w:spacing w:before="31"/>
        <w:ind w:left="983"/>
        <w:rPr>
          <w:rFonts w:ascii="Tahoma"/>
        </w:rPr>
      </w:pPr>
      <w:r>
        <w:rPr/>
        <w:pict>
          <v:shape style="position:absolute;margin-left:72.779999pt;margin-top:16.995344pt;width:304.45pt;height:17.5pt;mso-position-horizontal-relative:page;mso-position-vertical-relative:paragraph;z-index:-15685120;mso-wrap-distance-left:0;mso-wrap-distance-right:0" type="#_x0000_t202" id="docshape323" filled="true" fillcolor="#000000" stroked="false">
            <v:textbox inset="0,0,0,0">
              <w:txbxContent>
                <w:p>
                  <w:pPr>
                    <w:spacing w:before="24"/>
                    <w:ind w:left="1093" w:right="0" w:firstLine="0"/>
                    <w:jc w:val="left"/>
                    <w:rPr>
                      <w:rFonts w:ascii="Verdana"/>
                      <w:color w:val="000000"/>
                      <w:sz w:val="24"/>
                    </w:rPr>
                  </w:pPr>
                  <w:r>
                    <w:rPr>
                      <w:rFonts w:ascii="Verdana"/>
                      <w:color w:val="FFFFFF"/>
                      <w:sz w:val="24"/>
                    </w:rPr>
                    <w:t>Entry</w:t>
                  </w:r>
                  <w:r>
                    <w:rPr>
                      <w:rFonts w:ascii="Verdana"/>
                      <w:color w:val="FFFFFF"/>
                      <w:spacing w:val="-15"/>
                      <w:sz w:val="24"/>
                    </w:rPr>
                    <w:t> </w:t>
                  </w:r>
                  <w:r>
                    <w:rPr>
                      <w:rFonts w:ascii="Verdana"/>
                      <w:color w:val="FFFFFF"/>
                      <w:sz w:val="24"/>
                    </w:rPr>
                    <w:t>Options</w:t>
                  </w:r>
                  <w:r>
                    <w:rPr>
                      <w:rFonts w:ascii="Verdana"/>
                      <w:color w:val="FFFFFF"/>
                      <w:spacing w:val="-14"/>
                      <w:sz w:val="24"/>
                    </w:rPr>
                    <w:t> </w:t>
                  </w:r>
                  <w:r>
                    <w:rPr>
                      <w:rFonts w:ascii="Verdana"/>
                      <w:color w:val="FFFFFF"/>
                      <w:sz w:val="24"/>
                    </w:rPr>
                    <w:t>in</w:t>
                  </w:r>
                  <w:r>
                    <w:rPr>
                      <w:rFonts w:ascii="Verdana"/>
                      <w:color w:val="FFFFFF"/>
                      <w:spacing w:val="-15"/>
                      <w:sz w:val="24"/>
                    </w:rPr>
                    <w:t> </w:t>
                  </w:r>
                  <w:r>
                    <w:rPr>
                      <w:rFonts w:ascii="Verdana"/>
                      <w:color w:val="FFFFFF"/>
                      <w:sz w:val="24"/>
                    </w:rPr>
                    <w:t>a</w:t>
                  </w:r>
                  <w:r>
                    <w:rPr>
                      <w:rFonts w:ascii="Verdana"/>
                      <w:color w:val="FFFFFF"/>
                      <w:spacing w:val="-14"/>
                      <w:sz w:val="24"/>
                    </w:rPr>
                    <w:t> </w:t>
                  </w:r>
                  <w:r>
                    <w:rPr>
                      <w:rFonts w:ascii="Verdana"/>
                      <w:color w:val="FFFFFF"/>
                      <w:sz w:val="24"/>
                    </w:rPr>
                    <w:t>Bearish</w:t>
                  </w:r>
                  <w:r>
                    <w:rPr>
                      <w:rFonts w:ascii="Verdana"/>
                      <w:color w:val="FFFFFF"/>
                      <w:spacing w:val="-14"/>
                      <w:sz w:val="24"/>
                    </w:rPr>
                    <w:t> </w:t>
                  </w:r>
                  <w:r>
                    <w:rPr>
                      <w:rFonts w:ascii="Verdana"/>
                      <w:color w:val="FFFFFF"/>
                      <w:spacing w:val="-4"/>
                      <w:sz w:val="24"/>
                    </w:rPr>
                    <w:t>Trend</w:t>
                  </w:r>
                </w:p>
              </w:txbxContent>
            </v:textbox>
            <v:fill type="solid"/>
            <w10:wrap type="topAndBottom"/>
          </v:shape>
        </w:pict>
      </w:r>
      <w:r>
        <w:rPr>
          <w:rFonts w:ascii="Tahoma"/>
        </w:rPr>
        <w:t>Open</w:t>
      </w:r>
      <w:r>
        <w:rPr>
          <w:rFonts w:ascii="Tahoma"/>
          <w:spacing w:val="-8"/>
        </w:rPr>
        <w:t> </w:t>
      </w:r>
      <w:r>
        <w:rPr>
          <w:rFonts w:ascii="Tahoma"/>
        </w:rPr>
        <w:t>Below</w:t>
      </w:r>
      <w:r>
        <w:rPr>
          <w:rFonts w:ascii="Tahoma"/>
          <w:spacing w:val="-7"/>
        </w:rPr>
        <w:t> </w:t>
      </w:r>
      <w:r>
        <w:rPr>
          <w:rFonts w:ascii="Tahoma"/>
          <w:spacing w:val="-4"/>
        </w:rPr>
        <w:t>Value</w:t>
      </w:r>
      <w:r>
        <w:rPr>
          <w:rFonts w:ascii="Tahoma"/>
        </w:rPr>
        <w:tab/>
        <w:t>Sell</w:t>
      </w:r>
      <w:r>
        <w:rPr>
          <w:rFonts w:ascii="Tahoma"/>
          <w:spacing w:val="-5"/>
        </w:rPr>
        <w:t> </w:t>
      </w:r>
      <w:r>
        <w:rPr>
          <w:rFonts w:ascii="Tahoma"/>
        </w:rPr>
        <w:t>at</w:t>
      </w:r>
      <w:r>
        <w:rPr>
          <w:rFonts w:ascii="Tahoma"/>
          <w:spacing w:val="-3"/>
        </w:rPr>
        <w:t> </w:t>
      </w:r>
      <w:r>
        <w:rPr>
          <w:rFonts w:ascii="Tahoma"/>
        </w:rPr>
        <w:t>VAL</w:t>
      </w:r>
      <w:r>
        <w:rPr>
          <w:rFonts w:ascii="Tahoma"/>
          <w:spacing w:val="-2"/>
        </w:rPr>
        <w:t> </w:t>
      </w:r>
      <w:r>
        <w:rPr>
          <w:rFonts w:ascii="Tahoma"/>
        </w:rPr>
        <w:t>and</w:t>
      </w:r>
      <w:r>
        <w:rPr>
          <w:rFonts w:ascii="Tahoma"/>
          <w:spacing w:val="-4"/>
        </w:rPr>
        <w:t> </w:t>
      </w:r>
      <w:r>
        <w:rPr>
          <w:rFonts w:ascii="Tahoma"/>
          <w:spacing w:val="-5"/>
        </w:rPr>
        <w:t>POC</w:t>
      </w:r>
    </w:p>
    <w:p>
      <w:pPr>
        <w:pStyle w:val="BodyText"/>
        <w:tabs>
          <w:tab w:pos="3935" w:val="left" w:leader="none"/>
        </w:tabs>
        <w:spacing w:before="42" w:after="43"/>
        <w:ind w:left="983"/>
        <w:rPr>
          <w:rFonts w:ascii="Tahoma"/>
        </w:rPr>
      </w:pPr>
      <w:r>
        <w:rPr>
          <w:rFonts w:ascii="Tahoma"/>
        </w:rPr>
        <w:t>Open</w:t>
      </w:r>
      <w:r>
        <w:rPr>
          <w:rFonts w:ascii="Tahoma"/>
          <w:spacing w:val="-8"/>
        </w:rPr>
        <w:t> </w:t>
      </w:r>
      <w:r>
        <w:rPr>
          <w:rFonts w:ascii="Tahoma"/>
        </w:rPr>
        <w:t>Below</w:t>
      </w:r>
      <w:r>
        <w:rPr>
          <w:rFonts w:ascii="Tahoma"/>
          <w:spacing w:val="-7"/>
        </w:rPr>
        <w:t> </w:t>
      </w:r>
      <w:r>
        <w:rPr>
          <w:rFonts w:ascii="Tahoma"/>
          <w:spacing w:val="-4"/>
        </w:rPr>
        <w:t>Value</w:t>
      </w:r>
      <w:r>
        <w:rPr>
          <w:rFonts w:ascii="Tahoma"/>
        </w:rPr>
        <w:tab/>
        <w:t>Sell</w:t>
      </w:r>
      <w:r>
        <w:rPr>
          <w:rFonts w:ascii="Tahoma"/>
          <w:spacing w:val="-5"/>
        </w:rPr>
        <w:t> </w:t>
      </w:r>
      <w:r>
        <w:rPr>
          <w:rFonts w:ascii="Tahoma"/>
        </w:rPr>
        <w:t>at</w:t>
      </w:r>
      <w:r>
        <w:rPr>
          <w:rFonts w:ascii="Tahoma"/>
          <w:spacing w:val="-3"/>
        </w:rPr>
        <w:t> </w:t>
      </w:r>
      <w:r>
        <w:rPr>
          <w:rFonts w:ascii="Tahoma"/>
        </w:rPr>
        <w:t>VAL</w:t>
      </w:r>
      <w:r>
        <w:rPr>
          <w:rFonts w:ascii="Tahoma"/>
          <w:spacing w:val="-2"/>
        </w:rPr>
        <w:t> </w:t>
      </w:r>
      <w:r>
        <w:rPr>
          <w:rFonts w:ascii="Tahoma"/>
        </w:rPr>
        <w:t>and</w:t>
      </w:r>
      <w:r>
        <w:rPr>
          <w:rFonts w:ascii="Tahoma"/>
          <w:spacing w:val="-4"/>
        </w:rPr>
        <w:t> </w:t>
      </w:r>
      <w:r>
        <w:rPr>
          <w:rFonts w:ascii="Tahoma"/>
          <w:spacing w:val="-5"/>
        </w:rPr>
        <w:t>POC</w:t>
      </w:r>
    </w:p>
    <w:p>
      <w:pPr>
        <w:pStyle w:val="BodyText"/>
        <w:spacing w:line="20" w:lineRule="exact"/>
        <w:ind w:left="875"/>
        <w:rPr>
          <w:rFonts w:ascii="Tahoma"/>
          <w:sz w:val="2"/>
        </w:rPr>
      </w:pPr>
      <w:r>
        <w:rPr>
          <w:rFonts w:ascii="Tahoma"/>
          <w:sz w:val="2"/>
        </w:rPr>
        <w:pict>
          <v:group style="width:304.45pt;height:.5pt;mso-position-horizontal-relative:char;mso-position-vertical-relative:line" id="docshapegroup324" coordorigin="0,0" coordsize="6089,10">
            <v:rect style="position:absolute;left:0;top:0;width:6089;height:10" id="docshape325" filled="true" fillcolor="#000000" stroked="false">
              <v:fill type="solid"/>
            </v:rect>
          </v:group>
        </w:pict>
      </w:r>
      <w:r>
        <w:rPr>
          <w:rFonts w:ascii="Tahoma"/>
          <w:sz w:val="2"/>
        </w:rPr>
      </w:r>
    </w:p>
    <w:p>
      <w:pPr>
        <w:pStyle w:val="BodyText"/>
        <w:tabs>
          <w:tab w:pos="3934" w:val="left" w:leader="none"/>
        </w:tabs>
        <w:spacing w:before="32"/>
        <w:ind w:left="983"/>
        <w:rPr>
          <w:rFonts w:ascii="Tahoma"/>
        </w:rPr>
      </w:pPr>
      <w:r>
        <w:rPr/>
        <w:pict>
          <v:rect style="position:absolute;margin-left:72.779999pt;margin-top:16.985386pt;width:304.44pt;height:.47998pt;mso-position-horizontal-relative:page;mso-position-vertical-relative:paragraph;z-index:-15684096;mso-wrap-distance-left:0;mso-wrap-distance-right:0" id="docshape326" filled="true" fillcolor="#000000" stroked="false">
            <v:fill type="solid"/>
            <w10:wrap type="topAndBottom"/>
          </v:rect>
        </w:pict>
      </w:r>
      <w:r>
        <w:rPr>
          <w:rFonts w:ascii="Tahoma"/>
        </w:rPr>
        <w:t>Open</w:t>
      </w:r>
      <w:r>
        <w:rPr>
          <w:rFonts w:ascii="Tahoma"/>
          <w:spacing w:val="-8"/>
        </w:rPr>
        <w:t> </w:t>
      </w:r>
      <w:r>
        <w:rPr>
          <w:rFonts w:ascii="Tahoma"/>
        </w:rPr>
        <w:t>Within</w:t>
      </w:r>
      <w:r>
        <w:rPr>
          <w:rFonts w:ascii="Tahoma"/>
          <w:spacing w:val="-8"/>
        </w:rPr>
        <w:t> </w:t>
      </w:r>
      <w:r>
        <w:rPr>
          <w:rFonts w:ascii="Tahoma"/>
          <w:spacing w:val="-2"/>
        </w:rPr>
        <w:t>Value</w:t>
      </w:r>
      <w:r>
        <w:rPr>
          <w:rFonts w:ascii="Tahoma"/>
        </w:rPr>
        <w:tab/>
        <w:t>Sell</w:t>
      </w:r>
      <w:r>
        <w:rPr>
          <w:rFonts w:ascii="Tahoma"/>
          <w:spacing w:val="-4"/>
        </w:rPr>
        <w:t> </w:t>
      </w:r>
      <w:r>
        <w:rPr>
          <w:rFonts w:ascii="Tahoma"/>
        </w:rPr>
        <w:t>at</w:t>
      </w:r>
      <w:r>
        <w:rPr>
          <w:rFonts w:ascii="Tahoma"/>
          <w:spacing w:val="-4"/>
        </w:rPr>
        <w:t> </w:t>
      </w:r>
      <w:r>
        <w:rPr>
          <w:rFonts w:ascii="Tahoma"/>
        </w:rPr>
        <w:t>POC</w:t>
      </w:r>
      <w:r>
        <w:rPr>
          <w:rFonts w:ascii="Tahoma"/>
          <w:spacing w:val="-2"/>
        </w:rPr>
        <w:t> </w:t>
      </w:r>
      <w:r>
        <w:rPr>
          <w:rFonts w:ascii="Tahoma"/>
        </w:rPr>
        <w:t>and</w:t>
      </w:r>
      <w:r>
        <w:rPr>
          <w:rFonts w:ascii="Tahoma"/>
          <w:spacing w:val="-4"/>
        </w:rPr>
        <w:t> </w:t>
      </w:r>
      <w:r>
        <w:rPr>
          <w:rFonts w:ascii="Tahoma"/>
          <w:spacing w:val="-5"/>
        </w:rPr>
        <w:t>VAH</w:t>
      </w:r>
    </w:p>
    <w:p>
      <w:pPr>
        <w:pStyle w:val="BodyText"/>
        <w:tabs>
          <w:tab w:pos="3935" w:val="left" w:leader="none"/>
        </w:tabs>
        <w:spacing w:before="42" w:after="44"/>
        <w:ind w:left="983"/>
        <w:rPr>
          <w:rFonts w:ascii="Tahoma"/>
        </w:rPr>
      </w:pPr>
      <w:r>
        <w:rPr>
          <w:rFonts w:ascii="Tahoma"/>
        </w:rPr>
        <w:t>Open</w:t>
      </w:r>
      <w:r>
        <w:rPr>
          <w:rFonts w:ascii="Tahoma"/>
          <w:spacing w:val="-7"/>
        </w:rPr>
        <w:t> </w:t>
      </w:r>
      <w:r>
        <w:rPr>
          <w:rFonts w:ascii="Tahoma"/>
        </w:rPr>
        <w:t>Above</w:t>
      </w:r>
      <w:r>
        <w:rPr>
          <w:rFonts w:ascii="Tahoma"/>
          <w:spacing w:val="-6"/>
        </w:rPr>
        <w:t> </w:t>
      </w:r>
      <w:r>
        <w:rPr>
          <w:rFonts w:ascii="Tahoma"/>
          <w:spacing w:val="-4"/>
        </w:rPr>
        <w:t>Value</w:t>
      </w:r>
      <w:r>
        <w:rPr>
          <w:rFonts w:ascii="Tahoma"/>
        </w:rPr>
        <w:tab/>
        <w:t>Buy</w:t>
      </w:r>
      <w:r>
        <w:rPr>
          <w:rFonts w:ascii="Tahoma"/>
          <w:spacing w:val="-6"/>
        </w:rPr>
        <w:t> </w:t>
      </w:r>
      <w:r>
        <w:rPr>
          <w:rFonts w:ascii="Tahoma"/>
        </w:rPr>
        <w:t>at</w:t>
      </w:r>
      <w:r>
        <w:rPr>
          <w:rFonts w:ascii="Tahoma"/>
          <w:spacing w:val="-5"/>
        </w:rPr>
        <w:t> </w:t>
      </w:r>
      <w:r>
        <w:rPr>
          <w:rFonts w:ascii="Tahoma"/>
        </w:rPr>
        <w:t>VAH</w:t>
      </w:r>
      <w:r>
        <w:rPr>
          <w:rFonts w:ascii="Tahoma"/>
          <w:spacing w:val="-3"/>
        </w:rPr>
        <w:t> </w:t>
      </w:r>
      <w:r>
        <w:rPr>
          <w:rFonts w:ascii="Tahoma"/>
        </w:rPr>
        <w:t>and</w:t>
      </w:r>
      <w:r>
        <w:rPr>
          <w:rFonts w:ascii="Tahoma"/>
          <w:spacing w:val="-6"/>
        </w:rPr>
        <w:t> </w:t>
      </w:r>
      <w:r>
        <w:rPr>
          <w:rFonts w:ascii="Tahoma"/>
          <w:spacing w:val="-5"/>
        </w:rPr>
        <w:t>POC</w:t>
      </w:r>
    </w:p>
    <w:p>
      <w:pPr>
        <w:pStyle w:val="BodyText"/>
        <w:spacing w:line="20" w:lineRule="exact"/>
        <w:ind w:left="861"/>
        <w:rPr>
          <w:rFonts w:ascii="Tahoma"/>
          <w:sz w:val="2"/>
        </w:rPr>
      </w:pPr>
      <w:r>
        <w:rPr>
          <w:rFonts w:ascii="Tahoma"/>
          <w:sz w:val="2"/>
        </w:rPr>
        <w:pict>
          <v:group style="width:305.2pt;height:.5pt;mso-position-horizontal-relative:char;mso-position-vertical-relative:line" id="docshapegroup327" coordorigin="0,0" coordsize="6104,10">
            <v:shape style="position:absolute;left:0;top:0;width:6104;height:10" id="docshape328" coordorigin="0,0" coordsize="6104,10" path="m6103,0l2966,0,2952,0,0,0,0,10,2952,10,2966,10,6103,10,6103,0xe" filled="true" fillcolor="#000000" stroked="false">
              <v:path arrowok="t"/>
              <v:fill type="solid"/>
            </v:shape>
          </v:group>
        </w:pict>
      </w:r>
      <w:r>
        <w:rPr>
          <w:rFonts w:ascii="Tahoma"/>
          <w:sz w:val="2"/>
        </w:rPr>
      </w:r>
    </w:p>
    <w:p>
      <w:pPr>
        <w:spacing w:before="0"/>
        <w:ind w:left="931" w:right="0" w:firstLine="0"/>
        <w:jc w:val="left"/>
        <w:rPr>
          <w:sz w:val="16"/>
        </w:rPr>
      </w:pPr>
      <w:r>
        <w:rPr>
          <w:sz w:val="16"/>
        </w:rPr>
        <w:t>TABLE</w:t>
      </w:r>
      <w:r>
        <w:rPr>
          <w:spacing w:val="2"/>
          <w:sz w:val="16"/>
        </w:rPr>
        <w:t> </w:t>
      </w:r>
      <w:r>
        <w:rPr>
          <w:sz w:val="16"/>
        </w:rPr>
        <w:t>4.3:</w:t>
      </w:r>
      <w:r>
        <w:rPr>
          <w:spacing w:val="3"/>
          <w:sz w:val="16"/>
        </w:rPr>
        <w:t> </w:t>
      </w:r>
      <w:r>
        <w:rPr>
          <w:sz w:val="16"/>
        </w:rPr>
        <w:t>Entry</w:t>
      </w:r>
      <w:r>
        <w:rPr>
          <w:spacing w:val="3"/>
          <w:sz w:val="16"/>
        </w:rPr>
        <w:t> </w:t>
      </w:r>
      <w:r>
        <w:rPr>
          <w:sz w:val="16"/>
        </w:rPr>
        <w:t>options</w:t>
      </w:r>
      <w:r>
        <w:rPr>
          <w:spacing w:val="3"/>
          <w:sz w:val="16"/>
        </w:rPr>
        <w:t> </w:t>
      </w:r>
      <w:r>
        <w:rPr>
          <w:sz w:val="16"/>
        </w:rPr>
        <w:t>during</w:t>
      </w:r>
      <w:r>
        <w:rPr>
          <w:spacing w:val="2"/>
          <w:sz w:val="16"/>
        </w:rPr>
        <w:t> </w:t>
      </w:r>
      <w:r>
        <w:rPr>
          <w:sz w:val="16"/>
        </w:rPr>
        <w:t>trending</w:t>
      </w:r>
      <w:r>
        <w:rPr>
          <w:spacing w:val="4"/>
          <w:sz w:val="16"/>
        </w:rPr>
        <w:t> </w:t>
      </w:r>
      <w:r>
        <w:rPr>
          <w:spacing w:val="-2"/>
          <w:sz w:val="16"/>
        </w:rPr>
        <w:t>markets.</w:t>
      </w:r>
    </w:p>
    <w:p>
      <w:pPr>
        <w:pStyle w:val="BodyText"/>
        <w:spacing w:before="9"/>
        <w:rPr>
          <w:sz w:val="20"/>
        </w:rPr>
      </w:pPr>
    </w:p>
    <w:p>
      <w:pPr>
        <w:pStyle w:val="BodyText"/>
        <w:spacing w:before="1"/>
        <w:ind w:left="499" w:right="137" w:firstLine="432"/>
        <w:jc w:val="both"/>
      </w:pPr>
      <w:r>
        <w:rPr/>
        <w:t>The next value area relationship is the Overlapping Lower Value relationship, which occurs when the current day’s value area is lower than</w:t>
      </w:r>
      <w:r>
        <w:rPr>
          <w:spacing w:val="40"/>
        </w:rPr>
        <w:t> </w:t>
      </w:r>
      <w:r>
        <w:rPr/>
        <w:t>the prior day’s value area, but today’s value area high is </w:t>
      </w:r>
      <w:r>
        <w:rPr>
          <w:i/>
        </w:rPr>
        <w:t>higher </w:t>
      </w:r>
      <w:r>
        <w:rPr/>
        <w:t>than yesterday’s value area low. This value area relationship indicates that sellers were able to push price to lower valuation, but only marginally, which paves the way to a potential buyer takeover. Sellers were able to push price lower, but do not have the conviction of a Lower Value relationship day. On this type of session, you will typically look to position yourself on the short side of the market, but will also take longs if the right opportunities present </w:t>
      </w:r>
      <w:r>
        <w:rPr>
          <w:spacing w:val="-2"/>
        </w:rPr>
        <w:t>themselves.</w:t>
      </w:r>
    </w:p>
    <w:p>
      <w:pPr>
        <w:pStyle w:val="BodyText"/>
        <w:ind w:left="499" w:right="138" w:firstLine="432"/>
        <w:jc w:val="both"/>
      </w:pPr>
      <w:r>
        <w:rPr/>
        <w:t>Like the Overlapping Higher Value day, the Overlapping Lower Value day can occur at different spots on the chart, each of which can give you a certain bias about future price direction. If this type of value area day occurs at the end of a downtrend; for example, sellers may have exhausted their power</w:t>
      </w:r>
      <w:r>
        <w:rPr>
          <w:spacing w:val="-2"/>
        </w:rPr>
        <w:t> </w:t>
      </w:r>
      <w:r>
        <w:rPr/>
        <w:t>to</w:t>
      </w:r>
      <w:r>
        <w:rPr>
          <w:spacing w:val="-2"/>
        </w:rPr>
        <w:t> </w:t>
      </w:r>
      <w:r>
        <w:rPr/>
        <w:t>push</w:t>
      </w:r>
      <w:r>
        <w:rPr>
          <w:spacing w:val="-2"/>
        </w:rPr>
        <w:t> </w:t>
      </w:r>
      <w:r>
        <w:rPr/>
        <w:t>price</w:t>
      </w:r>
      <w:r>
        <w:rPr>
          <w:spacing w:val="-2"/>
        </w:rPr>
        <w:t> </w:t>
      </w:r>
      <w:r>
        <w:rPr/>
        <w:t>lower,</w:t>
      </w:r>
      <w:r>
        <w:rPr>
          <w:spacing w:val="-1"/>
        </w:rPr>
        <w:t> </w:t>
      </w:r>
      <w:r>
        <w:rPr/>
        <w:t>which</w:t>
      </w:r>
      <w:r>
        <w:rPr>
          <w:spacing w:val="-2"/>
        </w:rPr>
        <w:t> </w:t>
      </w:r>
      <w:r>
        <w:rPr/>
        <w:t>sets</w:t>
      </w:r>
      <w:r>
        <w:rPr>
          <w:spacing w:val="-2"/>
        </w:rPr>
        <w:t> </w:t>
      </w:r>
      <w:r>
        <w:rPr/>
        <w:t>the</w:t>
      </w:r>
      <w:r>
        <w:rPr>
          <w:spacing w:val="-2"/>
        </w:rPr>
        <w:t> </w:t>
      </w:r>
      <w:r>
        <w:rPr/>
        <w:t>stage</w:t>
      </w:r>
      <w:r>
        <w:rPr>
          <w:spacing w:val="-1"/>
        </w:rPr>
        <w:t> </w:t>
      </w:r>
      <w:r>
        <w:rPr/>
        <w:t>for</w:t>
      </w:r>
      <w:r>
        <w:rPr>
          <w:spacing w:val="-2"/>
        </w:rPr>
        <w:t> </w:t>
      </w:r>
      <w:r>
        <w:rPr/>
        <w:t>a</w:t>
      </w:r>
      <w:r>
        <w:rPr>
          <w:spacing w:val="-1"/>
        </w:rPr>
        <w:t> </w:t>
      </w:r>
      <w:r>
        <w:rPr/>
        <w:t>potential</w:t>
      </w:r>
      <w:r>
        <w:rPr>
          <w:spacing w:val="-2"/>
        </w:rPr>
        <w:t> </w:t>
      </w:r>
      <w:r>
        <w:rPr/>
        <w:t>buyer</w:t>
      </w:r>
      <w:r>
        <w:rPr>
          <w:spacing w:val="-2"/>
        </w:rPr>
        <w:t> </w:t>
      </w:r>
      <w:r>
        <w:rPr/>
        <w:t>takeover and a likely change in trend.</w:t>
      </w:r>
    </w:p>
    <w:p>
      <w:pPr>
        <w:pStyle w:val="BodyText"/>
        <w:ind w:left="499" w:right="136" w:firstLine="432"/>
        <w:jc w:val="both"/>
      </w:pPr>
      <w:r>
        <w:rPr/>
        <w:t>Figure 4.8 shows a typical Overlapping Lower Value scenario in the five-minute chart of the E-Mini S&amp;P 400 futures contract. Again, since the value area is overlapping to the downside, a bearish directional bias is</w:t>
      </w:r>
      <w:r>
        <w:rPr>
          <w:spacing w:val="40"/>
        </w:rPr>
        <w:t> </w:t>
      </w:r>
      <w:r>
        <w:rPr/>
        <w:t>present in the market. Any open within or below the day’s value area should be seen as an opportunity to sell the market on a pull-back, which was the case in this instance. If the market had opened the day above the value area, the day’s initial directional bias may have failed.</w:t>
      </w:r>
    </w:p>
    <w:p>
      <w:pPr>
        <w:spacing w:after="0"/>
        <w:jc w:val="both"/>
        <w:sectPr>
          <w:headerReference w:type="default" r:id="rId99"/>
          <w:headerReference w:type="even" r:id="rId100"/>
          <w:footerReference w:type="default" r:id="rId101"/>
          <w:footerReference w:type="even" r:id="rId102"/>
          <w:pgSz w:w="8640" w:h="12960"/>
          <w:pgMar w:header="536" w:footer="1060" w:top="720" w:bottom="1260" w:left="580" w:right="580"/>
          <w:pgNumType w:start="83"/>
        </w:sectPr>
      </w:pPr>
    </w:p>
    <w:p>
      <w:pPr>
        <w:pStyle w:val="BodyText"/>
        <w:spacing w:before="3"/>
        <w:rPr>
          <w:sz w:val="24"/>
        </w:rPr>
      </w:pPr>
    </w:p>
    <w:p>
      <w:pPr>
        <w:pStyle w:val="BodyText"/>
        <w:ind w:left="140"/>
        <w:rPr>
          <w:sz w:val="20"/>
        </w:rPr>
      </w:pPr>
      <w:r>
        <w:rPr>
          <w:sz w:val="20"/>
        </w:rPr>
        <w:drawing>
          <wp:inline distT="0" distB="0" distL="0" distR="0">
            <wp:extent cx="4304849" cy="3068954"/>
            <wp:effectExtent l="0" t="0" r="0" b="0"/>
            <wp:docPr id="79" name="image41.png"/>
            <wp:cNvGraphicFramePr>
              <a:graphicFrameLocks noChangeAspect="1"/>
            </wp:cNvGraphicFramePr>
            <a:graphic>
              <a:graphicData uri="http://schemas.openxmlformats.org/drawingml/2006/picture">
                <pic:pic>
                  <pic:nvPicPr>
                    <pic:cNvPr id="80" name="image41.png"/>
                    <pic:cNvPicPr/>
                  </pic:nvPicPr>
                  <pic:blipFill>
                    <a:blip r:embed="rId103" cstate="print"/>
                    <a:stretch>
                      <a:fillRect/>
                    </a:stretch>
                  </pic:blipFill>
                  <pic:spPr>
                    <a:xfrm>
                      <a:off x="0" y="0"/>
                      <a:ext cx="4304849" cy="3068954"/>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6"/>
          <w:sz w:val="16"/>
        </w:rPr>
        <w:t> </w:t>
      </w:r>
      <w:r>
        <w:rPr>
          <w:sz w:val="16"/>
        </w:rPr>
        <w:t>4.8:</w:t>
      </w:r>
      <w:r>
        <w:rPr>
          <w:spacing w:val="9"/>
          <w:sz w:val="16"/>
        </w:rPr>
        <w:t> </w:t>
      </w:r>
      <w:r>
        <w:rPr>
          <w:sz w:val="16"/>
        </w:rPr>
        <w:t>Overlapping</w:t>
      </w:r>
      <w:r>
        <w:rPr>
          <w:spacing w:val="7"/>
          <w:sz w:val="16"/>
        </w:rPr>
        <w:t> </w:t>
      </w:r>
      <w:r>
        <w:rPr>
          <w:sz w:val="16"/>
        </w:rPr>
        <w:t>Lower</w:t>
      </w:r>
      <w:r>
        <w:rPr>
          <w:spacing w:val="7"/>
          <w:sz w:val="16"/>
        </w:rPr>
        <w:t> </w:t>
      </w:r>
      <w:r>
        <w:rPr>
          <w:sz w:val="16"/>
        </w:rPr>
        <w:t>Value</w:t>
      </w:r>
      <w:r>
        <w:rPr>
          <w:spacing w:val="7"/>
          <w:sz w:val="16"/>
        </w:rPr>
        <w:t> </w:t>
      </w:r>
      <w:r>
        <w:rPr>
          <w:spacing w:val="-2"/>
          <w:sz w:val="16"/>
        </w:rPr>
        <w:t>relationship</w:t>
      </w:r>
    </w:p>
    <w:p>
      <w:pPr>
        <w:pStyle w:val="BodyText"/>
        <w:spacing w:before="1"/>
      </w:pPr>
    </w:p>
    <w:p>
      <w:pPr>
        <w:pStyle w:val="BodyText"/>
        <w:ind w:left="140" w:right="497" w:firstLine="432"/>
        <w:jc w:val="both"/>
      </w:pPr>
      <w:r>
        <w:rPr/>
        <w:t>An Unchanged Value relationship occurs when the current day’s value area</w:t>
      </w:r>
      <w:r>
        <w:rPr>
          <w:spacing w:val="-1"/>
        </w:rPr>
        <w:t> </w:t>
      </w:r>
      <w:r>
        <w:rPr/>
        <w:t>is virtually</w:t>
      </w:r>
      <w:r>
        <w:rPr>
          <w:spacing w:val="-2"/>
        </w:rPr>
        <w:t> </w:t>
      </w:r>
      <w:r>
        <w:rPr/>
        <w:t>unchanged</w:t>
      </w:r>
      <w:r>
        <w:rPr>
          <w:spacing w:val="-2"/>
        </w:rPr>
        <w:t> </w:t>
      </w:r>
      <w:r>
        <w:rPr/>
        <w:t>from</w:t>
      </w:r>
      <w:r>
        <w:rPr>
          <w:spacing w:val="-1"/>
        </w:rPr>
        <w:t> </w:t>
      </w:r>
      <w:r>
        <w:rPr/>
        <w:t>the</w:t>
      </w:r>
      <w:r>
        <w:rPr>
          <w:spacing w:val="-1"/>
        </w:rPr>
        <w:t> </w:t>
      </w:r>
      <w:r>
        <w:rPr/>
        <w:t>prior</w:t>
      </w:r>
      <w:r>
        <w:rPr>
          <w:spacing w:val="-1"/>
        </w:rPr>
        <w:t> </w:t>
      </w:r>
      <w:r>
        <w:rPr/>
        <w:t>session.</w:t>
      </w:r>
      <w:r>
        <w:rPr>
          <w:spacing w:val="-1"/>
        </w:rPr>
        <w:t> </w:t>
      </w:r>
      <w:r>
        <w:rPr/>
        <w:t>One</w:t>
      </w:r>
      <w:r>
        <w:rPr>
          <w:spacing w:val="-1"/>
        </w:rPr>
        <w:t> </w:t>
      </w:r>
      <w:r>
        <w:rPr/>
        <w:t>of</w:t>
      </w:r>
      <w:r>
        <w:rPr>
          <w:spacing w:val="-1"/>
        </w:rPr>
        <w:t> </w:t>
      </w:r>
      <w:r>
        <w:rPr/>
        <w:t>the</w:t>
      </w:r>
      <w:r>
        <w:rPr>
          <w:spacing w:val="-1"/>
        </w:rPr>
        <w:t> </w:t>
      </w:r>
      <w:r>
        <w:rPr/>
        <w:t>extremes</w:t>
      </w:r>
      <w:r>
        <w:rPr>
          <w:spacing w:val="-1"/>
        </w:rPr>
        <w:t> </w:t>
      </w:r>
      <w:r>
        <w:rPr/>
        <w:t>of</w:t>
      </w:r>
      <w:r>
        <w:rPr>
          <w:spacing w:val="-1"/>
        </w:rPr>
        <w:t> </w:t>
      </w:r>
      <w:r>
        <w:rPr/>
        <w:t>the value area may overlap to one side, but on the whole, the area is virtually the same as it was before. This type of day indicates that buyers and sellers are happy</w:t>
      </w:r>
      <w:r>
        <w:rPr>
          <w:spacing w:val="-2"/>
        </w:rPr>
        <w:t> </w:t>
      </w:r>
      <w:r>
        <w:rPr/>
        <w:t>with</w:t>
      </w:r>
      <w:r>
        <w:rPr>
          <w:spacing w:val="-2"/>
        </w:rPr>
        <w:t> </w:t>
      </w:r>
      <w:r>
        <w:rPr/>
        <w:t>the</w:t>
      </w:r>
      <w:r>
        <w:rPr>
          <w:spacing w:val="-2"/>
        </w:rPr>
        <w:t> </w:t>
      </w:r>
      <w:r>
        <w:rPr/>
        <w:t>trade</w:t>
      </w:r>
      <w:r>
        <w:rPr>
          <w:spacing w:val="-1"/>
        </w:rPr>
        <w:t> </w:t>
      </w:r>
      <w:r>
        <w:rPr/>
        <w:t>facilitation</w:t>
      </w:r>
      <w:r>
        <w:rPr>
          <w:spacing w:val="-2"/>
        </w:rPr>
        <w:t> </w:t>
      </w:r>
      <w:r>
        <w:rPr/>
        <w:t>being</w:t>
      </w:r>
      <w:r>
        <w:rPr>
          <w:spacing w:val="-2"/>
        </w:rPr>
        <w:t> </w:t>
      </w:r>
      <w:r>
        <w:rPr/>
        <w:t>conducted</w:t>
      </w:r>
      <w:r>
        <w:rPr>
          <w:spacing w:val="-2"/>
        </w:rPr>
        <w:t> </w:t>
      </w:r>
      <w:r>
        <w:rPr/>
        <w:t>in</w:t>
      </w:r>
      <w:r>
        <w:rPr>
          <w:spacing w:val="-2"/>
        </w:rPr>
        <w:t> </w:t>
      </w:r>
      <w:r>
        <w:rPr/>
        <w:t>this</w:t>
      </w:r>
      <w:r>
        <w:rPr>
          <w:spacing w:val="-2"/>
        </w:rPr>
        <w:t> </w:t>
      </w:r>
      <w:r>
        <w:rPr/>
        <w:t>area</w:t>
      </w:r>
      <w:r>
        <w:rPr>
          <w:spacing w:val="-1"/>
        </w:rPr>
        <w:t> </w:t>
      </w:r>
      <w:r>
        <w:rPr/>
        <w:t>and</w:t>
      </w:r>
      <w:r>
        <w:rPr>
          <w:spacing w:val="-2"/>
        </w:rPr>
        <w:t> </w:t>
      </w:r>
      <w:r>
        <w:rPr/>
        <w:t>are</w:t>
      </w:r>
      <w:r>
        <w:rPr>
          <w:spacing w:val="-2"/>
        </w:rPr>
        <w:t> </w:t>
      </w:r>
      <w:r>
        <w:rPr/>
        <w:t>satisfied with</w:t>
      </w:r>
      <w:r>
        <w:rPr>
          <w:spacing w:val="-2"/>
        </w:rPr>
        <w:t> </w:t>
      </w:r>
      <w:r>
        <w:rPr/>
        <w:t>current</w:t>
      </w:r>
      <w:r>
        <w:rPr>
          <w:spacing w:val="-2"/>
        </w:rPr>
        <w:t> </w:t>
      </w:r>
      <w:r>
        <w:rPr/>
        <w:t>price</w:t>
      </w:r>
      <w:r>
        <w:rPr>
          <w:spacing w:val="-2"/>
        </w:rPr>
        <w:t> </w:t>
      </w:r>
      <w:r>
        <w:rPr/>
        <w:t>and</w:t>
      </w:r>
      <w:r>
        <w:rPr>
          <w:spacing w:val="-2"/>
        </w:rPr>
        <w:t> </w:t>
      </w:r>
      <w:r>
        <w:rPr/>
        <w:t>value.</w:t>
      </w:r>
      <w:r>
        <w:rPr>
          <w:spacing w:val="-2"/>
        </w:rPr>
        <w:t> </w:t>
      </w:r>
      <w:r>
        <w:rPr/>
        <w:t>When</w:t>
      </w:r>
      <w:r>
        <w:rPr>
          <w:spacing w:val="-2"/>
        </w:rPr>
        <w:t> </w:t>
      </w:r>
      <w:r>
        <w:rPr/>
        <w:t>this</w:t>
      </w:r>
      <w:r>
        <w:rPr>
          <w:spacing w:val="-3"/>
        </w:rPr>
        <w:t> </w:t>
      </w:r>
      <w:r>
        <w:rPr/>
        <w:t>type</w:t>
      </w:r>
      <w:r>
        <w:rPr>
          <w:spacing w:val="-2"/>
        </w:rPr>
        <w:t> </w:t>
      </w:r>
      <w:r>
        <w:rPr/>
        <w:t>of</w:t>
      </w:r>
      <w:r>
        <w:rPr>
          <w:spacing w:val="-2"/>
        </w:rPr>
        <w:t> </w:t>
      </w:r>
      <w:r>
        <w:rPr/>
        <w:t>value</w:t>
      </w:r>
      <w:r>
        <w:rPr>
          <w:spacing w:val="-3"/>
        </w:rPr>
        <w:t> </w:t>
      </w:r>
      <w:r>
        <w:rPr/>
        <w:t>area</w:t>
      </w:r>
      <w:r>
        <w:rPr>
          <w:spacing w:val="-2"/>
        </w:rPr>
        <w:t> </w:t>
      </w:r>
      <w:r>
        <w:rPr/>
        <w:t>relationship</w:t>
      </w:r>
      <w:r>
        <w:rPr>
          <w:spacing w:val="-2"/>
        </w:rPr>
        <w:t> </w:t>
      </w:r>
      <w:r>
        <w:rPr/>
        <w:t>occurs two or three days in a row, the implication is the market is on the verge of a big breakout opportunity. Typically, you will see continued trading range behavior on the second day of an unchanged or neutral relationship. A Trading Range Day will usually arise out of this value area relationship. However, be prepared to play a breakout from the range on the third day of this relationship.</w:t>
      </w:r>
    </w:p>
    <w:p>
      <w:pPr>
        <w:pStyle w:val="BodyText"/>
        <w:spacing w:before="1"/>
        <w:ind w:left="140" w:right="495" w:firstLine="432"/>
        <w:jc w:val="both"/>
      </w:pPr>
      <w:r>
        <w:rPr/>
        <w:t>Let’s take a look at Figure 4.9, which shows an Unchanged Value relationship in the five-minute chart of the Mini-Sized Dow futures contract. The current day’s value area is virtually unchanged from the prior session, which means the market has found common ground between buyers and sellers. In this example, the market is in balance and will likely continue to trade within the current range. Therefore, you will look to trade the extremes of the day’s initial balance.</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49" cy="3068954"/>
            <wp:effectExtent l="0" t="0" r="0" b="0"/>
            <wp:docPr id="81" name="image42.png"/>
            <wp:cNvGraphicFramePr>
              <a:graphicFrameLocks noChangeAspect="1"/>
            </wp:cNvGraphicFramePr>
            <a:graphic>
              <a:graphicData uri="http://schemas.openxmlformats.org/drawingml/2006/picture">
                <pic:pic>
                  <pic:nvPicPr>
                    <pic:cNvPr id="82" name="image42.png"/>
                    <pic:cNvPicPr/>
                  </pic:nvPicPr>
                  <pic:blipFill>
                    <a:blip r:embed="rId104" cstate="print"/>
                    <a:stretch>
                      <a:fillRect/>
                    </a:stretch>
                  </pic:blipFill>
                  <pic:spPr>
                    <a:xfrm>
                      <a:off x="0" y="0"/>
                      <a:ext cx="4304849" cy="3068954"/>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9"/>
          <w:sz w:val="16"/>
        </w:rPr>
        <w:t> </w:t>
      </w:r>
      <w:r>
        <w:rPr>
          <w:sz w:val="16"/>
        </w:rPr>
        <w:t>4.9:</w:t>
      </w:r>
      <w:r>
        <w:rPr>
          <w:spacing w:val="11"/>
          <w:sz w:val="16"/>
        </w:rPr>
        <w:t> </w:t>
      </w:r>
      <w:r>
        <w:rPr>
          <w:sz w:val="16"/>
        </w:rPr>
        <w:t>Unchanged</w:t>
      </w:r>
      <w:r>
        <w:rPr>
          <w:spacing w:val="10"/>
          <w:sz w:val="16"/>
        </w:rPr>
        <w:t> </w:t>
      </w:r>
      <w:r>
        <w:rPr>
          <w:sz w:val="16"/>
        </w:rPr>
        <w:t>Value</w:t>
      </w:r>
      <w:r>
        <w:rPr>
          <w:spacing w:val="10"/>
          <w:sz w:val="16"/>
        </w:rPr>
        <w:t> </w:t>
      </w:r>
      <w:r>
        <w:rPr>
          <w:spacing w:val="-2"/>
          <w:sz w:val="16"/>
        </w:rPr>
        <w:t>relationship</w:t>
      </w:r>
    </w:p>
    <w:p>
      <w:pPr>
        <w:pStyle w:val="BodyText"/>
        <w:spacing w:before="1"/>
      </w:pPr>
    </w:p>
    <w:p>
      <w:pPr>
        <w:pStyle w:val="BodyText"/>
        <w:ind w:left="500" w:right="136" w:firstLine="432"/>
        <w:jc w:val="both"/>
      </w:pPr>
      <w:r>
        <w:rPr/>
        <w:t>While the second day of an Unchanged Value relationship usually leads to trading range behavior, three consecutive days of this behavior will</w:t>
      </w:r>
      <w:r>
        <w:rPr>
          <w:spacing w:val="80"/>
        </w:rPr>
        <w:t> </w:t>
      </w:r>
      <w:r>
        <w:rPr/>
        <w:t>usually result in a breakout opportunity, as shown in Figure 4.10. This chart shows the following day from the previous example and illustrates a clear breakout right at the open of the session. In this case, the YM opened the day beyond the session’s Money Zone levels, which is the first major indication that</w:t>
      </w:r>
      <w:r>
        <w:rPr>
          <w:spacing w:val="-1"/>
        </w:rPr>
        <w:t> </w:t>
      </w:r>
      <w:r>
        <w:rPr/>
        <w:t>a</w:t>
      </w:r>
      <w:r>
        <w:rPr>
          <w:spacing w:val="-1"/>
        </w:rPr>
        <w:t> </w:t>
      </w:r>
      <w:r>
        <w:rPr/>
        <w:t>true</w:t>
      </w:r>
      <w:r>
        <w:rPr>
          <w:spacing w:val="-1"/>
        </w:rPr>
        <w:t> </w:t>
      </w:r>
      <w:r>
        <w:rPr/>
        <w:t>breakout</w:t>
      </w:r>
      <w:r>
        <w:rPr>
          <w:spacing w:val="-1"/>
        </w:rPr>
        <w:t> </w:t>
      </w:r>
      <w:r>
        <w:rPr/>
        <w:t>will</w:t>
      </w:r>
      <w:r>
        <w:rPr>
          <w:spacing w:val="-2"/>
        </w:rPr>
        <w:t> </w:t>
      </w:r>
      <w:r>
        <w:rPr/>
        <w:t>occur.</w:t>
      </w:r>
      <w:r>
        <w:rPr>
          <w:spacing w:val="-1"/>
        </w:rPr>
        <w:t> </w:t>
      </w:r>
      <w:r>
        <w:rPr/>
        <w:t>Secondly,</w:t>
      </w:r>
      <w:r>
        <w:rPr>
          <w:spacing w:val="-1"/>
        </w:rPr>
        <w:t> </w:t>
      </w:r>
      <w:r>
        <w:rPr/>
        <w:t>the</w:t>
      </w:r>
      <w:r>
        <w:rPr>
          <w:spacing w:val="-1"/>
        </w:rPr>
        <w:t> </w:t>
      </w:r>
      <w:r>
        <w:rPr/>
        <w:t>YM</w:t>
      </w:r>
      <w:r>
        <w:rPr>
          <w:spacing w:val="-1"/>
        </w:rPr>
        <w:t> </w:t>
      </w:r>
      <w:r>
        <w:rPr/>
        <w:t>never</w:t>
      </w:r>
      <w:r>
        <w:rPr>
          <w:spacing w:val="-1"/>
        </w:rPr>
        <w:t> </w:t>
      </w:r>
      <w:r>
        <w:rPr/>
        <w:t>reversed</w:t>
      </w:r>
      <w:r>
        <w:rPr>
          <w:spacing w:val="-1"/>
        </w:rPr>
        <w:t> </w:t>
      </w:r>
      <w:r>
        <w:rPr/>
        <w:t>to</w:t>
      </w:r>
      <w:r>
        <w:rPr>
          <w:spacing w:val="-1"/>
        </w:rPr>
        <w:t> </w:t>
      </w:r>
      <w:r>
        <w:rPr/>
        <w:t>“test”</w:t>
      </w:r>
      <w:r>
        <w:rPr>
          <w:spacing w:val="-1"/>
        </w:rPr>
        <w:t> </w:t>
      </w:r>
      <w:r>
        <w:rPr/>
        <w:t>the lower Money Zone level, choosing instead to head straight to lower value, which offers further insight into the conviction of the initiative participants pushing the market lower.</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49" cy="3068954"/>
            <wp:effectExtent l="0" t="0" r="0" b="0"/>
            <wp:docPr id="83" name="image43.png"/>
            <wp:cNvGraphicFramePr>
              <a:graphicFrameLocks noChangeAspect="1"/>
            </wp:cNvGraphicFramePr>
            <a:graphic>
              <a:graphicData uri="http://schemas.openxmlformats.org/drawingml/2006/picture">
                <pic:pic>
                  <pic:nvPicPr>
                    <pic:cNvPr id="84" name="image43.png"/>
                    <pic:cNvPicPr/>
                  </pic:nvPicPr>
                  <pic:blipFill>
                    <a:blip r:embed="rId105" cstate="print"/>
                    <a:stretch>
                      <a:fillRect/>
                    </a:stretch>
                  </pic:blipFill>
                  <pic:spPr>
                    <a:xfrm>
                      <a:off x="0" y="0"/>
                      <a:ext cx="4304849" cy="3068954"/>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2"/>
          <w:sz w:val="16"/>
        </w:rPr>
        <w:t> </w:t>
      </w:r>
      <w:r>
        <w:rPr>
          <w:sz w:val="16"/>
        </w:rPr>
        <w:t>4.10: Three days of an Unchanged Value relationship usually leads to a </w:t>
      </w:r>
      <w:r>
        <w:rPr>
          <w:spacing w:val="-2"/>
          <w:sz w:val="16"/>
        </w:rPr>
        <w:t>breakout.</w:t>
      </w:r>
    </w:p>
    <w:p>
      <w:pPr>
        <w:pStyle w:val="BodyText"/>
        <w:spacing w:before="1"/>
      </w:pPr>
    </w:p>
    <w:p>
      <w:pPr>
        <w:pStyle w:val="BodyText"/>
        <w:ind w:left="140" w:right="495" w:firstLine="432"/>
        <w:jc w:val="both"/>
      </w:pPr>
      <w:r>
        <w:rPr/>
        <w:t>An Outside Value relationship occurs when the current day’s value area completely engulfs the prior day’s value area. Essentially, buyers and sellers are happy with the trade facilitation in this area, but expanded the range for better trade in the prior session. When an outside day relationship occurs,</w:t>
      </w:r>
      <w:r>
        <w:rPr>
          <w:spacing w:val="80"/>
        </w:rPr>
        <w:t> </w:t>
      </w:r>
      <w:r>
        <w:rPr/>
        <w:t>you</w:t>
      </w:r>
      <w:r>
        <w:rPr>
          <w:spacing w:val="-1"/>
        </w:rPr>
        <w:t> </w:t>
      </w:r>
      <w:r>
        <w:rPr/>
        <w:t>are</w:t>
      </w:r>
      <w:r>
        <w:rPr>
          <w:spacing w:val="-1"/>
        </w:rPr>
        <w:t> </w:t>
      </w:r>
      <w:r>
        <w:rPr/>
        <w:t>more</w:t>
      </w:r>
      <w:r>
        <w:rPr>
          <w:spacing w:val="-1"/>
        </w:rPr>
        <w:t> </w:t>
      </w:r>
      <w:r>
        <w:rPr/>
        <w:t>likely</w:t>
      </w:r>
      <w:r>
        <w:rPr>
          <w:spacing w:val="-1"/>
        </w:rPr>
        <w:t> </w:t>
      </w:r>
      <w:r>
        <w:rPr/>
        <w:t>to</w:t>
      </w:r>
      <w:r>
        <w:rPr>
          <w:spacing w:val="-2"/>
        </w:rPr>
        <w:t> </w:t>
      </w:r>
      <w:r>
        <w:rPr/>
        <w:t>see</w:t>
      </w:r>
      <w:r>
        <w:rPr>
          <w:spacing w:val="-1"/>
        </w:rPr>
        <w:t> </w:t>
      </w:r>
      <w:r>
        <w:rPr/>
        <w:t>a</w:t>
      </w:r>
      <w:r>
        <w:rPr>
          <w:spacing w:val="-1"/>
        </w:rPr>
        <w:t> </w:t>
      </w:r>
      <w:r>
        <w:rPr/>
        <w:t>Trading</w:t>
      </w:r>
      <w:r>
        <w:rPr>
          <w:spacing w:val="-2"/>
        </w:rPr>
        <w:t> </w:t>
      </w:r>
      <w:r>
        <w:rPr/>
        <w:t>Range,</w:t>
      </w:r>
      <w:r>
        <w:rPr>
          <w:spacing w:val="-1"/>
        </w:rPr>
        <w:t> </w:t>
      </w:r>
      <w:r>
        <w:rPr/>
        <w:t>Typical,</w:t>
      </w:r>
      <w:r>
        <w:rPr>
          <w:spacing w:val="-2"/>
        </w:rPr>
        <w:t> </w:t>
      </w:r>
      <w:r>
        <w:rPr/>
        <w:t>or</w:t>
      </w:r>
      <w:r>
        <w:rPr>
          <w:spacing w:val="-1"/>
        </w:rPr>
        <w:t> </w:t>
      </w:r>
      <w:r>
        <w:rPr/>
        <w:t>Sideways</w:t>
      </w:r>
      <w:r>
        <w:rPr>
          <w:spacing w:val="-1"/>
        </w:rPr>
        <w:t> </w:t>
      </w:r>
      <w:r>
        <w:rPr/>
        <w:t>Day,</w:t>
      </w:r>
      <w:r>
        <w:rPr>
          <w:spacing w:val="-2"/>
        </w:rPr>
        <w:t> </w:t>
      </w:r>
      <w:r>
        <w:rPr/>
        <w:t>as</w:t>
      </w:r>
      <w:r>
        <w:rPr>
          <w:spacing w:val="-1"/>
        </w:rPr>
        <w:t> </w:t>
      </w:r>
      <w:r>
        <w:rPr/>
        <w:t>the market will likely bat the ball back and forth within a given range. Typically, this type of relationship day has unbiased directional conviction, but where the market closes the prior session can tip you off to future price movement. For example, if price closes at the upper extreme of this day, a hypothetical victory has been achieved by buyers, which could lead to a bullish outcome</w:t>
      </w:r>
      <w:r>
        <w:rPr>
          <w:spacing w:val="40"/>
        </w:rPr>
        <w:t> </w:t>
      </w:r>
      <w:r>
        <w:rPr/>
        <w:t>in the upcoming session.</w:t>
      </w:r>
    </w:p>
    <w:p>
      <w:pPr>
        <w:pStyle w:val="BodyText"/>
        <w:ind w:left="140" w:right="495" w:firstLine="432"/>
        <w:jc w:val="both"/>
      </w:pPr>
      <w:r>
        <w:rPr/>
        <w:t>Figure 4.11 shows an example of an Outside Value relationship in the five-minute chart of the YM. Notice that the prior day’s closing price occurred</w:t>
      </w:r>
      <w:r>
        <w:rPr>
          <w:spacing w:val="-1"/>
        </w:rPr>
        <w:t> </w:t>
      </w:r>
      <w:r>
        <w:rPr/>
        <w:t>near</w:t>
      </w:r>
      <w:r>
        <w:rPr>
          <w:spacing w:val="-1"/>
        </w:rPr>
        <w:t> </w:t>
      </w:r>
      <w:r>
        <w:rPr/>
        <w:t>the</w:t>
      </w:r>
      <w:r>
        <w:rPr>
          <w:spacing w:val="-1"/>
        </w:rPr>
        <w:t> </w:t>
      </w:r>
      <w:r>
        <w:rPr/>
        <w:t>top</w:t>
      </w:r>
      <w:r>
        <w:rPr>
          <w:spacing w:val="-2"/>
        </w:rPr>
        <w:t> </w:t>
      </w:r>
      <w:r>
        <w:rPr/>
        <w:t>of</w:t>
      </w:r>
      <w:r>
        <w:rPr>
          <w:spacing w:val="-1"/>
        </w:rPr>
        <w:t> </w:t>
      </w:r>
      <w:r>
        <w:rPr/>
        <w:t>the</w:t>
      </w:r>
      <w:r>
        <w:rPr>
          <w:spacing w:val="-1"/>
        </w:rPr>
        <w:t> </w:t>
      </w:r>
      <w:r>
        <w:rPr/>
        <w:t>day’s</w:t>
      </w:r>
      <w:r>
        <w:rPr>
          <w:spacing w:val="-1"/>
        </w:rPr>
        <w:t> </w:t>
      </w:r>
      <w:r>
        <w:rPr/>
        <w:t>range,</w:t>
      </w:r>
      <w:r>
        <w:rPr>
          <w:spacing w:val="-1"/>
        </w:rPr>
        <w:t> </w:t>
      </w:r>
      <w:r>
        <w:rPr/>
        <w:t>which</w:t>
      </w:r>
      <w:r>
        <w:rPr>
          <w:spacing w:val="-1"/>
        </w:rPr>
        <w:t> </w:t>
      </w:r>
      <w:r>
        <w:rPr/>
        <w:t>indicated</w:t>
      </w:r>
      <w:r>
        <w:rPr>
          <w:spacing w:val="-1"/>
        </w:rPr>
        <w:t> </w:t>
      </w:r>
      <w:r>
        <w:rPr/>
        <w:t>a</w:t>
      </w:r>
      <w:r>
        <w:rPr>
          <w:spacing w:val="-1"/>
        </w:rPr>
        <w:t> </w:t>
      </w:r>
      <w:r>
        <w:rPr/>
        <w:t>potentially</w:t>
      </w:r>
      <w:r>
        <w:rPr>
          <w:spacing w:val="-2"/>
        </w:rPr>
        <w:t> </w:t>
      </w:r>
      <w:r>
        <w:rPr/>
        <w:t>bullish session</w:t>
      </w:r>
      <w:r>
        <w:rPr>
          <w:spacing w:val="-3"/>
        </w:rPr>
        <w:t> </w:t>
      </w:r>
      <w:r>
        <w:rPr/>
        <w:t>for</w:t>
      </w:r>
      <w:r>
        <w:rPr>
          <w:spacing w:val="-3"/>
        </w:rPr>
        <w:t> </w:t>
      </w:r>
      <w:r>
        <w:rPr/>
        <w:t>the</w:t>
      </w:r>
      <w:r>
        <w:rPr>
          <w:spacing w:val="-2"/>
        </w:rPr>
        <w:t> </w:t>
      </w:r>
      <w:r>
        <w:rPr/>
        <w:t>upcoming</w:t>
      </w:r>
      <w:r>
        <w:rPr>
          <w:spacing w:val="-2"/>
        </w:rPr>
        <w:t> </w:t>
      </w:r>
      <w:r>
        <w:rPr/>
        <w:t>day.</w:t>
      </w:r>
      <w:r>
        <w:rPr>
          <w:spacing w:val="-2"/>
        </w:rPr>
        <w:t> </w:t>
      </w:r>
      <w:r>
        <w:rPr/>
        <w:t>The</w:t>
      </w:r>
      <w:r>
        <w:rPr>
          <w:spacing w:val="-2"/>
        </w:rPr>
        <w:t> </w:t>
      </w:r>
      <w:r>
        <w:rPr/>
        <w:t>fact</w:t>
      </w:r>
      <w:r>
        <w:rPr>
          <w:spacing w:val="-3"/>
        </w:rPr>
        <w:t> </w:t>
      </w:r>
      <w:r>
        <w:rPr/>
        <w:t>that</w:t>
      </w:r>
      <w:r>
        <w:rPr>
          <w:spacing w:val="-2"/>
        </w:rPr>
        <w:t> </w:t>
      </w:r>
      <w:r>
        <w:rPr/>
        <w:t>the</w:t>
      </w:r>
      <w:r>
        <w:rPr>
          <w:spacing w:val="-2"/>
        </w:rPr>
        <w:t> </w:t>
      </w:r>
      <w:r>
        <w:rPr/>
        <w:t>value</w:t>
      </w:r>
      <w:r>
        <w:rPr>
          <w:spacing w:val="-1"/>
        </w:rPr>
        <w:t> </w:t>
      </w:r>
      <w:r>
        <w:rPr/>
        <w:t>area</w:t>
      </w:r>
      <w:r>
        <w:rPr>
          <w:spacing w:val="-1"/>
        </w:rPr>
        <w:t> </w:t>
      </w:r>
      <w:r>
        <w:rPr/>
        <w:t>relationship</w:t>
      </w:r>
      <w:r>
        <w:rPr>
          <w:spacing w:val="-2"/>
        </w:rPr>
        <w:t> </w:t>
      </w:r>
      <w:r>
        <w:rPr/>
        <w:t>was</w:t>
      </w:r>
      <w:r>
        <w:rPr>
          <w:spacing w:val="-1"/>
        </w:rPr>
        <w:t> </w:t>
      </w:r>
      <w:r>
        <w:rPr/>
        <w:t>an outside value scenario indicated that price could be range-bound throughout the session, leading to either a Trading Range or Sideways Day, which was indeed the case. Take note, however, that just because the day turned out to be a Trading Range Day did not mean that the day was not bullish. The bulls were successfully able to keep trading activity above the day’s value area the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9"/>
        <w:jc w:val="both"/>
      </w:pPr>
      <w:r>
        <w:rPr/>
        <w:t>entire session, essentially advancing price to a higher area of value, which is</w:t>
      </w:r>
      <w:r>
        <w:rPr>
          <w:spacing w:val="40"/>
        </w:rPr>
        <w:t> </w:t>
      </w:r>
      <w:r>
        <w:rPr/>
        <w:t>a victory for the bulls.</w:t>
      </w:r>
    </w:p>
    <w:p>
      <w:pPr>
        <w:pStyle w:val="BodyText"/>
        <w:ind w:left="500" w:right="136" w:firstLine="432"/>
        <w:jc w:val="both"/>
      </w:pPr>
      <w:r>
        <w:rPr/>
        <w:t>Noticing that the current day’s value area completely engulfs the prior day’s value area gives you a significant edge in your trading. This relationship automatically tells you to prepare for a Trading Range session, and not to expect a breakout scenario. In terms of trading philosophy, this may simply mean exchanging your 2 ATR trailing profit stops for fixed</w:t>
      </w:r>
      <w:r>
        <w:rPr>
          <w:spacing w:val="40"/>
        </w:rPr>
        <w:t> </w:t>
      </w:r>
      <w:r>
        <w:rPr/>
        <w:t>profit targets. Or, it could mean switching from market to limit orders.</w:t>
      </w:r>
    </w:p>
    <w:p>
      <w:pPr>
        <w:pStyle w:val="BodyText"/>
        <w:spacing w:before="1"/>
        <w:rPr>
          <w:sz w:val="20"/>
        </w:rPr>
      </w:pPr>
      <w:r>
        <w:rPr/>
        <w:drawing>
          <wp:anchor distT="0" distB="0" distL="0" distR="0" allowOverlap="1" layoutInCell="1" locked="0" behindDoc="0" simplePos="0" relativeHeight="89">
            <wp:simplePos x="0" y="0"/>
            <wp:positionH relativeFrom="page">
              <wp:posOffset>685800</wp:posOffset>
            </wp:positionH>
            <wp:positionV relativeFrom="paragraph">
              <wp:posOffset>162229</wp:posOffset>
            </wp:positionV>
            <wp:extent cx="4342904" cy="3103054"/>
            <wp:effectExtent l="0" t="0" r="0" b="0"/>
            <wp:wrapTopAndBottom/>
            <wp:docPr id="85" name="image44.png"/>
            <wp:cNvGraphicFramePr>
              <a:graphicFrameLocks noChangeAspect="1"/>
            </wp:cNvGraphicFramePr>
            <a:graphic>
              <a:graphicData uri="http://schemas.openxmlformats.org/drawingml/2006/picture">
                <pic:pic>
                  <pic:nvPicPr>
                    <pic:cNvPr id="86" name="image44.png"/>
                    <pic:cNvPicPr/>
                  </pic:nvPicPr>
                  <pic:blipFill>
                    <a:blip r:embed="rId110"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w:t>
      </w:r>
      <w:r>
        <w:rPr>
          <w:spacing w:val="9"/>
          <w:sz w:val="16"/>
        </w:rPr>
        <w:t> </w:t>
      </w:r>
      <w:r>
        <w:rPr>
          <w:sz w:val="16"/>
        </w:rPr>
        <w:t>4.11:</w:t>
      </w:r>
      <w:r>
        <w:rPr>
          <w:spacing w:val="10"/>
          <w:sz w:val="16"/>
        </w:rPr>
        <w:t> </w:t>
      </w:r>
      <w:r>
        <w:rPr>
          <w:sz w:val="16"/>
        </w:rPr>
        <w:t>Outside</w:t>
      </w:r>
      <w:r>
        <w:rPr>
          <w:spacing w:val="9"/>
          <w:sz w:val="16"/>
        </w:rPr>
        <w:t> </w:t>
      </w:r>
      <w:r>
        <w:rPr>
          <w:sz w:val="16"/>
        </w:rPr>
        <w:t>Value</w:t>
      </w:r>
      <w:r>
        <w:rPr>
          <w:spacing w:val="10"/>
          <w:sz w:val="16"/>
        </w:rPr>
        <w:t> </w:t>
      </w:r>
      <w:r>
        <w:rPr>
          <w:spacing w:val="-2"/>
          <w:sz w:val="16"/>
        </w:rPr>
        <w:t>relationship</w:t>
      </w:r>
    </w:p>
    <w:p>
      <w:pPr>
        <w:pStyle w:val="BodyText"/>
        <w:spacing w:before="9"/>
        <w:rPr>
          <w:sz w:val="21"/>
        </w:rPr>
      </w:pPr>
    </w:p>
    <w:p>
      <w:pPr>
        <w:pStyle w:val="BodyText"/>
        <w:ind w:left="500" w:right="135" w:firstLine="432"/>
        <w:jc w:val="both"/>
      </w:pPr>
      <w:r>
        <w:rPr/>
        <w:t>An</w:t>
      </w:r>
      <w:r>
        <w:rPr>
          <w:spacing w:val="-1"/>
        </w:rPr>
        <w:t> </w:t>
      </w:r>
      <w:r>
        <w:rPr/>
        <w:t>Inside</w:t>
      </w:r>
      <w:r>
        <w:rPr>
          <w:spacing w:val="-1"/>
        </w:rPr>
        <w:t> </w:t>
      </w:r>
      <w:r>
        <w:rPr/>
        <w:t>Value</w:t>
      </w:r>
      <w:r>
        <w:rPr>
          <w:spacing w:val="-1"/>
        </w:rPr>
        <w:t> </w:t>
      </w:r>
      <w:r>
        <w:rPr/>
        <w:t>relationship</w:t>
      </w:r>
      <w:r>
        <w:rPr>
          <w:spacing w:val="-1"/>
        </w:rPr>
        <w:t> </w:t>
      </w:r>
      <w:r>
        <w:rPr/>
        <w:t>occurs</w:t>
      </w:r>
      <w:r>
        <w:rPr>
          <w:spacing w:val="-1"/>
        </w:rPr>
        <w:t> </w:t>
      </w:r>
      <w:r>
        <w:rPr/>
        <w:t>when</w:t>
      </w:r>
      <w:r>
        <w:rPr>
          <w:spacing w:val="-1"/>
        </w:rPr>
        <w:t> </w:t>
      </w:r>
      <w:r>
        <w:rPr/>
        <w:t>the</w:t>
      </w:r>
      <w:r>
        <w:rPr>
          <w:spacing w:val="-1"/>
        </w:rPr>
        <w:t> </w:t>
      </w:r>
      <w:r>
        <w:rPr/>
        <w:t>current</w:t>
      </w:r>
      <w:r>
        <w:rPr>
          <w:spacing w:val="-2"/>
        </w:rPr>
        <w:t> </w:t>
      </w:r>
      <w:r>
        <w:rPr/>
        <w:t>day’s</w:t>
      </w:r>
      <w:r>
        <w:rPr>
          <w:spacing w:val="-2"/>
        </w:rPr>
        <w:t> </w:t>
      </w:r>
      <w:r>
        <w:rPr/>
        <w:t>value</w:t>
      </w:r>
      <w:r>
        <w:rPr>
          <w:spacing w:val="-1"/>
        </w:rPr>
        <w:t> </w:t>
      </w:r>
      <w:r>
        <w:rPr/>
        <w:t>area</w:t>
      </w:r>
      <w:r>
        <w:rPr>
          <w:spacing w:val="-1"/>
        </w:rPr>
        <w:t> </w:t>
      </w:r>
      <w:r>
        <w:rPr/>
        <w:t>is completely engulfed by the prior day’s value area. This relationship usually indicates quiet trading behavior prior to the current session, which is also a sign of low volatility. Unlike the outside value day when market participants are happily trading within a range, the inside day suggests the market was in balance, but is now on the verge of a big breakout opportunity, as market participants will likely seek new value. On a day when an inside value relationship appears, you are more likely to see an out of range and value opening relationship, as the market will usually open the day with a bang. This type of behavior usually leads to initiative participation that pushes</w:t>
      </w:r>
      <w:r>
        <w:rPr>
          <w:spacing w:val="40"/>
        </w:rPr>
        <w:t> </w:t>
      </w:r>
      <w:r>
        <w:rPr/>
        <w:t>price</w:t>
      </w:r>
      <w:r>
        <w:rPr>
          <w:spacing w:val="40"/>
        </w:rPr>
        <w:t> </w:t>
      </w:r>
      <w:r>
        <w:rPr/>
        <w:t>in</w:t>
      </w:r>
      <w:r>
        <w:rPr>
          <w:spacing w:val="41"/>
        </w:rPr>
        <w:t> </w:t>
      </w:r>
      <w:r>
        <w:rPr/>
        <w:t>the</w:t>
      </w:r>
      <w:r>
        <w:rPr>
          <w:spacing w:val="39"/>
        </w:rPr>
        <w:t> </w:t>
      </w:r>
      <w:r>
        <w:rPr/>
        <w:t>direction</w:t>
      </w:r>
      <w:r>
        <w:rPr>
          <w:spacing w:val="41"/>
        </w:rPr>
        <w:t> </w:t>
      </w:r>
      <w:r>
        <w:rPr/>
        <w:t>of</w:t>
      </w:r>
      <w:r>
        <w:rPr>
          <w:spacing w:val="39"/>
        </w:rPr>
        <w:t> </w:t>
      </w:r>
      <w:r>
        <w:rPr/>
        <w:t>the</w:t>
      </w:r>
      <w:r>
        <w:rPr>
          <w:spacing w:val="41"/>
        </w:rPr>
        <w:t> </w:t>
      </w:r>
      <w:r>
        <w:rPr/>
        <w:t>break,</w:t>
      </w:r>
      <w:r>
        <w:rPr>
          <w:spacing w:val="40"/>
        </w:rPr>
        <w:t> </w:t>
      </w:r>
      <w:r>
        <w:rPr/>
        <w:t>creating</w:t>
      </w:r>
      <w:r>
        <w:rPr>
          <w:spacing w:val="41"/>
        </w:rPr>
        <w:t> </w:t>
      </w:r>
      <w:r>
        <w:rPr/>
        <w:t>the</w:t>
      </w:r>
      <w:r>
        <w:rPr>
          <w:spacing w:val="40"/>
        </w:rPr>
        <w:t> </w:t>
      </w:r>
      <w:r>
        <w:rPr/>
        <w:t>makings</w:t>
      </w:r>
      <w:r>
        <w:rPr>
          <w:spacing w:val="40"/>
        </w:rPr>
        <w:t> </w:t>
      </w:r>
      <w:r>
        <w:rPr/>
        <w:t>of</w:t>
      </w:r>
      <w:r>
        <w:rPr>
          <w:spacing w:val="40"/>
        </w:rPr>
        <w:t> </w:t>
      </w:r>
      <w:r>
        <w:rPr/>
        <w:t>a</w:t>
      </w:r>
      <w:r>
        <w:rPr>
          <w:spacing w:val="41"/>
        </w:rPr>
        <w:t> </w:t>
      </w:r>
      <w:r>
        <w:rPr/>
        <w:t>Trend</w:t>
      </w:r>
      <w:r>
        <w:rPr>
          <w:spacing w:val="40"/>
        </w:rPr>
        <w:t> </w:t>
      </w:r>
      <w:r>
        <w:rPr>
          <w:spacing w:val="-5"/>
        </w:rPr>
        <w:t>Day</w:t>
      </w:r>
    </w:p>
    <w:p>
      <w:pPr>
        <w:pStyle w:val="BodyText"/>
        <w:tabs>
          <w:tab w:pos="7369" w:val="left" w:leader="none"/>
        </w:tabs>
        <w:ind w:left="470"/>
        <w:jc w:val="both"/>
      </w:pPr>
      <w:r>
        <w:rPr>
          <w:spacing w:val="-26"/>
          <w:u w:val="single"/>
        </w:rPr>
        <w:t> </w:t>
      </w:r>
      <w:r>
        <w:rPr>
          <w:spacing w:val="-2"/>
          <w:u w:val="single"/>
        </w:rPr>
        <w:t>scenario.</w:t>
      </w:r>
      <w:r>
        <w:rPr>
          <w:u w:val="single"/>
        </w:rPr>
        <w:tab/>
      </w:r>
    </w:p>
    <w:p>
      <w:pPr>
        <w:spacing w:after="0"/>
        <w:jc w:val="both"/>
        <w:sectPr>
          <w:headerReference w:type="default" r:id="rId106"/>
          <w:headerReference w:type="even" r:id="rId107"/>
          <w:footerReference w:type="default" r:id="rId108"/>
          <w:footerReference w:type="even" r:id="rId109"/>
          <w:pgSz w:w="8640" w:h="12960"/>
          <w:pgMar w:header="536" w:footer="985" w:top="720" w:bottom="1180" w:left="580" w:right="580"/>
          <w:pgNumType w:start="87"/>
        </w:sectPr>
      </w:pPr>
    </w:p>
    <w:p>
      <w:pPr>
        <w:pStyle w:val="BodyText"/>
        <w:rPr>
          <w:sz w:val="20"/>
        </w:rPr>
      </w:pPr>
    </w:p>
    <w:p>
      <w:pPr>
        <w:pStyle w:val="BodyText"/>
        <w:spacing w:before="8"/>
        <w:rPr>
          <w:sz w:val="20"/>
        </w:rPr>
      </w:pPr>
    </w:p>
    <w:p>
      <w:pPr>
        <w:spacing w:before="63"/>
        <w:ind w:left="556" w:right="224" w:hanging="317"/>
        <w:jc w:val="left"/>
        <w:rPr>
          <w:i/>
          <w:sz w:val="22"/>
        </w:rPr>
      </w:pPr>
      <w:r>
        <w:rPr>
          <w:i/>
          <w:sz w:val="22"/>
        </w:rPr>
        <w:t>The</w:t>
      </w:r>
      <w:r>
        <w:rPr>
          <w:i/>
          <w:spacing w:val="-4"/>
          <w:sz w:val="22"/>
        </w:rPr>
        <w:t> </w:t>
      </w:r>
      <w:r>
        <w:rPr>
          <w:i/>
          <w:sz w:val="22"/>
        </w:rPr>
        <w:t>Inside</w:t>
      </w:r>
      <w:r>
        <w:rPr>
          <w:i/>
          <w:spacing w:val="-5"/>
          <w:sz w:val="22"/>
        </w:rPr>
        <w:t> </w:t>
      </w:r>
      <w:r>
        <w:rPr>
          <w:i/>
          <w:sz w:val="22"/>
        </w:rPr>
        <w:t>Value</w:t>
      </w:r>
      <w:r>
        <w:rPr>
          <w:i/>
          <w:spacing w:val="-4"/>
          <w:sz w:val="22"/>
        </w:rPr>
        <w:t> </w:t>
      </w:r>
      <w:r>
        <w:rPr>
          <w:i/>
          <w:sz w:val="22"/>
        </w:rPr>
        <w:t>relationship</w:t>
      </w:r>
      <w:r>
        <w:rPr>
          <w:i/>
          <w:spacing w:val="-4"/>
          <w:sz w:val="22"/>
        </w:rPr>
        <w:t> </w:t>
      </w:r>
      <w:r>
        <w:rPr>
          <w:i/>
          <w:sz w:val="22"/>
        </w:rPr>
        <w:t>can</w:t>
      </w:r>
      <w:r>
        <w:rPr>
          <w:i/>
          <w:spacing w:val="-4"/>
          <w:sz w:val="22"/>
        </w:rPr>
        <w:t> </w:t>
      </w:r>
      <w:r>
        <w:rPr>
          <w:i/>
          <w:sz w:val="22"/>
        </w:rPr>
        <w:t>trigger</w:t>
      </w:r>
      <w:r>
        <w:rPr>
          <w:i/>
          <w:spacing w:val="-4"/>
          <w:sz w:val="22"/>
        </w:rPr>
        <w:t> </w:t>
      </w:r>
      <w:r>
        <w:rPr>
          <w:i/>
          <w:sz w:val="22"/>
        </w:rPr>
        <w:t>some</w:t>
      </w:r>
      <w:r>
        <w:rPr>
          <w:i/>
          <w:spacing w:val="-5"/>
          <w:sz w:val="22"/>
        </w:rPr>
        <w:t> </w:t>
      </w:r>
      <w:r>
        <w:rPr>
          <w:i/>
          <w:sz w:val="22"/>
        </w:rPr>
        <w:t>of</w:t>
      </w:r>
      <w:r>
        <w:rPr>
          <w:i/>
          <w:spacing w:val="-4"/>
          <w:sz w:val="22"/>
        </w:rPr>
        <w:t> </w:t>
      </w:r>
      <w:r>
        <w:rPr>
          <w:i/>
          <w:sz w:val="22"/>
        </w:rPr>
        <w:t>the</w:t>
      </w:r>
      <w:r>
        <w:rPr>
          <w:i/>
          <w:spacing w:val="-4"/>
          <w:sz w:val="22"/>
        </w:rPr>
        <w:t> </w:t>
      </w:r>
      <w:r>
        <w:rPr>
          <w:i/>
          <w:sz w:val="22"/>
        </w:rPr>
        <w:t>biggest</w:t>
      </w:r>
      <w:r>
        <w:rPr>
          <w:i/>
          <w:spacing w:val="-4"/>
          <w:sz w:val="22"/>
        </w:rPr>
        <w:t> </w:t>
      </w:r>
      <w:r>
        <w:rPr>
          <w:i/>
          <w:sz w:val="22"/>
        </w:rPr>
        <w:t>breakouts</w:t>
      </w:r>
      <w:r>
        <w:rPr>
          <w:i/>
          <w:spacing w:val="-4"/>
          <w:sz w:val="22"/>
        </w:rPr>
        <w:t> </w:t>
      </w:r>
      <w:r>
        <w:rPr>
          <w:i/>
          <w:sz w:val="22"/>
        </w:rPr>
        <w:t>the</w:t>
      </w:r>
      <w:r>
        <w:rPr>
          <w:i/>
          <w:sz w:val="22"/>
        </w:rPr>
        <w:t> market can offer. It pays to know when this relationship has formed.</w:t>
      </w:r>
    </w:p>
    <w:p>
      <w:pPr>
        <w:pStyle w:val="BodyText"/>
        <w:spacing w:before="9"/>
        <w:rPr>
          <w:i/>
          <w:sz w:val="21"/>
        </w:rPr>
      </w:pPr>
    </w:p>
    <w:p>
      <w:pPr>
        <w:pStyle w:val="BodyText"/>
        <w:ind w:left="139" w:right="497" w:firstLine="432"/>
        <w:jc w:val="both"/>
      </w:pPr>
      <w:r>
        <w:rPr/>
        <w:t>The Inside Value relationship is usually a precursor to the out of value and range opening relationship, which we know to be extremely powerful. However, unlike the opening relationship, which requires you to wait for the opening price the next day, you can be alerted to a potentially big day by simply observing that the following session will be an inside day</w:t>
      </w:r>
      <w:r>
        <w:rPr>
          <w:spacing w:val="80"/>
        </w:rPr>
        <w:t> </w:t>
      </w:r>
      <w:r>
        <w:rPr>
          <w:spacing w:val="-2"/>
        </w:rPr>
        <w:t>relationship.</w:t>
      </w:r>
    </w:p>
    <w:p>
      <w:pPr>
        <w:pStyle w:val="BodyText"/>
        <w:ind w:left="139" w:right="496" w:firstLine="432"/>
        <w:jc w:val="both"/>
      </w:pPr>
      <w:r>
        <w:rPr/>
        <w:t>Let’s take a look at Figure 4.12, which shows two Inside Value relationships in the five-minute chart of the YM futures contract. Remember, just the fact that the current value area is confined within the range of the prior day’s value area indicates the potential for a breakout opportunity. The best-case scenario for a breakout opportunity occurs when price opens the session beyond the prior day’s range. In this case, both sessions, February 2 and 4, offered this opening print scenario, which confirmed both Trend Day types. Of course, the inside day setup is not fool proof and does not work perfectly every time, but understanding the relationship and its implications will keep you prepared for every potential outcome.</w:t>
      </w:r>
    </w:p>
    <w:p>
      <w:pPr>
        <w:pStyle w:val="BodyText"/>
        <w:spacing w:before="2"/>
        <w:rPr>
          <w:sz w:val="20"/>
        </w:rPr>
      </w:pPr>
      <w:r>
        <w:rPr/>
        <w:drawing>
          <wp:anchor distT="0" distB="0" distL="0" distR="0" allowOverlap="1" layoutInCell="1" locked="0" behindDoc="0" simplePos="0" relativeHeight="90">
            <wp:simplePos x="0" y="0"/>
            <wp:positionH relativeFrom="page">
              <wp:posOffset>457200</wp:posOffset>
            </wp:positionH>
            <wp:positionV relativeFrom="paragraph">
              <wp:posOffset>162759</wp:posOffset>
            </wp:positionV>
            <wp:extent cx="4342904" cy="3103054"/>
            <wp:effectExtent l="0" t="0" r="0" b="0"/>
            <wp:wrapTopAndBottom/>
            <wp:docPr id="87" name="image45.png"/>
            <wp:cNvGraphicFramePr>
              <a:graphicFrameLocks noChangeAspect="1"/>
            </wp:cNvGraphicFramePr>
            <a:graphic>
              <a:graphicData uri="http://schemas.openxmlformats.org/drawingml/2006/picture">
                <pic:pic>
                  <pic:nvPicPr>
                    <pic:cNvPr id="88" name="image45.png"/>
                    <pic:cNvPicPr/>
                  </pic:nvPicPr>
                  <pic:blipFill>
                    <a:blip r:embed="rId111" cstate="print"/>
                    <a:stretch>
                      <a:fillRect/>
                    </a:stretch>
                  </pic:blipFill>
                  <pic:spPr>
                    <a:xfrm>
                      <a:off x="0" y="0"/>
                      <a:ext cx="4342904" cy="3103054"/>
                    </a:xfrm>
                    <a:prstGeom prst="rect">
                      <a:avLst/>
                    </a:prstGeom>
                  </pic:spPr>
                </pic:pic>
              </a:graphicData>
            </a:graphic>
          </wp:anchor>
        </w:drawing>
      </w:r>
    </w:p>
    <w:p>
      <w:pPr>
        <w:spacing w:before="0"/>
        <w:ind w:left="140" w:right="0" w:firstLine="0"/>
        <w:jc w:val="left"/>
        <w:rPr>
          <w:sz w:val="16"/>
        </w:rPr>
      </w:pPr>
      <w:r>
        <w:rPr>
          <w:sz w:val="16"/>
        </w:rPr>
        <w:t>FIGURE</w:t>
      </w:r>
      <w:r>
        <w:rPr>
          <w:spacing w:val="8"/>
          <w:sz w:val="16"/>
        </w:rPr>
        <w:t> </w:t>
      </w:r>
      <w:r>
        <w:rPr>
          <w:sz w:val="16"/>
        </w:rPr>
        <w:t>4.12:</w:t>
      </w:r>
      <w:r>
        <w:rPr>
          <w:spacing w:val="9"/>
          <w:sz w:val="16"/>
        </w:rPr>
        <w:t> </w:t>
      </w:r>
      <w:r>
        <w:rPr>
          <w:sz w:val="16"/>
        </w:rPr>
        <w:t>Inside</w:t>
      </w:r>
      <w:r>
        <w:rPr>
          <w:spacing w:val="8"/>
          <w:sz w:val="16"/>
        </w:rPr>
        <w:t> </w:t>
      </w:r>
      <w:r>
        <w:rPr>
          <w:sz w:val="16"/>
        </w:rPr>
        <w:t>Value</w:t>
      </w:r>
      <w:r>
        <w:rPr>
          <w:spacing w:val="9"/>
          <w:sz w:val="16"/>
        </w:rPr>
        <w:t> </w:t>
      </w:r>
      <w:r>
        <w:rPr>
          <w:spacing w:val="-2"/>
          <w:sz w:val="16"/>
        </w:rPr>
        <w:t>relationship</w:t>
      </w:r>
    </w:p>
    <w:p>
      <w:pPr>
        <w:spacing w:after="0"/>
        <w:jc w:val="left"/>
        <w:rPr>
          <w:sz w:val="16"/>
        </w:rPr>
        <w:sectPr>
          <w:pgSz w:w="8640" w:h="12960"/>
          <w:pgMar w:header="579" w:footer="1060" w:top="760" w:bottom="1260" w:left="580" w:right="580"/>
        </w:sectPr>
      </w:pPr>
    </w:p>
    <w:p>
      <w:pPr>
        <w:pStyle w:val="BodyText"/>
        <w:spacing w:before="3"/>
      </w:pPr>
    </w:p>
    <w:p>
      <w:pPr>
        <w:pStyle w:val="BodyText"/>
        <w:spacing w:before="64"/>
        <w:ind w:left="500"/>
        <w:jc w:val="both"/>
      </w:pPr>
      <w:r>
        <w:rPr/>
        <w:t>BOSS</w:t>
      </w:r>
      <w:r>
        <w:rPr>
          <w:spacing w:val="-5"/>
        </w:rPr>
        <w:t> </w:t>
      </w:r>
      <w:r>
        <w:rPr/>
        <w:t>IN</w:t>
      </w:r>
      <w:r>
        <w:rPr>
          <w:spacing w:val="-5"/>
        </w:rPr>
        <w:t> </w:t>
      </w:r>
      <w:r>
        <w:rPr>
          <w:spacing w:val="-2"/>
        </w:rPr>
        <w:t>ACTION</w:t>
      </w:r>
    </w:p>
    <w:p>
      <w:pPr>
        <w:pStyle w:val="BodyText"/>
      </w:pPr>
    </w:p>
    <w:p>
      <w:pPr>
        <w:pStyle w:val="BodyText"/>
        <w:ind w:left="499" w:right="136" w:firstLine="432"/>
        <w:jc w:val="both"/>
      </w:pPr>
      <w:r>
        <w:rPr/>
        <w:t>The Inside Value relationship can be a precursor to big moves in the market. As such, I like to be prepared and understand which days will have this setup </w:t>
      </w:r>
      <w:r>
        <w:rPr>
          <w:i/>
        </w:rPr>
        <w:t>before </w:t>
      </w:r>
      <w:r>
        <w:rPr/>
        <w:t>the market opens. The way I perform this function is by plotting the developing value area alongside the static value area. Keep in mind that the static value area plots the current day’s levels, while the developing value area’s ending values will become the static levels for the next session.</w:t>
      </w:r>
    </w:p>
    <w:p>
      <w:pPr>
        <w:pStyle w:val="BodyText"/>
        <w:ind w:left="500" w:right="136" w:firstLine="432"/>
        <w:jc w:val="both"/>
      </w:pPr>
      <w:r>
        <w:rPr/>
        <w:t>Let’s take a look at Figure 4.13 to clarify this important point. Notice that this chart of Crude Oil has two sets of lines plotted, the static and developing Money Zone levels. The dynamically updating developing levels show that by session’s end, both the upper and lower lines are </w:t>
      </w:r>
      <w:r>
        <w:rPr>
          <w:i/>
        </w:rPr>
        <w:t>within </w:t>
      </w:r>
      <w:r>
        <w:rPr/>
        <w:t>the day’s static value area. This means the following session will have an inside value relationship and provide the potential for a big breakout opportunity.</w:t>
      </w:r>
    </w:p>
    <w:p>
      <w:pPr>
        <w:pStyle w:val="BodyText"/>
        <w:spacing w:before="1"/>
        <w:rPr>
          <w:sz w:val="20"/>
        </w:rPr>
      </w:pPr>
      <w:r>
        <w:rPr/>
        <w:drawing>
          <wp:anchor distT="0" distB="0" distL="0" distR="0" allowOverlap="1" layoutInCell="1" locked="0" behindDoc="0" simplePos="0" relativeHeight="91">
            <wp:simplePos x="0" y="0"/>
            <wp:positionH relativeFrom="page">
              <wp:posOffset>685800</wp:posOffset>
            </wp:positionH>
            <wp:positionV relativeFrom="paragraph">
              <wp:posOffset>162452</wp:posOffset>
            </wp:positionV>
            <wp:extent cx="4342904" cy="3103054"/>
            <wp:effectExtent l="0" t="0" r="0" b="0"/>
            <wp:wrapTopAndBottom/>
            <wp:docPr id="89" name="image46.png"/>
            <wp:cNvGraphicFramePr>
              <a:graphicFrameLocks noChangeAspect="1"/>
            </wp:cNvGraphicFramePr>
            <a:graphic>
              <a:graphicData uri="http://schemas.openxmlformats.org/drawingml/2006/picture">
                <pic:pic>
                  <pic:nvPicPr>
                    <pic:cNvPr id="90" name="image46.png"/>
                    <pic:cNvPicPr/>
                  </pic:nvPicPr>
                  <pic:blipFill>
                    <a:blip r:embed="rId112"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 4.13:</w:t>
      </w:r>
      <w:r>
        <w:rPr>
          <w:spacing w:val="1"/>
          <w:sz w:val="16"/>
        </w:rPr>
        <w:t> </w:t>
      </w:r>
      <w:r>
        <w:rPr>
          <w:sz w:val="16"/>
        </w:rPr>
        <w:t>Deciphering</w:t>
      </w:r>
      <w:r>
        <w:rPr>
          <w:spacing w:val="1"/>
          <w:sz w:val="16"/>
        </w:rPr>
        <w:t> </w:t>
      </w:r>
      <w:r>
        <w:rPr>
          <w:sz w:val="16"/>
        </w:rPr>
        <w:t>the</w:t>
      </w:r>
      <w:r>
        <w:rPr>
          <w:spacing w:val="1"/>
          <w:sz w:val="16"/>
        </w:rPr>
        <w:t> </w:t>
      </w:r>
      <w:r>
        <w:rPr>
          <w:sz w:val="16"/>
        </w:rPr>
        <w:t>Inside Value</w:t>
      </w:r>
      <w:r>
        <w:rPr>
          <w:spacing w:val="2"/>
          <w:sz w:val="16"/>
        </w:rPr>
        <w:t> </w:t>
      </w:r>
      <w:r>
        <w:rPr>
          <w:sz w:val="16"/>
        </w:rPr>
        <w:t>relationship</w:t>
      </w:r>
      <w:r>
        <w:rPr>
          <w:spacing w:val="1"/>
          <w:sz w:val="16"/>
        </w:rPr>
        <w:t> </w:t>
      </w:r>
      <w:r>
        <w:rPr>
          <w:sz w:val="16"/>
        </w:rPr>
        <w:t>using</w:t>
      </w:r>
      <w:r>
        <w:rPr>
          <w:spacing w:val="1"/>
          <w:sz w:val="16"/>
        </w:rPr>
        <w:t> </w:t>
      </w:r>
      <w:r>
        <w:rPr>
          <w:sz w:val="16"/>
        </w:rPr>
        <w:t>the</w:t>
      </w:r>
      <w:r>
        <w:rPr>
          <w:spacing w:val="1"/>
          <w:sz w:val="16"/>
        </w:rPr>
        <w:t> </w:t>
      </w:r>
      <w:r>
        <w:rPr>
          <w:sz w:val="16"/>
        </w:rPr>
        <w:t>developing value</w:t>
      </w:r>
      <w:r>
        <w:rPr>
          <w:spacing w:val="1"/>
          <w:sz w:val="16"/>
        </w:rPr>
        <w:t> </w:t>
      </w:r>
      <w:r>
        <w:rPr>
          <w:spacing w:val="-4"/>
          <w:sz w:val="16"/>
        </w:rPr>
        <w:t>area</w:t>
      </w:r>
    </w:p>
    <w:p>
      <w:pPr>
        <w:pStyle w:val="BodyText"/>
        <w:spacing w:before="9"/>
        <w:rPr>
          <w:sz w:val="21"/>
        </w:rPr>
      </w:pPr>
    </w:p>
    <w:p>
      <w:pPr>
        <w:pStyle w:val="BodyText"/>
        <w:ind w:left="499" w:right="137" w:firstLine="432"/>
        <w:jc w:val="both"/>
      </w:pPr>
      <w:r>
        <w:rPr/>
        <w:t>Of course, knowing that the following day may result in a Trend Day scenario allows me to prepare accordingly, both mentally and strategically. The mental preparation involves switching from a short-term oriented trader to</w:t>
      </w:r>
      <w:r>
        <w:rPr>
          <w:spacing w:val="6"/>
        </w:rPr>
        <w:t> </w:t>
      </w:r>
      <w:r>
        <w:rPr/>
        <w:t>a</w:t>
      </w:r>
      <w:r>
        <w:rPr>
          <w:spacing w:val="7"/>
        </w:rPr>
        <w:t> </w:t>
      </w:r>
      <w:r>
        <w:rPr/>
        <w:t>“let</w:t>
      </w:r>
      <w:r>
        <w:rPr>
          <w:spacing w:val="7"/>
        </w:rPr>
        <w:t> </w:t>
      </w:r>
      <w:r>
        <w:rPr/>
        <w:t>it</w:t>
      </w:r>
      <w:r>
        <w:rPr>
          <w:spacing w:val="7"/>
        </w:rPr>
        <w:t> </w:t>
      </w:r>
      <w:r>
        <w:rPr/>
        <w:t>ride”</w:t>
      </w:r>
      <w:r>
        <w:rPr>
          <w:spacing w:val="7"/>
        </w:rPr>
        <w:t> </w:t>
      </w:r>
      <w:r>
        <w:rPr/>
        <w:t>type</w:t>
      </w:r>
      <w:r>
        <w:rPr>
          <w:spacing w:val="7"/>
        </w:rPr>
        <w:t> </w:t>
      </w:r>
      <w:r>
        <w:rPr/>
        <w:t>of</w:t>
      </w:r>
      <w:r>
        <w:rPr>
          <w:spacing w:val="6"/>
        </w:rPr>
        <w:t> </w:t>
      </w:r>
      <w:r>
        <w:rPr/>
        <w:t>persona.</w:t>
      </w:r>
      <w:r>
        <w:rPr>
          <w:spacing w:val="7"/>
        </w:rPr>
        <w:t> </w:t>
      </w:r>
      <w:r>
        <w:rPr/>
        <w:t>Remember,</w:t>
      </w:r>
      <w:r>
        <w:rPr>
          <w:spacing w:val="7"/>
        </w:rPr>
        <w:t> </w:t>
      </w:r>
      <w:r>
        <w:rPr/>
        <w:t>catching</w:t>
      </w:r>
      <w:r>
        <w:rPr>
          <w:spacing w:val="7"/>
        </w:rPr>
        <w:t> </w:t>
      </w:r>
      <w:r>
        <w:rPr/>
        <w:t>a</w:t>
      </w:r>
      <w:r>
        <w:rPr>
          <w:spacing w:val="7"/>
        </w:rPr>
        <w:t> </w:t>
      </w:r>
      <w:r>
        <w:rPr/>
        <w:t>ride</w:t>
      </w:r>
      <w:r>
        <w:rPr>
          <w:spacing w:val="7"/>
        </w:rPr>
        <w:t> </w:t>
      </w:r>
      <w:r>
        <w:rPr/>
        <w:t>on</w:t>
      </w:r>
      <w:r>
        <w:rPr>
          <w:spacing w:val="6"/>
        </w:rPr>
        <w:t> </w:t>
      </w:r>
      <w:r>
        <w:rPr/>
        <w:t>a</w:t>
      </w:r>
      <w:r>
        <w:rPr>
          <w:spacing w:val="8"/>
        </w:rPr>
        <w:t> </w:t>
      </w:r>
      <w:r>
        <w:rPr/>
        <w:t>Trend</w:t>
      </w:r>
      <w:r>
        <w:rPr>
          <w:spacing w:val="7"/>
        </w:rPr>
        <w:t> </w:t>
      </w:r>
      <w:r>
        <w:rPr>
          <w:spacing w:val="-5"/>
        </w:rPr>
        <w:t>Day</w:t>
      </w:r>
    </w:p>
    <w:p>
      <w:pPr>
        <w:pStyle w:val="BodyText"/>
        <w:spacing w:line="253" w:lineRule="exact"/>
        <w:ind w:left="470"/>
        <w:jc w:val="both"/>
      </w:pPr>
      <w:r>
        <w:rPr>
          <w:spacing w:val="-26"/>
          <w:u w:val="single"/>
        </w:rPr>
        <w:t> </w:t>
      </w:r>
      <w:r>
        <w:rPr>
          <w:u w:val="single"/>
        </w:rPr>
        <w:t>can</w:t>
      </w:r>
      <w:r>
        <w:rPr>
          <w:spacing w:val="43"/>
          <w:u w:val="single"/>
        </w:rPr>
        <w:t> </w:t>
      </w:r>
      <w:r>
        <w:rPr>
          <w:u w:val="single"/>
        </w:rPr>
        <w:t>make</w:t>
      </w:r>
      <w:r>
        <w:rPr>
          <w:spacing w:val="44"/>
          <w:u w:val="single"/>
        </w:rPr>
        <w:t> </w:t>
      </w:r>
      <w:r>
        <w:rPr>
          <w:u w:val="single"/>
        </w:rPr>
        <w:t>or</w:t>
      </w:r>
      <w:r>
        <w:rPr>
          <w:spacing w:val="45"/>
          <w:u w:val="single"/>
        </w:rPr>
        <w:t> </w:t>
      </w:r>
      <w:r>
        <w:rPr>
          <w:u w:val="single"/>
        </w:rPr>
        <w:t>break</w:t>
      </w:r>
      <w:r>
        <w:rPr>
          <w:spacing w:val="44"/>
          <w:u w:val="single"/>
        </w:rPr>
        <w:t> </w:t>
      </w:r>
      <w:r>
        <w:rPr>
          <w:u w:val="single"/>
        </w:rPr>
        <w:t>your</w:t>
      </w:r>
      <w:r>
        <w:rPr>
          <w:spacing w:val="43"/>
          <w:u w:val="single"/>
        </w:rPr>
        <w:t> </w:t>
      </w:r>
      <w:r>
        <w:rPr>
          <w:u w:val="single"/>
        </w:rPr>
        <w:t>month;</w:t>
      </w:r>
      <w:r>
        <w:rPr>
          <w:spacing w:val="44"/>
          <w:u w:val="single"/>
        </w:rPr>
        <w:t> </w:t>
      </w:r>
      <w:r>
        <w:rPr>
          <w:u w:val="single"/>
        </w:rPr>
        <w:t>therefore,</w:t>
      </w:r>
      <w:r>
        <w:rPr>
          <w:spacing w:val="43"/>
          <w:u w:val="single"/>
        </w:rPr>
        <w:t> </w:t>
      </w:r>
      <w:r>
        <w:rPr>
          <w:u w:val="single"/>
        </w:rPr>
        <w:t>it</w:t>
      </w:r>
      <w:r>
        <w:rPr>
          <w:spacing w:val="44"/>
          <w:u w:val="single"/>
        </w:rPr>
        <w:t> </w:t>
      </w:r>
      <w:r>
        <w:rPr>
          <w:u w:val="single"/>
        </w:rPr>
        <w:t>is</w:t>
      </w:r>
      <w:r>
        <w:rPr>
          <w:spacing w:val="44"/>
          <w:u w:val="single"/>
        </w:rPr>
        <w:t> </w:t>
      </w:r>
      <w:r>
        <w:rPr>
          <w:u w:val="single"/>
        </w:rPr>
        <w:t>important</w:t>
      </w:r>
      <w:r>
        <w:rPr>
          <w:spacing w:val="44"/>
          <w:u w:val="single"/>
        </w:rPr>
        <w:t> </w:t>
      </w:r>
      <w:r>
        <w:rPr>
          <w:u w:val="single"/>
        </w:rPr>
        <w:t>to</w:t>
      </w:r>
      <w:r>
        <w:rPr>
          <w:spacing w:val="44"/>
          <w:u w:val="single"/>
        </w:rPr>
        <w:t> </w:t>
      </w:r>
      <w:r>
        <w:rPr>
          <w:u w:val="single"/>
        </w:rPr>
        <w:t>switch</w:t>
      </w:r>
      <w:r>
        <w:rPr>
          <w:spacing w:val="44"/>
          <w:u w:val="single"/>
        </w:rPr>
        <w:t> </w:t>
      </w:r>
      <w:r>
        <w:rPr>
          <w:spacing w:val="-4"/>
          <w:u w:val="single"/>
        </w:rPr>
        <w:t>your</w:t>
      </w:r>
    </w:p>
    <w:p>
      <w:pPr>
        <w:spacing w:after="0" w:line="253" w:lineRule="exact"/>
        <w:jc w:val="both"/>
        <w:sectPr>
          <w:pgSz w:w="8640" w:h="12960"/>
          <w:pgMar w:header="536" w:footer="985" w:top="720" w:bottom="1180" w:left="580" w:right="580"/>
        </w:sectPr>
      </w:pPr>
    </w:p>
    <w:p>
      <w:pPr>
        <w:pStyle w:val="BodyText"/>
        <w:spacing w:before="5"/>
        <w:rPr>
          <w:sz w:val="18"/>
        </w:rPr>
      </w:pPr>
    </w:p>
    <w:p>
      <w:pPr>
        <w:pStyle w:val="BodyText"/>
        <w:spacing w:before="64"/>
        <w:ind w:left="140" w:right="497"/>
        <w:jc w:val="both"/>
      </w:pPr>
      <w:r>
        <w:rPr/>
        <w:t>mentality from one that is “take what you got” to “take what you can.” Strategically speaking, you will switch your focus from profit targets to wide trailing profit stops. If you are really confident in the day’s action, you can use a Market on Close (MOC) exit, which will basically get you out of the trade</w:t>
      </w:r>
      <w:r>
        <w:rPr>
          <w:spacing w:val="-3"/>
        </w:rPr>
        <w:t> </w:t>
      </w:r>
      <w:r>
        <w:rPr/>
        <w:t>when</w:t>
      </w:r>
      <w:r>
        <w:rPr>
          <w:spacing w:val="-4"/>
        </w:rPr>
        <w:t> </w:t>
      </w:r>
      <w:r>
        <w:rPr/>
        <w:t>the</w:t>
      </w:r>
      <w:r>
        <w:rPr>
          <w:spacing w:val="-3"/>
        </w:rPr>
        <w:t> </w:t>
      </w:r>
      <w:r>
        <w:rPr/>
        <w:t>session</w:t>
      </w:r>
      <w:r>
        <w:rPr>
          <w:spacing w:val="-4"/>
        </w:rPr>
        <w:t> </w:t>
      </w:r>
      <w:r>
        <w:rPr/>
        <w:t>closes,</w:t>
      </w:r>
      <w:r>
        <w:rPr>
          <w:spacing w:val="-3"/>
        </w:rPr>
        <w:t> </w:t>
      </w:r>
      <w:r>
        <w:rPr/>
        <w:t>since</w:t>
      </w:r>
      <w:r>
        <w:rPr>
          <w:spacing w:val="-4"/>
        </w:rPr>
        <w:t> </w:t>
      </w:r>
      <w:r>
        <w:rPr/>
        <w:t>the</w:t>
      </w:r>
      <w:r>
        <w:rPr>
          <w:spacing w:val="-2"/>
        </w:rPr>
        <w:t> </w:t>
      </w:r>
      <w:r>
        <w:rPr/>
        <w:t>biggest</w:t>
      </w:r>
      <w:r>
        <w:rPr>
          <w:spacing w:val="-3"/>
        </w:rPr>
        <w:t> </w:t>
      </w:r>
      <w:r>
        <w:rPr/>
        <w:t>Trend</w:t>
      </w:r>
      <w:r>
        <w:rPr>
          <w:spacing w:val="-5"/>
        </w:rPr>
        <w:t> </w:t>
      </w:r>
      <w:r>
        <w:rPr/>
        <w:t>Days</w:t>
      </w:r>
      <w:r>
        <w:rPr>
          <w:spacing w:val="-4"/>
        </w:rPr>
        <w:t> </w:t>
      </w:r>
      <w:r>
        <w:rPr/>
        <w:t>will</w:t>
      </w:r>
      <w:r>
        <w:rPr>
          <w:spacing w:val="-4"/>
        </w:rPr>
        <w:t> </w:t>
      </w:r>
      <w:r>
        <w:rPr/>
        <w:t>usually</w:t>
      </w:r>
      <w:r>
        <w:rPr>
          <w:spacing w:val="-3"/>
        </w:rPr>
        <w:t> </w:t>
      </w:r>
      <w:r>
        <w:rPr/>
        <w:t>close at the day’s extreme. In the software I use, OmniTrader and VisualTrader, there is a trade session boundary stop, which allows you to exit your trade a specified number of minutes before the close. This type of stop is essential</w:t>
      </w:r>
      <w:r>
        <w:rPr>
          <w:spacing w:val="40"/>
        </w:rPr>
        <w:t> </w:t>
      </w:r>
      <w:r>
        <w:rPr/>
        <w:t>for most styles of intraday trading.</w:t>
      </w:r>
    </w:p>
    <w:p>
      <w:pPr>
        <w:pStyle w:val="BodyText"/>
        <w:ind w:left="140" w:right="495" w:firstLine="432"/>
        <w:jc w:val="both"/>
      </w:pPr>
      <w:r>
        <w:rPr/>
        <w:t>Let’s examine Figure 4.14, which is the actual breakout day in our</w:t>
      </w:r>
      <w:r>
        <w:rPr>
          <w:spacing w:val="40"/>
        </w:rPr>
        <w:t> </w:t>
      </w:r>
      <w:r>
        <w:rPr/>
        <w:t>Crude Oil chart. When I see that the following session will have an inside value relationship, it is my hope that the opening print will occur beyond the prior day’s range. Remember, an open price that occurs beyond range and value indicates that sentiment has significantly shifted overnight and market participants are eagerly seeking new value, which embodies what a breakout day is all about. Our Crude Oil chart shows that the opening print did indeed occur beyond the prior day’s range and value, which falls right in line with our best-case scenario. I will usually let the first five to fifteen minutes play out to make sure the market is able to sustain the early momentum. In this case, two consecutive higher closings in the five-minute bar timeframe were enough to trigger a long entry with stops below the day’s lows. However, if the market opens out of range and value, but immediately retraces for a test back within the prior session’s range, the market may be looking to affirm that it is ready to leave prior price levels and seek new value.</w:t>
      </w:r>
    </w:p>
    <w:p>
      <w:pPr>
        <w:pStyle w:val="BodyText"/>
        <w:spacing w:before="1"/>
        <w:ind w:left="140" w:right="495" w:firstLine="432"/>
        <w:jc w:val="both"/>
      </w:pPr>
      <w:r>
        <w:rPr/>
        <w:t>There are many different trade management methodologies that can be used for this particular setup, including partial exits and profit targets, but it</w:t>
      </w:r>
      <w:r>
        <w:rPr>
          <w:spacing w:val="40"/>
        </w:rPr>
        <w:t> </w:t>
      </w:r>
      <w:r>
        <w:rPr/>
        <w:t>is well known that during a true Trend Day scenario, the market will usually close at or near the day’s extreme. Therefore, I will usually keep a relatively loose 2 ATR trailing stop with my sights set on exiting near the day’s close, generally within the last fifteen minutes of the session. Remember, this type of breakout opportunity occurs only a few times per month, so the goal should be to make the most money possible</w:t>
      </w:r>
      <w:r>
        <w:rPr/>
        <w:t> when</w:t>
      </w:r>
      <w:r>
        <w:rPr/>
        <w:t> the ideal circumstances present themselves. Your trader personality will usually dictate which</w:t>
      </w:r>
      <w:r>
        <w:rPr>
          <w:spacing w:val="40"/>
        </w:rPr>
        <w:t> </w:t>
      </w:r>
      <w:r>
        <w:rPr/>
        <w:t>method you choose, however.</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49" cy="3068954"/>
            <wp:effectExtent l="0" t="0" r="0" b="0"/>
            <wp:docPr id="91" name="image47.png"/>
            <wp:cNvGraphicFramePr>
              <a:graphicFrameLocks noChangeAspect="1"/>
            </wp:cNvGraphicFramePr>
            <a:graphic>
              <a:graphicData uri="http://schemas.openxmlformats.org/drawingml/2006/picture">
                <pic:pic>
                  <pic:nvPicPr>
                    <pic:cNvPr id="92" name="image47.png"/>
                    <pic:cNvPicPr/>
                  </pic:nvPicPr>
                  <pic:blipFill>
                    <a:blip r:embed="rId117" cstate="print"/>
                    <a:stretch>
                      <a:fillRect/>
                    </a:stretch>
                  </pic:blipFill>
                  <pic:spPr>
                    <a:xfrm>
                      <a:off x="0" y="0"/>
                      <a:ext cx="4304849" cy="3068954"/>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4.14:</w:t>
      </w:r>
      <w:r>
        <w:rPr>
          <w:spacing w:val="1"/>
          <w:sz w:val="16"/>
        </w:rPr>
        <w:t> </w:t>
      </w:r>
      <w:r>
        <w:rPr>
          <w:sz w:val="16"/>
        </w:rPr>
        <w:t>Inside</w:t>
      </w:r>
      <w:r>
        <w:rPr>
          <w:spacing w:val="2"/>
          <w:sz w:val="16"/>
        </w:rPr>
        <w:t> </w:t>
      </w:r>
      <w:r>
        <w:rPr>
          <w:sz w:val="16"/>
        </w:rPr>
        <w:t>Value</w:t>
      </w:r>
      <w:r>
        <w:rPr>
          <w:spacing w:val="1"/>
          <w:sz w:val="16"/>
        </w:rPr>
        <w:t> </w:t>
      </w:r>
      <w:r>
        <w:rPr>
          <w:sz w:val="16"/>
        </w:rPr>
        <w:t>relationship</w:t>
      </w:r>
      <w:r>
        <w:rPr>
          <w:spacing w:val="2"/>
          <w:sz w:val="16"/>
        </w:rPr>
        <w:t> </w:t>
      </w:r>
      <w:r>
        <w:rPr>
          <w:sz w:val="16"/>
        </w:rPr>
        <w:t>led</w:t>
      </w:r>
      <w:r>
        <w:rPr>
          <w:spacing w:val="1"/>
          <w:sz w:val="16"/>
        </w:rPr>
        <w:t> </w:t>
      </w:r>
      <w:r>
        <w:rPr>
          <w:sz w:val="16"/>
        </w:rPr>
        <w:t>to</w:t>
      </w:r>
      <w:r>
        <w:rPr>
          <w:spacing w:val="1"/>
          <w:sz w:val="16"/>
        </w:rPr>
        <w:t> </w:t>
      </w:r>
      <w:r>
        <w:rPr>
          <w:sz w:val="16"/>
        </w:rPr>
        <w:t>a</w:t>
      </w:r>
      <w:r>
        <w:rPr>
          <w:spacing w:val="2"/>
          <w:sz w:val="16"/>
        </w:rPr>
        <w:t> </w:t>
      </w:r>
      <w:r>
        <w:rPr>
          <w:sz w:val="16"/>
        </w:rPr>
        <w:t>big</w:t>
      </w:r>
      <w:r>
        <w:rPr>
          <w:spacing w:val="2"/>
          <w:sz w:val="16"/>
        </w:rPr>
        <w:t> </w:t>
      </w:r>
      <w:r>
        <w:rPr>
          <w:sz w:val="16"/>
        </w:rPr>
        <w:t>move</w:t>
      </w:r>
      <w:r>
        <w:rPr>
          <w:spacing w:val="2"/>
          <w:sz w:val="16"/>
        </w:rPr>
        <w:t> </w:t>
      </w:r>
      <w:r>
        <w:rPr>
          <w:sz w:val="16"/>
        </w:rPr>
        <w:t>in</w:t>
      </w:r>
      <w:r>
        <w:rPr>
          <w:spacing w:val="1"/>
          <w:sz w:val="16"/>
        </w:rPr>
        <w:t> </w:t>
      </w:r>
      <w:r>
        <w:rPr>
          <w:sz w:val="16"/>
        </w:rPr>
        <w:t>Crude</w:t>
      </w:r>
      <w:r>
        <w:rPr>
          <w:spacing w:val="1"/>
          <w:sz w:val="16"/>
        </w:rPr>
        <w:t> </w:t>
      </w:r>
      <w:r>
        <w:rPr>
          <w:spacing w:val="-4"/>
          <w:sz w:val="16"/>
        </w:rPr>
        <w:t>Oil.</w:t>
      </w:r>
    </w:p>
    <w:p>
      <w:pPr>
        <w:pStyle w:val="BodyText"/>
        <w:spacing w:before="1"/>
      </w:pPr>
    </w:p>
    <w:p>
      <w:pPr>
        <w:pStyle w:val="BodyText"/>
        <w:ind w:left="500" w:right="134" w:firstLine="432"/>
        <w:jc w:val="both"/>
      </w:pPr>
      <w:r>
        <w:rPr/>
        <w:t>This</w:t>
      </w:r>
      <w:r>
        <w:rPr>
          <w:spacing w:val="-1"/>
        </w:rPr>
        <w:t> </w:t>
      </w:r>
      <w:r>
        <w:rPr/>
        <w:t>particular</w:t>
      </w:r>
      <w:r>
        <w:rPr>
          <w:spacing w:val="-1"/>
        </w:rPr>
        <w:t> </w:t>
      </w:r>
      <w:r>
        <w:rPr/>
        <w:t>setup</w:t>
      </w:r>
      <w:r>
        <w:rPr>
          <w:spacing w:val="-1"/>
        </w:rPr>
        <w:t> </w:t>
      </w:r>
      <w:r>
        <w:rPr/>
        <w:t>is</w:t>
      </w:r>
      <w:r>
        <w:rPr>
          <w:spacing w:val="-1"/>
        </w:rPr>
        <w:t> </w:t>
      </w:r>
      <w:r>
        <w:rPr/>
        <w:t>one</w:t>
      </w:r>
      <w:r>
        <w:rPr>
          <w:spacing w:val="-1"/>
        </w:rPr>
        <w:t> </w:t>
      </w:r>
      <w:r>
        <w:rPr/>
        <w:t>of</w:t>
      </w:r>
      <w:r>
        <w:rPr>
          <w:spacing w:val="-1"/>
        </w:rPr>
        <w:t> </w:t>
      </w:r>
      <w:r>
        <w:rPr/>
        <w:t>the</w:t>
      </w:r>
      <w:r>
        <w:rPr>
          <w:spacing w:val="-1"/>
        </w:rPr>
        <w:t> </w:t>
      </w:r>
      <w:r>
        <w:rPr/>
        <w:t>most</w:t>
      </w:r>
      <w:r>
        <w:rPr>
          <w:spacing w:val="-1"/>
        </w:rPr>
        <w:t> </w:t>
      </w:r>
      <w:r>
        <w:rPr/>
        <w:t>important</w:t>
      </w:r>
      <w:r>
        <w:rPr>
          <w:spacing w:val="-1"/>
        </w:rPr>
        <w:t> </w:t>
      </w:r>
      <w:r>
        <w:rPr/>
        <w:t>and</w:t>
      </w:r>
      <w:r>
        <w:rPr>
          <w:spacing w:val="-1"/>
        </w:rPr>
        <w:t> </w:t>
      </w:r>
      <w:r>
        <w:rPr/>
        <w:t>explosive</w:t>
      </w:r>
      <w:r>
        <w:rPr>
          <w:spacing w:val="-1"/>
        </w:rPr>
        <w:t> </w:t>
      </w:r>
      <w:r>
        <w:rPr/>
        <w:t>that</w:t>
      </w:r>
      <w:r>
        <w:rPr>
          <w:spacing w:val="-2"/>
        </w:rPr>
        <w:t> </w:t>
      </w:r>
      <w:r>
        <w:rPr/>
        <w:t>you will come across. Regardless of your trading style, the objective for all</w:t>
      </w:r>
      <w:r>
        <w:rPr>
          <w:spacing w:val="40"/>
        </w:rPr>
        <w:t> </w:t>
      </w:r>
      <w:r>
        <w:rPr/>
        <w:t>traders is to make money, and this setup delivers the biggest punch with the biggest profit potential. Remember, a day that opens out of value and out of range offers the most risk, but with high risk also comes big opportunity. Only a few days per month will generate a move of this magnitude, but participating on these days will allow you to make as much, or more, money than the other days of the month combined.</w:t>
      </w:r>
    </w:p>
    <w:p>
      <w:pPr>
        <w:pStyle w:val="BodyText"/>
        <w:spacing w:before="1"/>
        <w:ind w:left="500" w:right="136" w:firstLine="432"/>
        <w:jc w:val="both"/>
      </w:pPr>
      <w:r>
        <w:rPr/>
        <w:t>As a quick reference, Figure 4.15 illustrates each of the value area relationships. Remember, trading is about recognition. The best traders in the world are quickly and accurately able to recognize the pattern of the market and</w:t>
      </w:r>
      <w:r>
        <w:rPr>
          <w:spacing w:val="-3"/>
        </w:rPr>
        <w:t> </w:t>
      </w:r>
      <w:r>
        <w:rPr/>
        <w:t>are</w:t>
      </w:r>
      <w:r>
        <w:rPr>
          <w:spacing w:val="-3"/>
        </w:rPr>
        <w:t> </w:t>
      </w:r>
      <w:r>
        <w:rPr/>
        <w:t>able</w:t>
      </w:r>
      <w:r>
        <w:rPr>
          <w:spacing w:val="-3"/>
        </w:rPr>
        <w:t> </w:t>
      </w:r>
      <w:r>
        <w:rPr/>
        <w:t>to</w:t>
      </w:r>
      <w:r>
        <w:rPr>
          <w:spacing w:val="-3"/>
        </w:rPr>
        <w:t> </w:t>
      </w:r>
      <w:r>
        <w:rPr/>
        <w:t>deploy</w:t>
      </w:r>
      <w:r>
        <w:rPr>
          <w:spacing w:val="-3"/>
        </w:rPr>
        <w:t> </w:t>
      </w:r>
      <w:r>
        <w:rPr/>
        <w:t>their</w:t>
      </w:r>
      <w:r>
        <w:rPr>
          <w:spacing w:val="-3"/>
        </w:rPr>
        <w:t> </w:t>
      </w:r>
      <w:r>
        <w:rPr/>
        <w:t>capital</w:t>
      </w:r>
      <w:r>
        <w:rPr>
          <w:spacing w:val="-3"/>
        </w:rPr>
        <w:t> </w:t>
      </w:r>
      <w:r>
        <w:rPr/>
        <w:t>in</w:t>
      </w:r>
      <w:r>
        <w:rPr>
          <w:spacing w:val="-3"/>
        </w:rPr>
        <w:t> </w:t>
      </w:r>
      <w:r>
        <w:rPr/>
        <w:t>a</w:t>
      </w:r>
      <w:r>
        <w:rPr>
          <w:spacing w:val="-3"/>
        </w:rPr>
        <w:t> </w:t>
      </w:r>
      <w:r>
        <w:rPr/>
        <w:t>confident</w:t>
      </w:r>
      <w:r>
        <w:rPr>
          <w:spacing w:val="-3"/>
        </w:rPr>
        <w:t> </w:t>
      </w:r>
      <w:r>
        <w:rPr/>
        <w:t>and</w:t>
      </w:r>
      <w:r>
        <w:rPr>
          <w:spacing w:val="-5"/>
        </w:rPr>
        <w:t> </w:t>
      </w:r>
      <w:r>
        <w:rPr/>
        <w:t>knowledgeable</w:t>
      </w:r>
      <w:r>
        <w:rPr>
          <w:spacing w:val="-2"/>
        </w:rPr>
        <w:t> </w:t>
      </w:r>
      <w:r>
        <w:rPr/>
        <w:t>manner. Learning to recognize who is in control of the market, the types of market days, key setup opportunities, and value area relationships are all extremely vital to profitably engaging the market. Each new concept is a piece to a larger puzzle. Therefore, continue to learn and understand the interrelated concepts, as each new concept will be related to the last.</w:t>
      </w:r>
    </w:p>
    <w:p>
      <w:pPr>
        <w:spacing w:after="0"/>
        <w:jc w:val="both"/>
        <w:sectPr>
          <w:headerReference w:type="default" r:id="rId113"/>
          <w:headerReference w:type="even" r:id="rId114"/>
          <w:footerReference w:type="default" r:id="rId115"/>
          <w:footerReference w:type="even" r:id="rId116"/>
          <w:pgSz w:w="8640" w:h="12960"/>
          <w:pgMar w:header="536" w:footer="1060" w:top="720" w:bottom="1260" w:left="580" w:right="580"/>
          <w:pgNumType w:start="91"/>
        </w:sectPr>
      </w:pPr>
    </w:p>
    <w:p>
      <w:pPr>
        <w:pStyle w:val="BodyText"/>
        <w:spacing w:before="8"/>
      </w:pPr>
    </w:p>
    <w:tbl>
      <w:tblPr>
        <w:tblW w:w="0" w:type="auto"/>
        <w:jc w:val="left"/>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33"/>
        <w:gridCol w:w="615"/>
        <w:gridCol w:w="929"/>
        <w:gridCol w:w="909"/>
        <w:gridCol w:w="571"/>
        <w:gridCol w:w="1487"/>
      </w:tblGrid>
      <w:tr>
        <w:trPr>
          <w:trHeight w:val="536" w:hRule="atLeast"/>
        </w:trPr>
        <w:tc>
          <w:tcPr>
            <w:tcW w:w="5944" w:type="dxa"/>
            <w:gridSpan w:val="6"/>
            <w:tcBorders>
              <w:top w:val="nil"/>
              <w:bottom w:val="nil"/>
            </w:tcBorders>
            <w:shd w:val="clear" w:color="auto" w:fill="000000"/>
          </w:tcPr>
          <w:p>
            <w:pPr>
              <w:pStyle w:val="TableParagraph"/>
              <w:spacing w:before="110"/>
              <w:ind w:left="553"/>
              <w:rPr>
                <w:rFonts w:ascii="Verdana"/>
                <w:sz w:val="28"/>
              </w:rPr>
            </w:pPr>
            <w:r>
              <w:rPr>
                <w:rFonts w:ascii="Verdana"/>
                <w:color w:val="FFFFFF"/>
                <w:sz w:val="28"/>
              </w:rPr>
              <w:t>Two-Day</w:t>
            </w:r>
            <w:r>
              <w:rPr>
                <w:rFonts w:ascii="Verdana"/>
                <w:color w:val="FFFFFF"/>
                <w:spacing w:val="-19"/>
                <w:sz w:val="28"/>
              </w:rPr>
              <w:t> </w:t>
            </w:r>
            <w:r>
              <w:rPr>
                <w:rFonts w:ascii="Verdana"/>
                <w:color w:val="FFFFFF"/>
                <w:sz w:val="28"/>
              </w:rPr>
              <w:t>Value</w:t>
            </w:r>
            <w:r>
              <w:rPr>
                <w:rFonts w:ascii="Verdana"/>
                <w:color w:val="FFFFFF"/>
                <w:spacing w:val="-18"/>
                <w:sz w:val="28"/>
              </w:rPr>
              <w:t> </w:t>
            </w:r>
            <w:r>
              <w:rPr>
                <w:rFonts w:ascii="Verdana"/>
                <w:color w:val="FFFFFF"/>
                <w:sz w:val="28"/>
              </w:rPr>
              <w:t>Area</w:t>
            </w:r>
            <w:r>
              <w:rPr>
                <w:rFonts w:ascii="Verdana"/>
                <w:color w:val="FFFFFF"/>
                <w:spacing w:val="-18"/>
                <w:sz w:val="28"/>
              </w:rPr>
              <w:t> </w:t>
            </w:r>
            <w:r>
              <w:rPr>
                <w:rFonts w:ascii="Verdana"/>
                <w:color w:val="FFFFFF"/>
                <w:spacing w:val="-2"/>
                <w:sz w:val="28"/>
              </w:rPr>
              <w:t>Relationships</w:t>
            </w:r>
          </w:p>
        </w:tc>
      </w:tr>
      <w:tr>
        <w:trPr>
          <w:trHeight w:val="1819" w:hRule="atLeast"/>
        </w:trPr>
        <w:tc>
          <w:tcPr>
            <w:tcW w:w="2048" w:type="dxa"/>
            <w:gridSpan w:val="2"/>
            <w:tcBorders>
              <w:top w:val="nil"/>
            </w:tcBorders>
          </w:tcPr>
          <w:p>
            <w:pPr>
              <w:pStyle w:val="TableParagraph"/>
              <w:spacing w:before="2"/>
              <w:rPr>
                <w:rFonts w:ascii="Times New Roman"/>
                <w:sz w:val="27"/>
              </w:rPr>
            </w:pPr>
          </w:p>
          <w:p>
            <w:pPr>
              <w:pStyle w:val="TableParagraph"/>
              <w:ind w:left="558"/>
              <w:rPr>
                <w:rFonts w:ascii="Times New Roman"/>
                <w:sz w:val="20"/>
              </w:rPr>
            </w:pPr>
            <w:r>
              <w:rPr>
                <w:rFonts w:ascii="Times New Roman"/>
                <w:sz w:val="20"/>
              </w:rPr>
              <w:pict>
                <v:group style="width:22.45pt;height:29.2pt;mso-position-horizontal-relative:char;mso-position-vertical-relative:line" id="docshapegroup340" coordorigin="0,0" coordsize="449,584">
                  <v:rect style="position:absolute;left:7;top:7;width:434;height:570" id="docshape341" filled="true" fillcolor="#000000" stroked="false">
                    <v:fill type="solid"/>
                  </v:rect>
                  <v:rect style="position:absolute;left:7;top:7;width:434;height:569" id="docshape342" filled="false" stroked="true" strokeweight=".75pt" strokecolor="#000000">
                    <v:stroke dashstyle="solid"/>
                  </v:rect>
                </v:group>
              </w:pict>
            </w:r>
            <w:r>
              <w:rPr>
                <w:rFonts w:ascii="Times New Roman"/>
                <w:sz w:val="20"/>
              </w:rPr>
            </w:r>
            <w:r>
              <w:rPr>
                <w:rFonts w:ascii="Times New Roman"/>
                <w:spacing w:val="129"/>
                <w:sz w:val="20"/>
              </w:rPr>
              <w:t> </w:t>
            </w:r>
            <w:r>
              <w:rPr>
                <w:rFonts w:ascii="Times New Roman"/>
                <w:spacing w:val="129"/>
                <w:sz w:val="20"/>
              </w:rPr>
              <w:pict>
                <v:group style="width:22.45pt;height:29.2pt;mso-position-horizontal-relative:char;mso-position-vertical-relative:line" id="docshapegroup343" coordorigin="0,0" coordsize="449,584">
                  <v:rect style="position:absolute;left:7;top:7;width:435;height:570" id="docshape344" filled="true" fillcolor="#000000" stroked="false">
                    <v:fill type="solid"/>
                  </v:rect>
                  <v:rect style="position:absolute;left:7;top:7;width:434;height:569" id="docshape345" filled="false" stroked="true" strokeweight=".75pt" strokecolor="#000000">
                    <v:stroke dashstyle="solid"/>
                  </v:rect>
                </v:group>
              </w:pict>
            </w:r>
            <w:r>
              <w:rPr>
                <w:rFonts w:ascii="Times New Roman"/>
                <w:spacing w:val="129"/>
                <w:sz w:val="20"/>
              </w:rPr>
            </w:r>
          </w:p>
          <w:p>
            <w:pPr>
              <w:pStyle w:val="TableParagraph"/>
              <w:spacing w:before="137"/>
              <w:ind w:left="813" w:hanging="302"/>
              <w:rPr>
                <w:sz w:val="24"/>
              </w:rPr>
            </w:pPr>
            <w:r>
              <w:rPr>
                <w:spacing w:val="-2"/>
                <w:sz w:val="24"/>
              </w:rPr>
              <w:t>Unchanged Value</w:t>
            </w:r>
          </w:p>
        </w:tc>
        <w:tc>
          <w:tcPr>
            <w:tcW w:w="1838" w:type="dxa"/>
            <w:gridSpan w:val="2"/>
            <w:tcBorders>
              <w:top w:val="nil"/>
            </w:tcBorders>
          </w:tcPr>
          <w:p>
            <w:pPr>
              <w:pStyle w:val="TableParagraph"/>
              <w:spacing w:before="3"/>
              <w:rPr>
                <w:rFonts w:ascii="Times New Roman"/>
                <w:sz w:val="15"/>
              </w:rPr>
            </w:pPr>
          </w:p>
          <w:p>
            <w:pPr>
              <w:pStyle w:val="TableParagraph"/>
              <w:ind w:left="377"/>
              <w:rPr>
                <w:rFonts w:ascii="Times New Roman"/>
                <w:sz w:val="20"/>
              </w:rPr>
            </w:pPr>
            <w:r>
              <w:rPr>
                <w:rFonts w:ascii="Times New Roman"/>
                <w:position w:val="13"/>
                <w:sz w:val="20"/>
              </w:rPr>
              <w:pict>
                <v:group style="width:22.5pt;height:29.2pt;mso-position-horizontal-relative:char;mso-position-vertical-relative:line" id="docshapegroup346" coordorigin="0,0" coordsize="450,584">
                  <v:rect style="position:absolute;left:7;top:7;width:435;height:570" id="docshape347" filled="true" fillcolor="#000000" stroked="false">
                    <v:fill type="solid"/>
                  </v:rect>
                  <v:rect style="position:absolute;left:7;top:7;width:435;height:569" id="docshape348" filled="false" stroked="true" strokeweight=".75pt" strokecolor="#000000">
                    <v:stroke dashstyle="solid"/>
                  </v:rect>
                </v:group>
              </w:pict>
            </w:r>
            <w:r>
              <w:rPr>
                <w:rFonts w:ascii="Times New Roman"/>
                <w:position w:val="13"/>
                <w:sz w:val="20"/>
              </w:rPr>
            </w:r>
            <w:r>
              <w:rPr>
                <w:rFonts w:ascii="Times New Roman"/>
                <w:spacing w:val="114"/>
                <w:position w:val="13"/>
                <w:sz w:val="20"/>
              </w:rPr>
              <w:t> </w:t>
            </w:r>
            <w:r>
              <w:rPr>
                <w:rFonts w:ascii="Times New Roman"/>
                <w:spacing w:val="114"/>
                <w:sz w:val="20"/>
              </w:rPr>
              <w:pict>
                <v:group style="width:22.5pt;height:42.45pt;mso-position-horizontal-relative:char;mso-position-vertical-relative:line" id="docshapegroup349" coordorigin="0,0" coordsize="450,849">
                  <v:rect style="position:absolute;left:8;top:7;width:434;height:834" id="docshape350" filled="true" fillcolor="#000000" stroked="false">
                    <v:fill type="solid"/>
                  </v:rect>
                  <v:rect style="position:absolute;left:7;top:7;width:435;height:834" id="docshape351" filled="false" stroked="true" strokeweight=".75pt" strokecolor="#000000">
                    <v:stroke dashstyle="solid"/>
                  </v:rect>
                </v:group>
              </w:pict>
            </w:r>
            <w:r>
              <w:rPr>
                <w:rFonts w:ascii="Times New Roman"/>
                <w:spacing w:val="114"/>
                <w:sz w:val="20"/>
              </w:rPr>
            </w:r>
          </w:p>
          <w:p>
            <w:pPr>
              <w:pStyle w:val="TableParagraph"/>
              <w:spacing w:before="4"/>
              <w:ind w:left="626" w:right="497" w:hanging="111"/>
              <w:rPr>
                <w:sz w:val="24"/>
              </w:rPr>
            </w:pPr>
            <w:r>
              <w:rPr>
                <w:spacing w:val="-2"/>
                <w:sz w:val="24"/>
              </w:rPr>
              <w:t>Outside Value</w:t>
            </w:r>
          </w:p>
        </w:tc>
        <w:tc>
          <w:tcPr>
            <w:tcW w:w="2058" w:type="dxa"/>
            <w:gridSpan w:val="2"/>
            <w:tcBorders>
              <w:top w:val="nil"/>
            </w:tcBorders>
          </w:tcPr>
          <w:p>
            <w:pPr>
              <w:pStyle w:val="TableParagraph"/>
              <w:spacing w:before="2"/>
              <w:rPr>
                <w:rFonts w:ascii="Times New Roman"/>
                <w:sz w:val="27"/>
              </w:rPr>
            </w:pPr>
          </w:p>
          <w:p>
            <w:pPr>
              <w:pStyle w:val="TableParagraph"/>
              <w:ind w:left="399"/>
              <w:rPr>
                <w:rFonts w:ascii="Times New Roman"/>
                <w:sz w:val="20"/>
              </w:rPr>
            </w:pPr>
            <w:r>
              <w:rPr>
                <w:rFonts w:ascii="Times New Roman"/>
                <w:sz w:val="20"/>
              </w:rPr>
              <w:pict>
                <v:group style="width:22.5pt;height:29.2pt;mso-position-horizontal-relative:char;mso-position-vertical-relative:line" id="docshapegroup352" coordorigin="0,0" coordsize="450,584">
                  <v:rect style="position:absolute;left:7;top:7;width:435;height:570" id="docshape353" filled="true" fillcolor="#000000" stroked="false">
                    <v:fill type="solid"/>
                  </v:rect>
                  <v:rect style="position:absolute;left:7;top:7;width:435;height:569" id="docshape354" filled="false" stroked="true" strokeweight=".75pt" strokecolor="#000000">
                    <v:stroke dashstyle="solid"/>
                  </v:rect>
                </v:group>
              </w:pict>
            </w:r>
            <w:r>
              <w:rPr>
                <w:rFonts w:ascii="Times New Roman"/>
                <w:sz w:val="20"/>
              </w:rPr>
            </w:r>
            <w:r>
              <w:rPr>
                <w:rFonts w:ascii="Times New Roman"/>
                <w:spacing w:val="114"/>
                <w:sz w:val="20"/>
              </w:rPr>
              <w:t> </w:t>
            </w:r>
            <w:r>
              <w:rPr>
                <w:rFonts w:ascii="Times New Roman"/>
                <w:spacing w:val="114"/>
                <w:position w:val="6"/>
                <w:sz w:val="20"/>
              </w:rPr>
              <w:pict>
                <v:group style="width:22.5pt;height:21.9pt;mso-position-horizontal-relative:char;mso-position-vertical-relative:line" id="docshapegroup355" coordorigin="0,0" coordsize="450,438">
                  <v:rect style="position:absolute;left:8;top:8;width:434;height:422" id="docshape356" filled="true" fillcolor="#000000" stroked="false">
                    <v:fill type="solid"/>
                  </v:rect>
                  <v:rect style="position:absolute;left:7;top:7;width:435;height:423" id="docshape357" filled="false" stroked="true" strokeweight=".75pt" strokecolor="#000000">
                    <v:stroke dashstyle="solid"/>
                  </v:rect>
                </v:group>
              </w:pict>
            </w:r>
            <w:r>
              <w:rPr>
                <w:rFonts w:ascii="Times New Roman"/>
                <w:spacing w:val="114"/>
                <w:position w:val="6"/>
                <w:sz w:val="20"/>
              </w:rPr>
            </w:r>
          </w:p>
          <w:p>
            <w:pPr>
              <w:pStyle w:val="TableParagraph"/>
              <w:spacing w:before="135"/>
              <w:ind w:left="661" w:right="759" w:hanging="30"/>
              <w:rPr>
                <w:sz w:val="24"/>
              </w:rPr>
            </w:pPr>
            <w:r>
              <w:rPr>
                <w:spacing w:val="-2"/>
                <w:sz w:val="24"/>
              </w:rPr>
              <w:t>Inside Value</w:t>
            </w:r>
          </w:p>
        </w:tc>
      </w:tr>
      <w:tr>
        <w:trPr>
          <w:trHeight w:val="2333" w:hRule="atLeast"/>
        </w:trPr>
        <w:tc>
          <w:tcPr>
            <w:tcW w:w="1433" w:type="dxa"/>
          </w:tcPr>
          <w:p>
            <w:pPr>
              <w:pStyle w:val="TableParagraph"/>
              <w:spacing w:before="7"/>
              <w:rPr>
                <w:rFonts w:ascii="Times New Roman"/>
                <w:sz w:val="25"/>
              </w:rPr>
            </w:pPr>
          </w:p>
          <w:p>
            <w:pPr>
              <w:pStyle w:val="TableParagraph"/>
              <w:ind w:left="784"/>
              <w:rPr>
                <w:rFonts w:ascii="Times New Roman"/>
                <w:sz w:val="20"/>
              </w:rPr>
            </w:pPr>
            <w:r>
              <w:rPr>
                <w:rFonts w:ascii="Times New Roman"/>
                <w:sz w:val="20"/>
              </w:rPr>
              <w:pict>
                <v:group style="width:22.5pt;height:29.2pt;mso-position-horizontal-relative:char;mso-position-vertical-relative:line" id="docshapegroup358" coordorigin="0,0" coordsize="450,584">
                  <v:rect style="position:absolute;left:7;top:7;width:435;height:569" id="docshape359" filled="true" fillcolor="#000000" stroked="false">
                    <v:fill type="solid"/>
                  </v:rect>
                  <v:rect style="position:absolute;left:7;top:7;width:435;height:569" id="docshape360" filled="false" stroked="true" strokeweight=".75pt" strokecolor="#000000">
                    <v:stroke dashstyle="solid"/>
                  </v:rect>
                </v:group>
              </w:pict>
            </w:r>
            <w:r>
              <w:rPr>
                <w:rFonts w:ascii="Times New Roman"/>
                <w:sz w:val="20"/>
              </w:rPr>
            </w:r>
          </w:p>
          <w:p>
            <w:pPr>
              <w:pStyle w:val="TableParagraph"/>
              <w:spacing w:before="1" w:after="1"/>
              <w:rPr>
                <w:rFonts w:ascii="Times New Roman"/>
                <w:sz w:val="9"/>
              </w:rPr>
            </w:pPr>
          </w:p>
          <w:p>
            <w:pPr>
              <w:pStyle w:val="TableParagraph"/>
              <w:ind w:left="149"/>
              <w:rPr>
                <w:rFonts w:ascii="Times New Roman"/>
                <w:sz w:val="20"/>
              </w:rPr>
            </w:pPr>
            <w:r>
              <w:rPr>
                <w:rFonts w:ascii="Times New Roman"/>
                <w:sz w:val="20"/>
              </w:rPr>
              <w:pict>
                <v:group style="width:22.45pt;height:29.2pt;mso-position-horizontal-relative:char;mso-position-vertical-relative:line" id="docshapegroup361" coordorigin="0,0" coordsize="449,584">
                  <v:rect style="position:absolute;left:7;top:7;width:435;height:569" id="docshape362" filled="true" fillcolor="#000000" stroked="false">
                    <v:fill type="solid"/>
                  </v:rect>
                  <v:rect style="position:absolute;left:7;top:7;width:434;height:569" id="docshape363" filled="false" stroked="true" strokeweight=".75pt" strokecolor="#000000">
                    <v:stroke dashstyle="solid"/>
                  </v:rect>
                </v:group>
              </w:pict>
            </w:r>
            <w:r>
              <w:rPr>
                <w:rFonts w:ascii="Times New Roman"/>
                <w:sz w:val="20"/>
              </w:rPr>
            </w:r>
          </w:p>
          <w:p>
            <w:pPr>
              <w:pStyle w:val="TableParagraph"/>
              <w:spacing w:before="25"/>
              <w:ind w:left="393" w:right="377" w:hanging="57"/>
              <w:rPr>
                <w:sz w:val="24"/>
              </w:rPr>
            </w:pPr>
            <w:r>
              <w:rPr>
                <w:spacing w:val="-2"/>
                <w:sz w:val="24"/>
              </w:rPr>
              <w:t>Higher Value</w:t>
            </w:r>
          </w:p>
        </w:tc>
        <w:tc>
          <w:tcPr>
            <w:tcW w:w="1544" w:type="dxa"/>
            <w:gridSpan w:val="2"/>
          </w:tcPr>
          <w:p>
            <w:pPr>
              <w:pStyle w:val="TableParagraph"/>
              <w:rPr>
                <w:rFonts w:ascii="Times New Roman"/>
                <w:sz w:val="20"/>
              </w:rPr>
            </w:pPr>
          </w:p>
          <w:p>
            <w:pPr>
              <w:pStyle w:val="TableParagraph"/>
              <w:spacing w:before="2"/>
              <w:rPr>
                <w:rFonts w:ascii="Times New Roman"/>
                <w:sz w:val="22"/>
              </w:rPr>
            </w:pPr>
          </w:p>
          <w:p>
            <w:pPr>
              <w:pStyle w:val="TableParagraph"/>
              <w:ind w:left="225"/>
              <w:rPr>
                <w:rFonts w:ascii="Times New Roman"/>
                <w:sz w:val="20"/>
              </w:rPr>
            </w:pPr>
            <w:r>
              <w:rPr>
                <w:rFonts w:ascii="Times New Roman"/>
                <w:sz w:val="20"/>
              </w:rPr>
              <w:pict>
                <v:group style="width:22.5pt;height:29.2pt;mso-position-horizontal-relative:char;mso-position-vertical-relative:line" id="docshapegroup364" coordorigin="0,0" coordsize="450,584">
                  <v:rect style="position:absolute;left:7;top:7;width:435;height:570" id="docshape365" filled="true" fillcolor="#000000" stroked="false">
                    <v:fill type="solid"/>
                  </v:rect>
                  <v:rect style="position:absolute;left:7;top:7;width:435;height:569" id="docshape366" filled="false" stroked="true" strokeweight=".75pt" strokecolor="#000000">
                    <v:stroke dashstyle="solid"/>
                  </v:rect>
                </v:group>
              </w:pict>
            </w:r>
            <w:r>
              <w:rPr>
                <w:rFonts w:ascii="Times New Roman"/>
                <w:sz w:val="20"/>
              </w:rPr>
            </w:r>
            <w:r>
              <w:rPr>
                <w:rFonts w:ascii="Times New Roman"/>
                <w:spacing w:val="114"/>
                <w:sz w:val="20"/>
              </w:rPr>
              <w:t> </w:t>
            </w:r>
            <w:r>
              <w:rPr>
                <w:rFonts w:ascii="Times New Roman"/>
                <w:spacing w:val="114"/>
                <w:position w:val="30"/>
                <w:sz w:val="20"/>
              </w:rPr>
              <w:pict>
                <v:group style="width:22.5pt;height:29.2pt;mso-position-horizontal-relative:char;mso-position-vertical-relative:line" id="docshapegroup367" coordorigin="0,0" coordsize="450,584">
                  <v:rect style="position:absolute;left:7;top:7;width:435;height:569" id="docshape368" filled="true" fillcolor="#000000" stroked="false">
                    <v:fill type="solid"/>
                  </v:rect>
                  <v:rect style="position:absolute;left:7;top:7;width:435;height:569" id="docshape369" filled="false" stroked="true" strokeweight=".75pt" strokecolor="#000000">
                    <v:stroke dashstyle="solid"/>
                  </v:rect>
                </v:group>
              </w:pict>
            </w:r>
            <w:r>
              <w:rPr>
                <w:rFonts w:ascii="Times New Roman"/>
                <w:spacing w:val="114"/>
                <w:position w:val="30"/>
                <w:sz w:val="20"/>
              </w:rPr>
            </w:r>
          </w:p>
          <w:p>
            <w:pPr>
              <w:pStyle w:val="TableParagraph"/>
              <w:spacing w:before="1"/>
              <w:rPr>
                <w:rFonts w:ascii="Times New Roman"/>
                <w:sz w:val="20"/>
              </w:rPr>
            </w:pPr>
          </w:p>
          <w:p>
            <w:pPr>
              <w:pStyle w:val="TableParagraph"/>
              <w:ind w:left="89" w:right="74" w:firstLine="43"/>
              <w:rPr>
                <w:sz w:val="24"/>
              </w:rPr>
            </w:pPr>
            <w:r>
              <w:rPr>
                <w:spacing w:val="-2"/>
                <w:sz w:val="24"/>
              </w:rPr>
              <w:t>Overlapping </w:t>
            </w:r>
            <w:r>
              <w:rPr>
                <w:sz w:val="24"/>
              </w:rPr>
              <w:t>Higher </w:t>
            </w:r>
            <w:r>
              <w:rPr>
                <w:spacing w:val="-2"/>
                <w:sz w:val="24"/>
              </w:rPr>
              <w:t>Value</w:t>
            </w:r>
          </w:p>
        </w:tc>
        <w:tc>
          <w:tcPr>
            <w:tcW w:w="1480" w:type="dxa"/>
            <w:gridSpan w:val="2"/>
          </w:tcPr>
          <w:p>
            <w:pPr>
              <w:pStyle w:val="TableParagraph"/>
              <w:spacing w:before="2"/>
              <w:rPr>
                <w:rFonts w:ascii="Times New Roman"/>
                <w:sz w:val="25"/>
              </w:rPr>
            </w:pPr>
          </w:p>
          <w:p>
            <w:pPr>
              <w:pStyle w:val="TableParagraph"/>
              <w:ind w:left="203"/>
              <w:rPr>
                <w:rFonts w:ascii="Times New Roman"/>
                <w:sz w:val="20"/>
              </w:rPr>
            </w:pPr>
            <w:r>
              <w:rPr>
                <w:rFonts w:ascii="Times New Roman"/>
                <w:sz w:val="20"/>
              </w:rPr>
              <w:pict>
                <v:group style="width:22.45pt;height:29.2pt;mso-position-horizontal-relative:char;mso-position-vertical-relative:line" id="docshapegroup370" coordorigin="0,0" coordsize="449,584">
                  <v:rect style="position:absolute;left:7;top:7;width:434;height:570" id="docshape371" filled="true" fillcolor="#000000" stroked="false">
                    <v:fill type="solid"/>
                  </v:rect>
                  <v:rect style="position:absolute;left:7;top:7;width:434;height:569" id="docshape372" filled="false" stroked="true" strokeweight=".75pt" strokecolor="#000000">
                    <v:stroke dashstyle="solid"/>
                  </v:rect>
                </v:group>
              </w:pict>
            </w:r>
            <w:r>
              <w:rPr>
                <w:rFonts w:ascii="Times New Roman"/>
                <w:sz w:val="20"/>
              </w:rPr>
            </w:r>
          </w:p>
          <w:p>
            <w:pPr>
              <w:pStyle w:val="TableParagraph"/>
              <w:rPr>
                <w:rFonts w:ascii="Times New Roman"/>
                <w:sz w:val="10"/>
              </w:rPr>
            </w:pPr>
          </w:p>
          <w:p>
            <w:pPr>
              <w:pStyle w:val="TableParagraph"/>
              <w:ind w:left="838"/>
              <w:rPr>
                <w:rFonts w:ascii="Times New Roman"/>
                <w:sz w:val="20"/>
              </w:rPr>
            </w:pPr>
            <w:r>
              <w:rPr>
                <w:rFonts w:ascii="Times New Roman"/>
                <w:sz w:val="20"/>
              </w:rPr>
              <w:pict>
                <v:group style="width:22.45pt;height:29.2pt;mso-position-horizontal-relative:char;mso-position-vertical-relative:line" id="docshapegroup373" coordorigin="0,0" coordsize="449,584">
                  <v:rect style="position:absolute;left:7;top:7;width:435;height:570" id="docshape374" filled="true" fillcolor="#000000" stroked="false">
                    <v:fill type="solid"/>
                  </v:rect>
                  <v:rect style="position:absolute;left:7;top:7;width:434;height:569" id="docshape375" filled="false" stroked="true" strokeweight=".75pt" strokecolor="#000000">
                    <v:stroke dashstyle="solid"/>
                  </v:rect>
                </v:group>
              </w:pict>
            </w:r>
            <w:r>
              <w:rPr>
                <w:rFonts w:ascii="Times New Roman"/>
                <w:sz w:val="20"/>
              </w:rPr>
            </w:r>
          </w:p>
          <w:p>
            <w:pPr>
              <w:pStyle w:val="TableParagraph"/>
              <w:spacing w:before="18"/>
              <w:ind w:left="428" w:right="414" w:hanging="28"/>
              <w:rPr>
                <w:sz w:val="24"/>
              </w:rPr>
            </w:pPr>
            <w:r>
              <w:rPr>
                <w:spacing w:val="-2"/>
                <w:sz w:val="24"/>
              </w:rPr>
              <w:t>Lower Value</w:t>
            </w:r>
          </w:p>
        </w:tc>
        <w:tc>
          <w:tcPr>
            <w:tcW w:w="1487" w:type="dxa"/>
          </w:tcPr>
          <w:p>
            <w:pPr>
              <w:pStyle w:val="TableParagraph"/>
              <w:rPr>
                <w:rFonts w:ascii="Times New Roman"/>
                <w:sz w:val="20"/>
              </w:rPr>
            </w:pPr>
          </w:p>
          <w:p>
            <w:pPr>
              <w:pStyle w:val="TableParagraph"/>
              <w:rPr>
                <w:rFonts w:ascii="Times New Roman"/>
                <w:sz w:val="22"/>
              </w:rPr>
            </w:pPr>
          </w:p>
          <w:p>
            <w:pPr>
              <w:pStyle w:val="TableParagraph"/>
              <w:ind w:left="240"/>
              <w:rPr>
                <w:rFonts w:ascii="Times New Roman"/>
                <w:sz w:val="20"/>
              </w:rPr>
            </w:pPr>
            <w:r>
              <w:rPr>
                <w:rFonts w:ascii="Times New Roman"/>
                <w:position w:val="31"/>
                <w:sz w:val="20"/>
              </w:rPr>
              <w:pict>
                <v:group style="width:22.45pt;height:29.2pt;mso-position-horizontal-relative:char;mso-position-vertical-relative:line" id="docshapegroup376" coordorigin="0,0" coordsize="449,584">
                  <v:rect style="position:absolute;left:7;top:7;width:435;height:569" id="docshape377" filled="true" fillcolor="#000000" stroked="false">
                    <v:fill type="solid"/>
                  </v:rect>
                  <v:rect style="position:absolute;left:7;top:7;width:434;height:569" id="docshape378" filled="false" stroked="true" strokeweight=".75pt" strokecolor="#000000">
                    <v:stroke dashstyle="solid"/>
                  </v:rect>
                </v:group>
              </w:pict>
            </w:r>
            <w:r>
              <w:rPr>
                <w:rFonts w:ascii="Times New Roman"/>
                <w:position w:val="31"/>
                <w:sz w:val="20"/>
              </w:rPr>
            </w:r>
            <w:r>
              <w:rPr>
                <w:rFonts w:ascii="Times New Roman"/>
                <w:spacing w:val="129"/>
                <w:position w:val="31"/>
                <w:sz w:val="20"/>
              </w:rPr>
              <w:t> </w:t>
            </w:r>
            <w:r>
              <w:rPr>
                <w:rFonts w:ascii="Times New Roman"/>
                <w:spacing w:val="129"/>
                <w:sz w:val="20"/>
              </w:rPr>
              <w:pict>
                <v:group style="width:22.5pt;height:29.2pt;mso-position-horizontal-relative:char;mso-position-vertical-relative:line" id="docshapegroup379" coordorigin="0,0" coordsize="450,584">
                  <v:rect style="position:absolute;left:7;top:7;width:435;height:569" id="docshape380" filled="true" fillcolor="#000000" stroked="false">
                    <v:fill type="solid"/>
                  </v:rect>
                  <v:rect style="position:absolute;left:7;top:7;width:435;height:569" id="docshape381" filled="false" stroked="true" strokeweight=".75pt" strokecolor="#000000">
                    <v:stroke dashstyle="solid"/>
                  </v:rect>
                </v:group>
              </w:pict>
            </w:r>
            <w:r>
              <w:rPr>
                <w:rFonts w:ascii="Times New Roman"/>
                <w:spacing w:val="129"/>
                <w:sz w:val="20"/>
              </w:rPr>
            </w:r>
          </w:p>
          <w:p>
            <w:pPr>
              <w:pStyle w:val="TableParagraph"/>
              <w:spacing w:before="5"/>
              <w:rPr>
                <w:rFonts w:ascii="Times New Roman"/>
                <w:sz w:val="20"/>
              </w:rPr>
            </w:pPr>
          </w:p>
          <w:p>
            <w:pPr>
              <w:pStyle w:val="TableParagraph"/>
              <w:ind w:left="78" w:right="84" w:firstLine="15"/>
              <w:rPr>
                <w:sz w:val="24"/>
              </w:rPr>
            </w:pPr>
            <w:r>
              <w:rPr>
                <w:spacing w:val="-2"/>
                <w:sz w:val="24"/>
              </w:rPr>
              <w:t>Overlapping </w:t>
            </w:r>
            <w:r>
              <w:rPr>
                <w:sz w:val="24"/>
              </w:rPr>
              <w:t>Lower </w:t>
            </w:r>
            <w:r>
              <w:rPr>
                <w:spacing w:val="-2"/>
                <w:sz w:val="24"/>
              </w:rPr>
              <w:t>Value</w:t>
            </w:r>
          </w:p>
        </w:tc>
      </w:tr>
    </w:tbl>
    <w:p>
      <w:pPr>
        <w:spacing w:before="16"/>
        <w:ind w:left="572" w:right="0" w:firstLine="0"/>
        <w:jc w:val="left"/>
        <w:rPr>
          <w:sz w:val="16"/>
        </w:rPr>
      </w:pPr>
      <w:r>
        <w:rPr>
          <w:sz w:val="16"/>
        </w:rPr>
        <w:t>FIGURE</w:t>
      </w:r>
      <w:r>
        <w:rPr>
          <w:spacing w:val="2"/>
          <w:sz w:val="16"/>
        </w:rPr>
        <w:t> </w:t>
      </w:r>
      <w:r>
        <w:rPr>
          <w:sz w:val="16"/>
        </w:rPr>
        <w:t>4.15:</w:t>
      </w:r>
      <w:r>
        <w:rPr>
          <w:spacing w:val="3"/>
          <w:sz w:val="16"/>
        </w:rPr>
        <w:t> </w:t>
      </w:r>
      <w:r>
        <w:rPr>
          <w:sz w:val="16"/>
        </w:rPr>
        <w:t>Diagram</w:t>
      </w:r>
      <w:r>
        <w:rPr>
          <w:spacing w:val="4"/>
          <w:sz w:val="16"/>
        </w:rPr>
        <w:t> </w:t>
      </w:r>
      <w:r>
        <w:rPr>
          <w:sz w:val="16"/>
        </w:rPr>
        <w:t>of</w:t>
      </w:r>
      <w:r>
        <w:rPr>
          <w:spacing w:val="3"/>
          <w:sz w:val="16"/>
        </w:rPr>
        <w:t> </w:t>
      </w:r>
      <w:r>
        <w:rPr>
          <w:sz w:val="16"/>
        </w:rPr>
        <w:t>the</w:t>
      </w:r>
      <w:r>
        <w:rPr>
          <w:spacing w:val="3"/>
          <w:sz w:val="16"/>
        </w:rPr>
        <w:t> </w:t>
      </w:r>
      <w:r>
        <w:rPr>
          <w:sz w:val="16"/>
        </w:rPr>
        <w:t>seven</w:t>
      </w:r>
      <w:r>
        <w:rPr>
          <w:spacing w:val="4"/>
          <w:sz w:val="16"/>
        </w:rPr>
        <w:t> </w:t>
      </w:r>
      <w:r>
        <w:rPr>
          <w:sz w:val="16"/>
        </w:rPr>
        <w:t>value</w:t>
      </w:r>
      <w:r>
        <w:rPr>
          <w:spacing w:val="3"/>
          <w:sz w:val="16"/>
        </w:rPr>
        <w:t> </w:t>
      </w:r>
      <w:r>
        <w:rPr>
          <w:sz w:val="16"/>
        </w:rPr>
        <w:t>area</w:t>
      </w:r>
      <w:r>
        <w:rPr>
          <w:spacing w:val="4"/>
          <w:sz w:val="16"/>
        </w:rPr>
        <w:t> </w:t>
      </w:r>
      <w:r>
        <w:rPr>
          <w:spacing w:val="-2"/>
          <w:sz w:val="16"/>
        </w:rPr>
        <w:t>relationships</w:t>
      </w:r>
    </w:p>
    <w:p>
      <w:pPr>
        <w:pStyle w:val="BodyText"/>
        <w:spacing w:before="1"/>
      </w:pPr>
    </w:p>
    <w:p>
      <w:pPr>
        <w:pStyle w:val="Heading3"/>
      </w:pPr>
      <w:r>
        <w:rPr/>
        <w:pict>
          <v:shape style="position:absolute;margin-left:36.779999pt;margin-top:18.290300pt;width:341pt;height:.1pt;mso-position-horizontal-relative:page;mso-position-vertical-relative:paragraph;z-index:-15674368;mso-wrap-distance-left:0;mso-wrap-distance-right:0" id="docshape382" coordorigin="736,366" coordsize="6820,0" path="m736,366l7555,366e" filled="false" stroked="true" strokeweight=".75pt" strokecolor="#000000">
            <v:path arrowok="t"/>
            <v:stroke dashstyle="solid"/>
            <w10:wrap type="topAndBottom"/>
          </v:shape>
        </w:pict>
      </w:r>
      <w:bookmarkStart w:name="_TOC_250060" w:id="31"/>
      <w:r>
        <w:rPr>
          <w:smallCaps/>
          <w:spacing w:val="-2"/>
        </w:rPr>
        <w:t>Value</w:t>
      </w:r>
      <w:r>
        <w:rPr>
          <w:smallCaps/>
        </w:rPr>
        <w:t> </w:t>
      </w:r>
      <w:r>
        <w:rPr>
          <w:smallCaps/>
          <w:spacing w:val="-2"/>
        </w:rPr>
        <w:t>Area</w:t>
      </w:r>
      <w:r>
        <w:rPr>
          <w:smallCaps/>
          <w:spacing w:val="-12"/>
        </w:rPr>
        <w:t> </w:t>
      </w:r>
      <w:bookmarkEnd w:id="31"/>
      <w:r>
        <w:rPr>
          <w:smallCaps/>
          <w:spacing w:val="-4"/>
        </w:rPr>
        <w:t>Width</w:t>
      </w:r>
    </w:p>
    <w:p>
      <w:pPr>
        <w:pStyle w:val="BodyText"/>
        <w:spacing w:before="203"/>
        <w:ind w:left="140" w:right="496" w:firstLine="432"/>
        <w:jc w:val="both"/>
      </w:pPr>
      <w:r>
        <w:rPr/>
        <w:t>The width of the value area can be an important part of the puzzle when planning for the current session’s activity. If the width of the value area is of typical size, then not much information can be gained other than current market activity is proceeding like normal. However, if the width of the value area is extremely wide or narrow, these characteristics can be very telling of potential price movement in the upcoming session.</w:t>
      </w:r>
    </w:p>
    <w:p>
      <w:pPr>
        <w:pStyle w:val="BodyText"/>
      </w:pPr>
    </w:p>
    <w:p>
      <w:pPr>
        <w:spacing w:before="1"/>
        <w:ind w:left="951" w:right="224" w:hanging="729"/>
        <w:jc w:val="left"/>
        <w:rPr>
          <w:i/>
          <w:sz w:val="22"/>
        </w:rPr>
      </w:pPr>
      <w:r>
        <w:rPr>
          <w:i/>
          <w:sz w:val="22"/>
        </w:rPr>
        <w:t>The</w:t>
      </w:r>
      <w:r>
        <w:rPr>
          <w:i/>
          <w:spacing w:val="-2"/>
          <w:sz w:val="22"/>
        </w:rPr>
        <w:t> </w:t>
      </w:r>
      <w:r>
        <w:rPr>
          <w:i/>
          <w:sz w:val="22"/>
        </w:rPr>
        <w:t>width</w:t>
      </w:r>
      <w:r>
        <w:rPr>
          <w:i/>
          <w:spacing w:val="-2"/>
          <w:sz w:val="22"/>
        </w:rPr>
        <w:t> </w:t>
      </w:r>
      <w:r>
        <w:rPr>
          <w:i/>
          <w:sz w:val="22"/>
        </w:rPr>
        <w:t>of</w:t>
      </w:r>
      <w:r>
        <w:rPr>
          <w:i/>
          <w:spacing w:val="-4"/>
          <w:sz w:val="22"/>
        </w:rPr>
        <w:t> </w:t>
      </w:r>
      <w:r>
        <w:rPr>
          <w:i/>
          <w:sz w:val="22"/>
        </w:rPr>
        <w:t>the</w:t>
      </w:r>
      <w:r>
        <w:rPr>
          <w:i/>
          <w:spacing w:val="-2"/>
          <w:sz w:val="22"/>
        </w:rPr>
        <w:t> </w:t>
      </w:r>
      <w:r>
        <w:rPr>
          <w:i/>
          <w:sz w:val="22"/>
        </w:rPr>
        <w:t>Money</w:t>
      </w:r>
      <w:r>
        <w:rPr>
          <w:i/>
          <w:spacing w:val="-2"/>
          <w:sz w:val="22"/>
        </w:rPr>
        <w:t> </w:t>
      </w:r>
      <w:r>
        <w:rPr>
          <w:i/>
          <w:sz w:val="22"/>
        </w:rPr>
        <w:t>Zone</w:t>
      </w:r>
      <w:r>
        <w:rPr>
          <w:i/>
          <w:spacing w:val="-2"/>
          <w:sz w:val="22"/>
        </w:rPr>
        <w:t> </w:t>
      </w:r>
      <w:r>
        <w:rPr>
          <w:i/>
          <w:sz w:val="22"/>
        </w:rPr>
        <w:t>value</w:t>
      </w:r>
      <w:r>
        <w:rPr>
          <w:i/>
          <w:spacing w:val="-2"/>
          <w:sz w:val="22"/>
        </w:rPr>
        <w:t> </w:t>
      </w:r>
      <w:r>
        <w:rPr>
          <w:i/>
          <w:sz w:val="22"/>
        </w:rPr>
        <w:t>area</w:t>
      </w:r>
      <w:r>
        <w:rPr>
          <w:i/>
          <w:spacing w:val="-2"/>
          <w:sz w:val="22"/>
        </w:rPr>
        <w:t> </w:t>
      </w:r>
      <w:r>
        <w:rPr>
          <w:i/>
          <w:sz w:val="22"/>
        </w:rPr>
        <w:t>can</w:t>
      </w:r>
      <w:r>
        <w:rPr>
          <w:i/>
          <w:spacing w:val="-2"/>
          <w:sz w:val="22"/>
        </w:rPr>
        <w:t> </w:t>
      </w:r>
      <w:r>
        <w:rPr>
          <w:i/>
          <w:sz w:val="22"/>
        </w:rPr>
        <w:t>be</w:t>
      </w:r>
      <w:r>
        <w:rPr>
          <w:i/>
          <w:spacing w:val="-2"/>
          <w:sz w:val="22"/>
        </w:rPr>
        <w:t> </w:t>
      </w:r>
      <w:r>
        <w:rPr>
          <w:i/>
          <w:sz w:val="22"/>
        </w:rPr>
        <w:t>a</w:t>
      </w:r>
      <w:r>
        <w:rPr>
          <w:i/>
          <w:spacing w:val="-4"/>
          <w:sz w:val="22"/>
        </w:rPr>
        <w:t> </w:t>
      </w:r>
      <w:r>
        <w:rPr>
          <w:i/>
          <w:sz w:val="22"/>
        </w:rPr>
        <w:t>big</w:t>
      </w:r>
      <w:r>
        <w:rPr>
          <w:i/>
          <w:spacing w:val="-4"/>
          <w:sz w:val="22"/>
        </w:rPr>
        <w:t> </w:t>
      </w:r>
      <w:r>
        <w:rPr>
          <w:i/>
          <w:sz w:val="22"/>
        </w:rPr>
        <w:t>determining</w:t>
      </w:r>
      <w:r>
        <w:rPr>
          <w:i/>
          <w:spacing w:val="-2"/>
          <w:sz w:val="22"/>
        </w:rPr>
        <w:t> </w:t>
      </w:r>
      <w:r>
        <w:rPr>
          <w:i/>
          <w:sz w:val="22"/>
        </w:rPr>
        <w:t>factor</w:t>
      </w:r>
      <w:r>
        <w:rPr>
          <w:i/>
          <w:spacing w:val="-2"/>
          <w:sz w:val="22"/>
        </w:rPr>
        <w:t> </w:t>
      </w:r>
      <w:r>
        <w:rPr>
          <w:i/>
          <w:sz w:val="22"/>
        </w:rPr>
        <w:t>on</w:t>
      </w:r>
      <w:r>
        <w:rPr>
          <w:i/>
          <w:sz w:val="22"/>
        </w:rPr>
        <w:t> price movement if the range is abnormally wide or narrow.</w:t>
      </w:r>
    </w:p>
    <w:p>
      <w:pPr>
        <w:pStyle w:val="BodyText"/>
        <w:spacing w:before="10"/>
        <w:rPr>
          <w:i/>
          <w:sz w:val="21"/>
        </w:rPr>
      </w:pPr>
    </w:p>
    <w:p>
      <w:pPr>
        <w:pStyle w:val="BodyText"/>
        <w:ind w:left="140" w:right="493" w:firstLine="432"/>
        <w:jc w:val="both"/>
      </w:pPr>
      <w:r>
        <w:rPr/>
        <w:t>A wide value area indicates that the prior session had a large range of price activity. This can be the result of several day types, including Trend, Double-Distribution Trend, and Expanded Typical Days. If today’s value</w:t>
      </w:r>
      <w:r>
        <w:rPr>
          <w:spacing w:val="40"/>
        </w:rPr>
        <w:t> </w:t>
      </w:r>
      <w:r>
        <w:rPr/>
        <w:t>area is extremely wide due to yesterday’s range of movement, this is an indication</w:t>
      </w:r>
      <w:r>
        <w:rPr>
          <w:spacing w:val="-2"/>
        </w:rPr>
        <w:t> </w:t>
      </w:r>
      <w:r>
        <w:rPr/>
        <w:t>that</w:t>
      </w:r>
      <w:r>
        <w:rPr>
          <w:spacing w:val="-2"/>
        </w:rPr>
        <w:t> </w:t>
      </w:r>
      <w:r>
        <w:rPr/>
        <w:t>today’s</w:t>
      </w:r>
      <w:r>
        <w:rPr>
          <w:spacing w:val="-2"/>
        </w:rPr>
        <w:t> </w:t>
      </w:r>
      <w:r>
        <w:rPr/>
        <w:t>market</w:t>
      </w:r>
      <w:r>
        <w:rPr>
          <w:spacing w:val="-2"/>
        </w:rPr>
        <w:t> </w:t>
      </w:r>
      <w:r>
        <w:rPr/>
        <w:t>will</w:t>
      </w:r>
      <w:r>
        <w:rPr>
          <w:spacing w:val="-2"/>
        </w:rPr>
        <w:t> </w:t>
      </w:r>
      <w:r>
        <w:rPr/>
        <w:t>be</w:t>
      </w:r>
      <w:r>
        <w:rPr>
          <w:spacing w:val="-2"/>
        </w:rPr>
        <w:t> </w:t>
      </w:r>
      <w:r>
        <w:rPr/>
        <w:t>rather</w:t>
      </w:r>
      <w:r>
        <w:rPr>
          <w:spacing w:val="-2"/>
        </w:rPr>
        <w:t> </w:t>
      </w:r>
      <w:r>
        <w:rPr/>
        <w:t>quiet,</w:t>
      </w:r>
      <w:r>
        <w:rPr>
          <w:spacing w:val="-3"/>
        </w:rPr>
        <w:t> </w:t>
      </w:r>
      <w:r>
        <w:rPr/>
        <w:t>leading</w:t>
      </w:r>
      <w:r>
        <w:rPr>
          <w:spacing w:val="-3"/>
        </w:rPr>
        <w:t> </w:t>
      </w:r>
      <w:r>
        <w:rPr/>
        <w:t>to</w:t>
      </w:r>
      <w:r>
        <w:rPr>
          <w:spacing w:val="-2"/>
        </w:rPr>
        <w:t> </w:t>
      </w:r>
      <w:r>
        <w:rPr/>
        <w:t>either</w:t>
      </w:r>
      <w:r>
        <w:rPr>
          <w:spacing w:val="-2"/>
        </w:rPr>
        <w:t> </w:t>
      </w:r>
      <w:r>
        <w:rPr/>
        <w:t>a</w:t>
      </w:r>
      <w:r>
        <w:rPr>
          <w:spacing w:val="-2"/>
        </w:rPr>
        <w:t> </w:t>
      </w:r>
      <w:r>
        <w:rPr/>
        <w:t>Typical, Trading Range, or Sideways Day. The market will typically alternate</w:t>
      </w:r>
      <w:r>
        <w:rPr>
          <w:spacing w:val="40"/>
        </w:rPr>
        <w:t> </w:t>
      </w:r>
      <w:r>
        <w:rPr/>
        <w:t>between high range and low range days. That is, the market will consolidate after</w:t>
      </w:r>
      <w:r>
        <w:rPr>
          <w:spacing w:val="-1"/>
        </w:rPr>
        <w:t> </w:t>
      </w:r>
      <w:r>
        <w:rPr/>
        <w:t>a</w:t>
      </w:r>
      <w:r>
        <w:rPr>
          <w:spacing w:val="-1"/>
        </w:rPr>
        <w:t> </w:t>
      </w:r>
      <w:r>
        <w:rPr/>
        <w:t>big move,</w:t>
      </w:r>
      <w:r>
        <w:rPr>
          <w:spacing w:val="-1"/>
        </w:rPr>
        <w:t> </w:t>
      </w:r>
      <w:r>
        <w:rPr/>
        <w:t>and</w:t>
      </w:r>
      <w:r>
        <w:rPr>
          <w:spacing w:val="-1"/>
        </w:rPr>
        <w:t> </w:t>
      </w:r>
      <w:r>
        <w:rPr/>
        <w:t>will</w:t>
      </w:r>
      <w:r>
        <w:rPr>
          <w:spacing w:val="-3"/>
        </w:rPr>
        <w:t> </w:t>
      </w:r>
      <w:r>
        <w:rPr/>
        <w:t>usually</w:t>
      </w:r>
      <w:r>
        <w:rPr>
          <w:spacing w:val="-2"/>
        </w:rPr>
        <w:t> </w:t>
      </w:r>
      <w:r>
        <w:rPr/>
        <w:t>get</w:t>
      </w:r>
      <w:r>
        <w:rPr>
          <w:spacing w:val="-1"/>
        </w:rPr>
        <w:t> </w:t>
      </w:r>
      <w:r>
        <w:rPr/>
        <w:t>a</w:t>
      </w:r>
      <w:r>
        <w:rPr>
          <w:spacing w:val="-1"/>
        </w:rPr>
        <w:t> </w:t>
      </w:r>
      <w:r>
        <w:rPr/>
        <w:t>big</w:t>
      </w:r>
      <w:r>
        <w:rPr>
          <w:spacing w:val="-1"/>
        </w:rPr>
        <w:t> </w:t>
      </w:r>
      <w:r>
        <w:rPr/>
        <w:t>move</w:t>
      </w:r>
      <w:r>
        <w:rPr>
          <w:spacing w:val="-1"/>
        </w:rPr>
        <w:t> </w:t>
      </w:r>
      <w:r>
        <w:rPr/>
        <w:t>after</w:t>
      </w:r>
      <w:r>
        <w:rPr>
          <w:spacing w:val="-1"/>
        </w:rPr>
        <w:t> </w:t>
      </w:r>
      <w:r>
        <w:rPr/>
        <w:t>a</w:t>
      </w:r>
      <w:r>
        <w:rPr>
          <w:spacing w:val="-1"/>
        </w:rPr>
        <w:t> </w:t>
      </w:r>
      <w:r>
        <w:rPr/>
        <w:t>Sideways</w:t>
      </w:r>
      <w:r>
        <w:rPr>
          <w:spacing w:val="-1"/>
        </w:rPr>
        <w:t> </w:t>
      </w:r>
      <w:r>
        <w:rPr/>
        <w:t>Day.</w:t>
      </w:r>
      <w:r>
        <w:rPr>
          <w:spacing w:val="-1"/>
        </w:rPr>
        <w:t> </w:t>
      </w:r>
      <w:r>
        <w:rPr/>
        <w:t>If</w:t>
      </w:r>
      <w:r>
        <w:rPr>
          <w:spacing w:val="-1"/>
        </w:rPr>
        <w:t> </w:t>
      </w:r>
      <w:r>
        <w:rPr/>
        <w:t>the width</w:t>
      </w:r>
      <w:r>
        <w:rPr>
          <w:spacing w:val="33"/>
        </w:rPr>
        <w:t> </w:t>
      </w:r>
      <w:r>
        <w:rPr/>
        <w:t>of</w:t>
      </w:r>
      <w:r>
        <w:rPr>
          <w:spacing w:val="34"/>
        </w:rPr>
        <w:t> </w:t>
      </w:r>
      <w:r>
        <w:rPr/>
        <w:t>the</w:t>
      </w:r>
      <w:r>
        <w:rPr>
          <w:spacing w:val="32"/>
        </w:rPr>
        <w:t> </w:t>
      </w:r>
      <w:r>
        <w:rPr/>
        <w:t>value</w:t>
      </w:r>
      <w:r>
        <w:rPr>
          <w:spacing w:val="34"/>
        </w:rPr>
        <w:t> </w:t>
      </w:r>
      <w:r>
        <w:rPr/>
        <w:t>area</w:t>
      </w:r>
      <w:r>
        <w:rPr>
          <w:spacing w:val="34"/>
        </w:rPr>
        <w:t> </w:t>
      </w:r>
      <w:r>
        <w:rPr/>
        <w:t>is</w:t>
      </w:r>
      <w:r>
        <w:rPr>
          <w:spacing w:val="35"/>
        </w:rPr>
        <w:t> </w:t>
      </w:r>
      <w:r>
        <w:rPr/>
        <w:t>wide,</w:t>
      </w:r>
      <w:r>
        <w:rPr>
          <w:spacing w:val="33"/>
        </w:rPr>
        <w:t> </w:t>
      </w:r>
      <w:r>
        <w:rPr/>
        <w:t>you</w:t>
      </w:r>
      <w:r>
        <w:rPr>
          <w:spacing w:val="32"/>
        </w:rPr>
        <w:t> </w:t>
      </w:r>
      <w:r>
        <w:rPr/>
        <w:t>will</w:t>
      </w:r>
      <w:r>
        <w:rPr>
          <w:spacing w:val="33"/>
        </w:rPr>
        <w:t> </w:t>
      </w:r>
      <w:r>
        <w:rPr/>
        <w:t>usually</w:t>
      </w:r>
      <w:r>
        <w:rPr>
          <w:spacing w:val="32"/>
        </w:rPr>
        <w:t> </w:t>
      </w:r>
      <w:r>
        <w:rPr/>
        <w:t>look</w:t>
      </w:r>
      <w:r>
        <w:rPr>
          <w:spacing w:val="34"/>
        </w:rPr>
        <w:t> </w:t>
      </w:r>
      <w:r>
        <w:rPr/>
        <w:t>to</w:t>
      </w:r>
      <w:r>
        <w:rPr>
          <w:spacing w:val="34"/>
        </w:rPr>
        <w:t> </w:t>
      </w:r>
      <w:r>
        <w:rPr/>
        <w:t>trade</w:t>
      </w:r>
      <w:r>
        <w:rPr>
          <w:spacing w:val="32"/>
        </w:rPr>
        <w:t> </w:t>
      </w:r>
      <w:r>
        <w:rPr/>
        <w:t>within</w:t>
      </w:r>
      <w:r>
        <w:rPr>
          <w:spacing w:val="33"/>
        </w:rPr>
        <w:t> </w:t>
      </w:r>
      <w:r>
        <w:rPr/>
        <w:t>the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5"/>
        <w:jc w:val="both"/>
      </w:pPr>
      <w:r>
        <w:rPr/>
        <w:t>extremes of the initial balance, as these will likely hold throughout the session. Therefore, when the value area is wide, you will be preparing to</w:t>
      </w:r>
      <w:r>
        <w:rPr>
          <w:spacing w:val="40"/>
        </w:rPr>
        <w:t> </w:t>
      </w:r>
      <w:r>
        <w:rPr/>
        <w:t>trade a Typical, Expanded Typical, Trading Range, or Sideways Day. This will usually be the case during an Outside Value relationship day.</w:t>
      </w:r>
    </w:p>
    <w:p>
      <w:pPr>
        <w:pStyle w:val="BodyText"/>
        <w:ind w:left="500" w:right="136" w:firstLine="432"/>
        <w:jc w:val="both"/>
      </w:pPr>
      <w:r>
        <w:rPr/>
        <w:t>Conversely, if the width of the value area is extremely narrow, this is an indication that the prior day’s range of price activity was small, which can be the result of a Trading range or Sideways Day. When this occurs, you will typically prepare for a Trend, Double-Distribution Trend, or Expanded Typical Day, as a breakout from the prior day’s range will likely occur. In this instance, the outer boundaries of the initial balance may not hold throughout the session. Instead, market participants will likely overwhelm one or both sides of the initial balance, leading to range extension and one of the high-range day types.</w:t>
      </w:r>
    </w:p>
    <w:p>
      <w:pPr>
        <w:pStyle w:val="BodyText"/>
        <w:ind w:left="500" w:right="134" w:firstLine="432"/>
        <w:jc w:val="both"/>
      </w:pPr>
      <w:r>
        <w:rPr/>
        <w:t>Figure 4.16 shows a five-minute chart of Research in Motion, Ltd. that illustrates both narrow and wide value areas. Notice that the first day’s value area is extremely narrow. When this occurs, you will be preparing for a potential breakout opportunity. The initial balance on this day is also narrow, which is indicative of a Double-Distribution Trend Day. Eventually,</w:t>
      </w:r>
      <w:r>
        <w:rPr>
          <w:spacing w:val="40"/>
        </w:rPr>
        <w:t> </w:t>
      </w:r>
      <w:r>
        <w:rPr/>
        <w:t>initiative buyers overwhelmed the top of the initial balance and proceeded to push price higher the rest of the session, causing a wide range for the day.</w:t>
      </w:r>
    </w:p>
    <w:p>
      <w:pPr>
        <w:pStyle w:val="BodyText"/>
        <w:spacing w:before="1"/>
        <w:rPr>
          <w:sz w:val="20"/>
        </w:rPr>
      </w:pPr>
      <w:r>
        <w:rPr/>
        <w:drawing>
          <wp:anchor distT="0" distB="0" distL="0" distR="0" allowOverlap="1" layoutInCell="1" locked="0" behindDoc="0" simplePos="0" relativeHeight="107">
            <wp:simplePos x="0" y="0"/>
            <wp:positionH relativeFrom="page">
              <wp:posOffset>685800</wp:posOffset>
            </wp:positionH>
            <wp:positionV relativeFrom="paragraph">
              <wp:posOffset>162393</wp:posOffset>
            </wp:positionV>
            <wp:extent cx="4342904" cy="3103054"/>
            <wp:effectExtent l="0" t="0" r="0" b="0"/>
            <wp:wrapTopAndBottom/>
            <wp:docPr id="93" name="image48.png"/>
            <wp:cNvGraphicFramePr>
              <a:graphicFrameLocks noChangeAspect="1"/>
            </wp:cNvGraphicFramePr>
            <a:graphic>
              <a:graphicData uri="http://schemas.openxmlformats.org/drawingml/2006/picture">
                <pic:pic>
                  <pic:nvPicPr>
                    <pic:cNvPr id="94" name="image48.png"/>
                    <pic:cNvPicPr/>
                  </pic:nvPicPr>
                  <pic:blipFill>
                    <a:blip r:embed="rId118"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w:t>
      </w:r>
      <w:r>
        <w:rPr>
          <w:spacing w:val="-1"/>
          <w:sz w:val="16"/>
        </w:rPr>
        <w:t> </w:t>
      </w:r>
      <w:r>
        <w:rPr>
          <w:sz w:val="16"/>
        </w:rPr>
        <w:t>4.16: Value</w:t>
      </w:r>
      <w:r>
        <w:rPr>
          <w:spacing w:val="-1"/>
          <w:sz w:val="16"/>
        </w:rPr>
        <w:t> </w:t>
      </w:r>
      <w:r>
        <w:rPr>
          <w:sz w:val="16"/>
        </w:rPr>
        <w:t>area</w:t>
      </w:r>
      <w:r>
        <w:rPr>
          <w:spacing w:val="1"/>
          <w:sz w:val="16"/>
        </w:rPr>
        <w:t> </w:t>
      </w:r>
      <w:r>
        <w:rPr>
          <w:sz w:val="16"/>
        </w:rPr>
        <w:t>width can help forecast trending</w:t>
      </w:r>
      <w:r>
        <w:rPr>
          <w:spacing w:val="-1"/>
          <w:sz w:val="16"/>
        </w:rPr>
        <w:t> </w:t>
      </w:r>
      <w:r>
        <w:rPr>
          <w:sz w:val="16"/>
        </w:rPr>
        <w:t>or sideways</w:t>
      </w:r>
      <w:r>
        <w:rPr>
          <w:spacing w:val="1"/>
          <w:sz w:val="16"/>
        </w:rPr>
        <w:t> </w:t>
      </w:r>
      <w:r>
        <w:rPr>
          <w:sz w:val="16"/>
        </w:rPr>
        <w:t>market </w:t>
      </w:r>
      <w:r>
        <w:rPr>
          <w:spacing w:val="-2"/>
          <w:sz w:val="16"/>
        </w:rPr>
        <w:t>behavior.</w:t>
      </w:r>
    </w:p>
    <w:p>
      <w:pPr>
        <w:spacing w:after="0"/>
        <w:jc w:val="both"/>
        <w:rPr>
          <w:sz w:val="16"/>
        </w:rPr>
        <w:sectPr>
          <w:pgSz w:w="8640" w:h="12960"/>
          <w:pgMar w:header="536" w:footer="1060" w:top="720" w:bottom="1260" w:left="580" w:right="580"/>
        </w:sectPr>
      </w:pPr>
    </w:p>
    <w:p>
      <w:pPr>
        <w:pStyle w:val="BodyText"/>
        <w:spacing w:before="5"/>
        <w:rPr>
          <w:sz w:val="18"/>
        </w:rPr>
      </w:pPr>
    </w:p>
    <w:p>
      <w:pPr>
        <w:pStyle w:val="BodyText"/>
        <w:spacing w:before="64"/>
        <w:ind w:left="140" w:right="495" w:firstLine="432"/>
        <w:jc w:val="both"/>
      </w:pPr>
      <w:r>
        <w:rPr/>
        <w:t>As you recall, the market will typically alternate between high and low range sessions. The fact that the market rallied after the formation of a</w:t>
      </w:r>
      <w:r>
        <w:rPr>
          <w:spacing w:val="40"/>
        </w:rPr>
        <w:t> </w:t>
      </w:r>
      <w:r>
        <w:rPr/>
        <w:t>narrow value area caused the value area for the next session to be extremely wide. A wide value area will typically lead to Trading Range or Sideways Day behavior, which was the case the following day. When this occurs, the initial balance will usually be larger, as the market establishes the extremes for the day’s trading activity, which usually results in a Typical, Trading Range, or Sideways Day.</w:t>
      </w:r>
    </w:p>
    <w:p>
      <w:pPr>
        <w:pStyle w:val="BodyText"/>
        <w:spacing w:before="11"/>
        <w:rPr>
          <w:sz w:val="21"/>
        </w:rPr>
      </w:pPr>
    </w:p>
    <w:p>
      <w:pPr>
        <w:pStyle w:val="BodyText"/>
        <w:ind w:left="140"/>
      </w:pPr>
      <w:r>
        <w:rPr/>
        <w:t>BOSS</w:t>
      </w:r>
      <w:r>
        <w:rPr>
          <w:spacing w:val="-5"/>
        </w:rPr>
        <w:t> </w:t>
      </w:r>
      <w:r>
        <w:rPr/>
        <w:t>IN</w:t>
      </w:r>
      <w:r>
        <w:rPr>
          <w:spacing w:val="-5"/>
        </w:rPr>
        <w:t> </w:t>
      </w:r>
      <w:r>
        <w:rPr>
          <w:spacing w:val="-2"/>
        </w:rPr>
        <w:t>ACTION</w:t>
      </w:r>
    </w:p>
    <w:p>
      <w:pPr>
        <w:pStyle w:val="BodyText"/>
      </w:pPr>
    </w:p>
    <w:p>
      <w:pPr>
        <w:pStyle w:val="BodyText"/>
        <w:spacing w:before="1"/>
        <w:ind w:left="140" w:right="497" w:firstLine="432"/>
        <w:jc w:val="both"/>
      </w:pPr>
      <w:r>
        <w:rPr/>
        <w:t>When the market has traded quietly sideways within the boundaries of an abnormally wide value area, I’m usually salivating at the idea of trading a major breakout from range in the upcoming session. During this type of session, a Sideways Day or Trading Range Day will usually occur. If the market remains true and trades sideways during a session with wide Money Zone levels, the conditions are ripe for a big breakout opportunity the following session by way of a very narrow Money Zone range. When this occurs, I will watch the opening print very closely for signs of a gap beyond the prior day’s range to signify a true breakout scenario. If this occurs, I will trigger an entry in the direction of the gap with the hopes of riding a move to the close of the market.</w:t>
      </w:r>
    </w:p>
    <w:p>
      <w:pPr>
        <w:pStyle w:val="BodyText"/>
        <w:ind w:left="140" w:right="494" w:firstLine="432"/>
        <w:jc w:val="both"/>
      </w:pPr>
      <w:r>
        <w:rPr/>
        <w:t>Take</w:t>
      </w:r>
      <w:r>
        <w:rPr>
          <w:spacing w:val="-3"/>
        </w:rPr>
        <w:t> </w:t>
      </w:r>
      <w:r>
        <w:rPr/>
        <w:t>a</w:t>
      </w:r>
      <w:r>
        <w:rPr>
          <w:spacing w:val="-3"/>
        </w:rPr>
        <w:t> </w:t>
      </w:r>
      <w:r>
        <w:rPr/>
        <w:t>look</w:t>
      </w:r>
      <w:r>
        <w:rPr>
          <w:spacing w:val="-3"/>
        </w:rPr>
        <w:t> </w:t>
      </w:r>
      <w:r>
        <w:rPr/>
        <w:t>at</w:t>
      </w:r>
      <w:r>
        <w:rPr>
          <w:spacing w:val="-3"/>
        </w:rPr>
        <w:t> </w:t>
      </w:r>
      <w:r>
        <w:rPr/>
        <w:t>Figure</w:t>
      </w:r>
      <w:r>
        <w:rPr>
          <w:spacing w:val="-3"/>
        </w:rPr>
        <w:t> </w:t>
      </w:r>
      <w:r>
        <w:rPr/>
        <w:t>4.17,</w:t>
      </w:r>
      <w:r>
        <w:rPr>
          <w:spacing w:val="-5"/>
        </w:rPr>
        <w:t> </w:t>
      </w:r>
      <w:r>
        <w:rPr/>
        <w:t>which</w:t>
      </w:r>
      <w:r>
        <w:rPr>
          <w:spacing w:val="-4"/>
        </w:rPr>
        <w:t> </w:t>
      </w:r>
      <w:r>
        <w:rPr/>
        <w:t>illustrates</w:t>
      </w:r>
      <w:r>
        <w:rPr>
          <w:spacing w:val="-3"/>
        </w:rPr>
        <w:t> </w:t>
      </w:r>
      <w:r>
        <w:rPr/>
        <w:t>both</w:t>
      </w:r>
      <w:r>
        <w:rPr>
          <w:spacing w:val="-3"/>
        </w:rPr>
        <w:t> </w:t>
      </w:r>
      <w:r>
        <w:rPr/>
        <w:t>wide</w:t>
      </w:r>
      <w:r>
        <w:rPr>
          <w:spacing w:val="-4"/>
        </w:rPr>
        <w:t> </w:t>
      </w:r>
      <w:r>
        <w:rPr/>
        <w:t>and</w:t>
      </w:r>
      <w:r>
        <w:rPr>
          <w:spacing w:val="-3"/>
        </w:rPr>
        <w:t> </w:t>
      </w:r>
      <w:r>
        <w:rPr/>
        <w:t>narrow</w:t>
      </w:r>
      <w:r>
        <w:rPr>
          <w:spacing w:val="-2"/>
        </w:rPr>
        <w:t> </w:t>
      </w:r>
      <w:r>
        <w:rPr/>
        <w:t>range Money</w:t>
      </w:r>
      <w:r>
        <w:rPr>
          <w:spacing w:val="-2"/>
        </w:rPr>
        <w:t> </w:t>
      </w:r>
      <w:r>
        <w:rPr/>
        <w:t>Zone</w:t>
      </w:r>
      <w:r>
        <w:rPr>
          <w:spacing w:val="-2"/>
        </w:rPr>
        <w:t> </w:t>
      </w:r>
      <w:r>
        <w:rPr/>
        <w:t>levels.</w:t>
      </w:r>
      <w:r>
        <w:rPr>
          <w:spacing w:val="-2"/>
        </w:rPr>
        <w:t> </w:t>
      </w:r>
      <w:r>
        <w:rPr/>
        <w:t>Crude</w:t>
      </w:r>
      <w:r>
        <w:rPr>
          <w:spacing w:val="-1"/>
        </w:rPr>
        <w:t> </w:t>
      </w:r>
      <w:r>
        <w:rPr/>
        <w:t>Oil</w:t>
      </w:r>
      <w:r>
        <w:rPr>
          <w:spacing w:val="-2"/>
        </w:rPr>
        <w:t> </w:t>
      </w:r>
      <w:r>
        <w:rPr/>
        <w:t>got</w:t>
      </w:r>
      <w:r>
        <w:rPr>
          <w:spacing w:val="-2"/>
        </w:rPr>
        <w:t> </w:t>
      </w:r>
      <w:r>
        <w:rPr/>
        <w:t>a</w:t>
      </w:r>
      <w:r>
        <w:rPr>
          <w:spacing w:val="-1"/>
        </w:rPr>
        <w:t> </w:t>
      </w:r>
      <w:r>
        <w:rPr/>
        <w:t>magnificent</w:t>
      </w:r>
      <w:r>
        <w:rPr>
          <w:spacing w:val="-2"/>
        </w:rPr>
        <w:t> </w:t>
      </w:r>
      <w:r>
        <w:rPr/>
        <w:t>breakout</w:t>
      </w:r>
      <w:r>
        <w:rPr>
          <w:spacing w:val="-2"/>
        </w:rPr>
        <w:t> </w:t>
      </w:r>
      <w:r>
        <w:rPr/>
        <w:t>on</w:t>
      </w:r>
      <w:r>
        <w:rPr>
          <w:spacing w:val="-2"/>
        </w:rPr>
        <w:t> </w:t>
      </w:r>
      <w:r>
        <w:rPr/>
        <w:t>February</w:t>
      </w:r>
      <w:r>
        <w:rPr>
          <w:spacing w:val="-2"/>
        </w:rPr>
        <w:t> </w:t>
      </w:r>
      <w:r>
        <w:rPr/>
        <w:t>4</w:t>
      </w:r>
      <w:r>
        <w:rPr>
          <w:spacing w:val="-2"/>
        </w:rPr>
        <w:t> </w:t>
      </w:r>
      <w:r>
        <w:rPr/>
        <w:t>due, in part, to extremely narrow Money Zone levels. Of course, this </w:t>
      </w:r>
      <w:r>
        <w:rPr/>
        <w:t>occurred after a day that saw trading range behavior with a wide value area. On February 3, Crude Oil traded sideways throughout the session after forming wide Money Zone levels, which set up perfectly for a breakout play on February 4. As we’ve discovered throughout the chapter, the big money paydays occur on trending days. Given that the market traded quietly sideways on February 3, the Money Zone levels for the following session were extremely narrow, setting the stage for a nice breakout opportunity.</w:t>
      </w:r>
    </w:p>
    <w:p>
      <w:pPr>
        <w:pStyle w:val="BodyText"/>
        <w:ind w:left="140" w:right="499" w:firstLine="432"/>
        <w:jc w:val="both"/>
      </w:pPr>
      <w:r>
        <w:rPr/>
        <w:t>I approach a narrow range breakout opportunity with the same confidence and enthusiasm as I would a day with an Inside Value relationship. Again, I will look for an opening print that occurs beyond the prior day’s range and value, which sets the stage for a true Trend Day scenario.</w:t>
      </w:r>
      <w:r>
        <w:rPr>
          <w:spacing w:val="-4"/>
        </w:rPr>
        <w:t> </w:t>
      </w:r>
      <w:r>
        <w:rPr/>
        <w:t>If</w:t>
      </w:r>
      <w:r>
        <w:rPr>
          <w:spacing w:val="-2"/>
        </w:rPr>
        <w:t> </w:t>
      </w:r>
      <w:r>
        <w:rPr/>
        <w:t>this</w:t>
      </w:r>
      <w:r>
        <w:rPr>
          <w:spacing w:val="-3"/>
        </w:rPr>
        <w:t> </w:t>
      </w:r>
      <w:r>
        <w:rPr/>
        <w:t>occurs,</w:t>
      </w:r>
      <w:r>
        <w:rPr>
          <w:spacing w:val="-3"/>
        </w:rPr>
        <w:t> </w:t>
      </w:r>
      <w:r>
        <w:rPr/>
        <w:t>I</w:t>
      </w:r>
      <w:r>
        <w:rPr>
          <w:spacing w:val="-2"/>
        </w:rPr>
        <w:t> </w:t>
      </w:r>
      <w:r>
        <w:rPr/>
        <w:t>will</w:t>
      </w:r>
      <w:r>
        <w:rPr>
          <w:spacing w:val="-3"/>
        </w:rPr>
        <w:t> </w:t>
      </w:r>
      <w:r>
        <w:rPr/>
        <w:t>enter</w:t>
      </w:r>
      <w:r>
        <w:rPr>
          <w:spacing w:val="-3"/>
        </w:rPr>
        <w:t> </w:t>
      </w:r>
      <w:r>
        <w:rPr/>
        <w:t>the</w:t>
      </w:r>
      <w:r>
        <w:rPr>
          <w:spacing w:val="-2"/>
        </w:rPr>
        <w:t> </w:t>
      </w:r>
      <w:r>
        <w:rPr/>
        <w:t>market</w:t>
      </w:r>
      <w:r>
        <w:rPr>
          <w:spacing w:val="-2"/>
        </w:rPr>
        <w:t> </w:t>
      </w:r>
      <w:r>
        <w:rPr/>
        <w:t>with</w:t>
      </w:r>
      <w:r>
        <w:rPr>
          <w:spacing w:val="-4"/>
        </w:rPr>
        <w:t> </w:t>
      </w:r>
      <w:r>
        <w:rPr/>
        <w:t>a</w:t>
      </w:r>
      <w:r>
        <w:rPr>
          <w:spacing w:val="-2"/>
        </w:rPr>
        <w:t> </w:t>
      </w:r>
      <w:r>
        <w:rPr/>
        <w:t>loose</w:t>
      </w:r>
      <w:r>
        <w:rPr>
          <w:spacing w:val="-3"/>
        </w:rPr>
        <w:t> </w:t>
      </w:r>
      <w:r>
        <w:rPr/>
        <w:t>trailing</w:t>
      </w:r>
      <w:r>
        <w:rPr>
          <w:spacing w:val="-3"/>
        </w:rPr>
        <w:t> </w:t>
      </w:r>
      <w:r>
        <w:rPr/>
        <w:t>profit</w:t>
      </w:r>
      <w:r>
        <w:rPr>
          <w:spacing w:val="-3"/>
        </w:rPr>
        <w:t> </w:t>
      </w:r>
      <w:r>
        <w:rPr/>
        <w:t>stop with the hopes of riding the wave as long as I can, as was the case in this </w:t>
      </w:r>
      <w:r>
        <w:rPr>
          <w:spacing w:val="-2"/>
        </w:rPr>
        <w:t>instance.</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49" cy="3068954"/>
            <wp:effectExtent l="0" t="0" r="0" b="0"/>
            <wp:docPr id="95" name="image49.png"/>
            <wp:cNvGraphicFramePr>
              <a:graphicFrameLocks noChangeAspect="1"/>
            </wp:cNvGraphicFramePr>
            <a:graphic>
              <a:graphicData uri="http://schemas.openxmlformats.org/drawingml/2006/picture">
                <pic:pic>
                  <pic:nvPicPr>
                    <pic:cNvPr id="96" name="image49.png"/>
                    <pic:cNvPicPr/>
                  </pic:nvPicPr>
                  <pic:blipFill>
                    <a:blip r:embed="rId119" cstate="print"/>
                    <a:stretch>
                      <a:fillRect/>
                    </a:stretch>
                  </pic:blipFill>
                  <pic:spPr>
                    <a:xfrm>
                      <a:off x="0" y="0"/>
                      <a:ext cx="4304849" cy="3068954"/>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4.17:</w:t>
      </w:r>
      <w:r>
        <w:rPr>
          <w:spacing w:val="1"/>
          <w:sz w:val="16"/>
        </w:rPr>
        <w:t> </w:t>
      </w:r>
      <w:r>
        <w:rPr>
          <w:sz w:val="16"/>
        </w:rPr>
        <w:t>The</w:t>
      </w:r>
      <w:r>
        <w:rPr>
          <w:spacing w:val="1"/>
          <w:sz w:val="16"/>
        </w:rPr>
        <w:t> </w:t>
      </w:r>
      <w:r>
        <w:rPr>
          <w:sz w:val="16"/>
        </w:rPr>
        <w:t>width</w:t>
      </w:r>
      <w:r>
        <w:rPr>
          <w:spacing w:val="1"/>
          <w:sz w:val="16"/>
        </w:rPr>
        <w:t> </w:t>
      </w:r>
      <w:r>
        <w:rPr>
          <w:sz w:val="16"/>
        </w:rPr>
        <w:t>of</w:t>
      </w:r>
      <w:r>
        <w:rPr>
          <w:spacing w:val="1"/>
          <w:sz w:val="16"/>
        </w:rPr>
        <w:t> </w:t>
      </w:r>
      <w:r>
        <w:rPr>
          <w:sz w:val="16"/>
        </w:rPr>
        <w:t>the</w:t>
      </w:r>
      <w:r>
        <w:rPr>
          <w:spacing w:val="1"/>
          <w:sz w:val="16"/>
        </w:rPr>
        <w:t> </w:t>
      </w:r>
      <w:r>
        <w:rPr>
          <w:sz w:val="16"/>
        </w:rPr>
        <w:t>value</w:t>
      </w:r>
      <w:r>
        <w:rPr>
          <w:spacing w:val="1"/>
          <w:sz w:val="16"/>
        </w:rPr>
        <w:t> </w:t>
      </w:r>
      <w:r>
        <w:rPr>
          <w:sz w:val="16"/>
        </w:rPr>
        <w:t>areas</w:t>
      </w:r>
      <w:r>
        <w:rPr>
          <w:spacing w:val="2"/>
          <w:sz w:val="16"/>
        </w:rPr>
        <w:t> </w:t>
      </w:r>
      <w:r>
        <w:rPr>
          <w:sz w:val="16"/>
        </w:rPr>
        <w:t>helped</w:t>
      </w:r>
      <w:r>
        <w:rPr>
          <w:spacing w:val="1"/>
          <w:sz w:val="16"/>
        </w:rPr>
        <w:t> </w:t>
      </w:r>
      <w:r>
        <w:rPr>
          <w:sz w:val="16"/>
        </w:rPr>
        <w:t>forecast</w:t>
      </w:r>
      <w:r>
        <w:rPr>
          <w:spacing w:val="1"/>
          <w:sz w:val="16"/>
        </w:rPr>
        <w:t> </w:t>
      </w:r>
      <w:r>
        <w:rPr>
          <w:sz w:val="16"/>
        </w:rPr>
        <w:t>price</w:t>
      </w:r>
      <w:r>
        <w:rPr>
          <w:spacing w:val="1"/>
          <w:sz w:val="16"/>
        </w:rPr>
        <w:t> </w:t>
      </w:r>
      <w:r>
        <w:rPr>
          <w:sz w:val="16"/>
        </w:rPr>
        <w:t>behavior</w:t>
      </w:r>
      <w:r>
        <w:rPr>
          <w:spacing w:val="2"/>
          <w:sz w:val="16"/>
        </w:rPr>
        <w:t> </w:t>
      </w:r>
      <w:r>
        <w:rPr>
          <w:sz w:val="16"/>
        </w:rPr>
        <w:t>in</w:t>
      </w:r>
      <w:r>
        <w:rPr>
          <w:spacing w:val="1"/>
          <w:sz w:val="16"/>
        </w:rPr>
        <w:t> </w:t>
      </w:r>
      <w:r>
        <w:rPr>
          <w:sz w:val="16"/>
        </w:rPr>
        <w:t>Crude</w:t>
      </w:r>
      <w:r>
        <w:rPr>
          <w:spacing w:val="1"/>
          <w:sz w:val="16"/>
        </w:rPr>
        <w:t> </w:t>
      </w:r>
      <w:r>
        <w:rPr>
          <w:spacing w:val="-4"/>
          <w:sz w:val="16"/>
        </w:rPr>
        <w:t>Oil.</w:t>
      </w:r>
    </w:p>
    <w:p>
      <w:pPr>
        <w:pStyle w:val="BodyText"/>
        <w:spacing w:before="1"/>
      </w:pPr>
    </w:p>
    <w:p>
      <w:pPr>
        <w:pStyle w:val="BodyText"/>
        <w:ind w:left="500" w:right="136" w:firstLine="432"/>
        <w:jc w:val="both"/>
      </w:pPr>
      <w:r>
        <w:rPr/>
        <w:t>There are countless setups that occur throughout the session. The key is to find the setups that fit your trader profile. As such, I usually look to trade scenarios that offer the best opportunity for success given my personal profile. Therefore, with a narrow range breakout opportunity, I like to see the opening print occur beyond the prior day’s range, which usually sets up nicely for big movement (but not always). However, what happens if the market does not open beyond the prior day’s range and value? What if the market opens within the day’s narrow Money Zone range? In this case, the market’s perception of value has not changed significantly enough to force initiative participants to enter the market in search of new value. Therefore, you are less likely to see fireworks in the market even if a breakout occurs at some point during the session, although a slim chance does still exist. Therefore, a breakout from the narrow range Money Zone levels may spark key price movement, but confirmation past the prior days range will need to be seen in order for a move with true market participation to occur.</w:t>
      </w:r>
    </w:p>
    <w:p>
      <w:pPr>
        <w:pStyle w:val="BodyText"/>
      </w:pPr>
    </w:p>
    <w:p>
      <w:pPr>
        <w:pStyle w:val="Heading3"/>
        <w:spacing w:before="1"/>
        <w:ind w:left="500"/>
      </w:pPr>
      <w:r>
        <w:rPr/>
        <w:pict>
          <v:shape style="position:absolute;margin-left:54.779999pt;margin-top:18.280313pt;width:341pt;height:.1pt;mso-position-horizontal-relative:page;mso-position-vertical-relative:paragraph;z-index:-15673344;mso-wrap-distance-left:0;mso-wrap-distance-right:0" id="docshape383" coordorigin="1096,366" coordsize="6820,0" path="m1096,366l7915,366e" filled="false" stroked="true" strokeweight=".75pt" strokecolor="#000000">
            <v:path arrowok="t"/>
            <v:stroke dashstyle="solid"/>
            <w10:wrap type="topAndBottom"/>
          </v:shape>
        </w:pict>
      </w:r>
      <w:bookmarkStart w:name="_TOC_250059" w:id="32"/>
      <w:r>
        <w:rPr>
          <w:smallCaps/>
        </w:rPr>
        <w:t>Virgin</w:t>
      </w:r>
      <w:r>
        <w:rPr>
          <w:smallCaps/>
          <w:spacing w:val="-11"/>
        </w:rPr>
        <w:t> </w:t>
      </w:r>
      <w:r>
        <w:rPr>
          <w:smallCaps/>
        </w:rPr>
        <w:t>Money</w:t>
      </w:r>
      <w:r>
        <w:rPr>
          <w:smallCaps/>
          <w:spacing w:val="-14"/>
        </w:rPr>
        <w:t> </w:t>
      </w:r>
      <w:r>
        <w:rPr>
          <w:smallCaps/>
        </w:rPr>
        <w:t>Zone</w:t>
      </w:r>
      <w:r>
        <w:rPr>
          <w:smallCaps/>
          <w:spacing w:val="-9"/>
        </w:rPr>
        <w:t> </w:t>
      </w:r>
      <w:bookmarkEnd w:id="32"/>
      <w:r>
        <w:rPr>
          <w:smallCaps/>
          <w:spacing w:val="-2"/>
        </w:rPr>
        <w:t>Levels</w:t>
      </w:r>
    </w:p>
    <w:p>
      <w:pPr>
        <w:pStyle w:val="BodyText"/>
        <w:spacing w:before="203"/>
        <w:ind w:left="499" w:right="136" w:firstLine="432"/>
        <w:jc w:val="both"/>
      </w:pPr>
      <w:r>
        <w:rPr/>
        <w:t>Unlike other indicators, prior Money Zone levels can be extremely important</w:t>
      </w:r>
      <w:r>
        <w:rPr>
          <w:spacing w:val="61"/>
        </w:rPr>
        <w:t> </w:t>
      </w:r>
      <w:r>
        <w:rPr/>
        <w:t>and</w:t>
      </w:r>
      <w:r>
        <w:rPr>
          <w:spacing w:val="61"/>
        </w:rPr>
        <w:t> </w:t>
      </w:r>
      <w:r>
        <w:rPr/>
        <w:t>influential</w:t>
      </w:r>
      <w:r>
        <w:rPr>
          <w:spacing w:val="62"/>
        </w:rPr>
        <w:t> </w:t>
      </w:r>
      <w:r>
        <w:rPr/>
        <w:t>in</w:t>
      </w:r>
      <w:r>
        <w:rPr>
          <w:spacing w:val="61"/>
        </w:rPr>
        <w:t> </w:t>
      </w:r>
      <w:r>
        <w:rPr/>
        <w:t>the</w:t>
      </w:r>
      <w:r>
        <w:rPr>
          <w:spacing w:val="62"/>
        </w:rPr>
        <w:t> </w:t>
      </w:r>
      <w:r>
        <w:rPr/>
        <w:t>current</w:t>
      </w:r>
      <w:r>
        <w:rPr>
          <w:spacing w:val="61"/>
        </w:rPr>
        <w:t> </w:t>
      </w:r>
      <w:r>
        <w:rPr/>
        <w:t>trading</w:t>
      </w:r>
      <w:r>
        <w:rPr>
          <w:spacing w:val="60"/>
        </w:rPr>
        <w:t> </w:t>
      </w:r>
      <w:r>
        <w:rPr/>
        <w:t>session.</w:t>
      </w:r>
      <w:r>
        <w:rPr>
          <w:spacing w:val="62"/>
        </w:rPr>
        <w:t> </w:t>
      </w:r>
      <w:r>
        <w:rPr/>
        <w:t>Remember,</w:t>
      </w:r>
      <w:r>
        <w:rPr>
          <w:spacing w:val="61"/>
        </w:rPr>
        <w:t> </w:t>
      </w:r>
      <w:r>
        <w:rPr>
          <w:spacing w:val="-5"/>
        </w:rPr>
        <w:t>the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jc w:val="both"/>
      </w:pPr>
      <w:r>
        <w:rPr/>
        <w:t>Money Zone levels are based on </w:t>
      </w:r>
      <w:r>
        <w:rPr>
          <w:i/>
        </w:rPr>
        <w:t>actual </w:t>
      </w:r>
      <w:r>
        <w:rPr/>
        <w:t>trading that occurred in a prior session. Market participants establish new value areas with each passing day. Therefore, when price returns to a value area that was established in a prior session, market participants will remember these price levels and will react according to their perception of value at the present time. Of course, the importance of prior Money Zone levels will diminish the longer the market stays away from these price zones. While last week’s Money Zone levels</w:t>
      </w:r>
      <w:r>
        <w:rPr>
          <w:spacing w:val="40"/>
        </w:rPr>
        <w:t> </w:t>
      </w:r>
      <w:r>
        <w:rPr/>
        <w:t>may still play an important role on current price behavior, Money Zone</w:t>
      </w:r>
      <w:r>
        <w:rPr>
          <w:spacing w:val="40"/>
        </w:rPr>
        <w:t> </w:t>
      </w:r>
      <w:r>
        <w:rPr/>
        <w:t>levels established three months ago may not be remembered by the market and, therefore, will have vastly reduced significance, if any at all.</w:t>
      </w:r>
    </w:p>
    <w:p>
      <w:pPr>
        <w:pStyle w:val="BodyText"/>
        <w:ind w:left="140" w:right="494" w:firstLine="432"/>
        <w:jc w:val="both"/>
      </w:pPr>
      <w:r>
        <w:rPr/>
        <w:t>A Money Zone level that was never touched during its session of origin is called a </w:t>
      </w:r>
      <w:r>
        <w:rPr>
          <w:i/>
        </w:rPr>
        <w:t>virgin Money Zone level</w:t>
      </w:r>
      <w:r>
        <w:rPr/>
        <w:t>, which can also be known as naked</w:t>
      </w:r>
      <w:r>
        <w:rPr>
          <w:spacing w:val="40"/>
        </w:rPr>
        <w:t> </w:t>
      </w:r>
      <w:r>
        <w:rPr/>
        <w:t>levels. These levels have special significance</w:t>
      </w:r>
      <w:r>
        <w:rPr/>
        <w:t> because the market will typically see these levels as it does an unfilled gap that must be filled at a later</w:t>
      </w:r>
      <w:r>
        <w:rPr>
          <w:spacing w:val="-2"/>
        </w:rPr>
        <w:t> </w:t>
      </w:r>
      <w:r>
        <w:rPr/>
        <w:t>point</w:t>
      </w:r>
      <w:r>
        <w:rPr>
          <w:spacing w:val="-2"/>
        </w:rPr>
        <w:t> </w:t>
      </w:r>
      <w:r>
        <w:rPr/>
        <w:t>in</w:t>
      </w:r>
      <w:r>
        <w:rPr>
          <w:spacing w:val="-3"/>
        </w:rPr>
        <w:t> </w:t>
      </w:r>
      <w:r>
        <w:rPr/>
        <w:t>time.</w:t>
      </w:r>
      <w:r>
        <w:rPr>
          <w:spacing w:val="-2"/>
        </w:rPr>
        <w:t> </w:t>
      </w:r>
      <w:r>
        <w:rPr/>
        <w:t>Virgin</w:t>
      </w:r>
      <w:r>
        <w:rPr>
          <w:spacing w:val="-2"/>
        </w:rPr>
        <w:t> </w:t>
      </w:r>
      <w:r>
        <w:rPr/>
        <w:t>Money</w:t>
      </w:r>
      <w:r>
        <w:rPr>
          <w:spacing w:val="-2"/>
        </w:rPr>
        <w:t> </w:t>
      </w:r>
      <w:r>
        <w:rPr/>
        <w:t>Zone</w:t>
      </w:r>
      <w:r>
        <w:rPr>
          <w:spacing w:val="-3"/>
        </w:rPr>
        <w:t> </w:t>
      </w:r>
      <w:r>
        <w:rPr/>
        <w:t>levels</w:t>
      </w:r>
      <w:r>
        <w:rPr>
          <w:spacing w:val="-2"/>
        </w:rPr>
        <w:t> </w:t>
      </w:r>
      <w:r>
        <w:rPr/>
        <w:t>will</w:t>
      </w:r>
      <w:r>
        <w:rPr>
          <w:spacing w:val="-2"/>
        </w:rPr>
        <w:t> </w:t>
      </w:r>
      <w:r>
        <w:rPr/>
        <w:t>usually</w:t>
      </w:r>
      <w:r>
        <w:rPr>
          <w:spacing w:val="-3"/>
        </w:rPr>
        <w:t> </w:t>
      </w:r>
      <w:r>
        <w:rPr/>
        <w:t>attract</w:t>
      </w:r>
      <w:r>
        <w:rPr>
          <w:spacing w:val="-2"/>
        </w:rPr>
        <w:t> </w:t>
      </w:r>
      <w:r>
        <w:rPr/>
        <w:t>price</w:t>
      </w:r>
      <w:r>
        <w:rPr>
          <w:spacing w:val="-2"/>
        </w:rPr>
        <w:t> </w:t>
      </w:r>
      <w:r>
        <w:rPr/>
        <w:t>during a later session, serving as a sort of magnet to price. When a virgin level is formed, market participants will remember this level and will usually approach it for a test in a later session. A test at a virgin level will usually serve as resistance and push price back in the direction from whence it came. Basically, market participants must see if any new business will be</w:t>
      </w:r>
      <w:r>
        <w:rPr>
          <w:spacing w:val="80"/>
        </w:rPr>
        <w:t> </w:t>
      </w:r>
      <w:r>
        <w:rPr/>
        <w:t>conducted beyond the virgin level before they can push price into a new direction. When initiative participants do not enter the market beyond the virgin level, responsive participants take control and push price back toward fair value.</w:t>
      </w:r>
    </w:p>
    <w:p>
      <w:pPr>
        <w:pStyle w:val="BodyText"/>
        <w:spacing w:before="1"/>
      </w:pPr>
    </w:p>
    <w:p>
      <w:pPr>
        <w:spacing w:before="0"/>
        <w:ind w:left="168" w:right="526" w:hanging="1"/>
        <w:jc w:val="center"/>
        <w:rPr>
          <w:i/>
          <w:sz w:val="22"/>
        </w:rPr>
      </w:pPr>
      <w:r>
        <w:rPr>
          <w:i/>
          <w:sz w:val="22"/>
        </w:rPr>
        <w:t>A</w:t>
      </w:r>
      <w:r>
        <w:rPr>
          <w:i/>
          <w:spacing w:val="-3"/>
          <w:sz w:val="22"/>
        </w:rPr>
        <w:t> </w:t>
      </w:r>
      <w:r>
        <w:rPr>
          <w:i/>
          <w:sz w:val="22"/>
        </w:rPr>
        <w:t>virgin</w:t>
      </w:r>
      <w:r>
        <w:rPr>
          <w:i/>
          <w:spacing w:val="-3"/>
          <w:sz w:val="22"/>
        </w:rPr>
        <w:t> </w:t>
      </w:r>
      <w:r>
        <w:rPr>
          <w:i/>
          <w:sz w:val="22"/>
        </w:rPr>
        <w:t>Money</w:t>
      </w:r>
      <w:r>
        <w:rPr>
          <w:i/>
          <w:spacing w:val="-3"/>
          <w:sz w:val="22"/>
        </w:rPr>
        <w:t> </w:t>
      </w:r>
      <w:r>
        <w:rPr>
          <w:i/>
          <w:sz w:val="22"/>
        </w:rPr>
        <w:t>Zone</w:t>
      </w:r>
      <w:r>
        <w:rPr>
          <w:i/>
          <w:spacing w:val="-3"/>
          <w:sz w:val="22"/>
        </w:rPr>
        <w:t> </w:t>
      </w:r>
      <w:r>
        <w:rPr>
          <w:i/>
          <w:sz w:val="22"/>
        </w:rPr>
        <w:t>level</w:t>
      </w:r>
      <w:r>
        <w:rPr>
          <w:i/>
          <w:spacing w:val="-2"/>
          <w:sz w:val="22"/>
        </w:rPr>
        <w:t> </w:t>
      </w:r>
      <w:r>
        <w:rPr>
          <w:i/>
          <w:sz w:val="22"/>
        </w:rPr>
        <w:t>can</w:t>
      </w:r>
      <w:r>
        <w:rPr>
          <w:i/>
          <w:spacing w:val="-3"/>
          <w:sz w:val="22"/>
        </w:rPr>
        <w:t> </w:t>
      </w:r>
      <w:r>
        <w:rPr>
          <w:i/>
          <w:sz w:val="22"/>
        </w:rPr>
        <w:t>be</w:t>
      </w:r>
      <w:r>
        <w:rPr>
          <w:i/>
          <w:spacing w:val="-3"/>
          <w:sz w:val="22"/>
        </w:rPr>
        <w:t> </w:t>
      </w:r>
      <w:r>
        <w:rPr>
          <w:i/>
          <w:sz w:val="22"/>
        </w:rPr>
        <w:t>an</w:t>
      </w:r>
      <w:r>
        <w:rPr>
          <w:i/>
          <w:spacing w:val="-3"/>
          <w:sz w:val="22"/>
        </w:rPr>
        <w:t> </w:t>
      </w:r>
      <w:r>
        <w:rPr>
          <w:i/>
          <w:sz w:val="22"/>
        </w:rPr>
        <w:t>extremely</w:t>
      </w:r>
      <w:r>
        <w:rPr>
          <w:i/>
          <w:spacing w:val="-3"/>
          <w:sz w:val="22"/>
        </w:rPr>
        <w:t> </w:t>
      </w:r>
      <w:r>
        <w:rPr>
          <w:i/>
          <w:sz w:val="22"/>
        </w:rPr>
        <w:t>important</w:t>
      </w:r>
      <w:r>
        <w:rPr>
          <w:i/>
          <w:spacing w:val="-3"/>
          <w:sz w:val="22"/>
        </w:rPr>
        <w:t> </w:t>
      </w:r>
      <w:r>
        <w:rPr>
          <w:i/>
          <w:sz w:val="22"/>
        </w:rPr>
        <w:t>reference</w:t>
      </w:r>
      <w:r>
        <w:rPr>
          <w:i/>
          <w:spacing w:val="-2"/>
          <w:sz w:val="22"/>
        </w:rPr>
        <w:t> </w:t>
      </w:r>
      <w:r>
        <w:rPr>
          <w:i/>
          <w:sz w:val="22"/>
        </w:rPr>
        <w:t>point,</w:t>
      </w:r>
      <w:r>
        <w:rPr>
          <w:i/>
          <w:spacing w:val="-5"/>
          <w:sz w:val="22"/>
        </w:rPr>
        <w:t> </w:t>
      </w:r>
      <w:r>
        <w:rPr>
          <w:i/>
          <w:sz w:val="22"/>
        </w:rPr>
        <w:t>as</w:t>
      </w:r>
      <w:r>
        <w:rPr>
          <w:i/>
          <w:sz w:val="22"/>
        </w:rPr>
        <w:t> market</w:t>
      </w:r>
      <w:r>
        <w:rPr>
          <w:i/>
          <w:spacing w:val="-5"/>
          <w:sz w:val="22"/>
        </w:rPr>
        <w:t> </w:t>
      </w:r>
      <w:r>
        <w:rPr>
          <w:i/>
          <w:sz w:val="22"/>
        </w:rPr>
        <w:t>participants</w:t>
      </w:r>
      <w:r>
        <w:rPr>
          <w:i/>
          <w:spacing w:val="-4"/>
          <w:sz w:val="22"/>
        </w:rPr>
        <w:t> </w:t>
      </w:r>
      <w:r>
        <w:rPr>
          <w:i/>
          <w:sz w:val="22"/>
        </w:rPr>
        <w:t>will</w:t>
      </w:r>
      <w:r>
        <w:rPr>
          <w:i/>
          <w:spacing w:val="-4"/>
          <w:sz w:val="22"/>
        </w:rPr>
        <w:t> </w:t>
      </w:r>
      <w:r>
        <w:rPr>
          <w:i/>
          <w:sz w:val="22"/>
        </w:rPr>
        <w:t>usually</w:t>
      </w:r>
      <w:r>
        <w:rPr>
          <w:i/>
          <w:spacing w:val="-4"/>
          <w:sz w:val="22"/>
        </w:rPr>
        <w:t> </w:t>
      </w:r>
      <w:r>
        <w:rPr>
          <w:i/>
          <w:sz w:val="22"/>
        </w:rPr>
        <w:t>drive</w:t>
      </w:r>
      <w:r>
        <w:rPr>
          <w:i/>
          <w:spacing w:val="-4"/>
          <w:sz w:val="22"/>
        </w:rPr>
        <w:t> </w:t>
      </w:r>
      <w:r>
        <w:rPr>
          <w:i/>
          <w:sz w:val="22"/>
        </w:rPr>
        <w:t>price</w:t>
      </w:r>
      <w:r>
        <w:rPr>
          <w:i/>
          <w:spacing w:val="-4"/>
          <w:sz w:val="22"/>
        </w:rPr>
        <w:t> </w:t>
      </w:r>
      <w:r>
        <w:rPr>
          <w:i/>
          <w:sz w:val="22"/>
        </w:rPr>
        <w:t>back</w:t>
      </w:r>
      <w:r>
        <w:rPr>
          <w:i/>
          <w:spacing w:val="-4"/>
          <w:sz w:val="22"/>
        </w:rPr>
        <w:t> </w:t>
      </w:r>
      <w:r>
        <w:rPr>
          <w:i/>
          <w:sz w:val="22"/>
        </w:rPr>
        <w:t>toward</w:t>
      </w:r>
      <w:r>
        <w:rPr>
          <w:i/>
          <w:spacing w:val="-4"/>
          <w:sz w:val="22"/>
        </w:rPr>
        <w:t> </w:t>
      </w:r>
      <w:r>
        <w:rPr>
          <w:i/>
          <w:sz w:val="22"/>
        </w:rPr>
        <w:t>this</w:t>
      </w:r>
      <w:r>
        <w:rPr>
          <w:i/>
          <w:spacing w:val="-4"/>
          <w:sz w:val="22"/>
        </w:rPr>
        <w:t> </w:t>
      </w:r>
      <w:r>
        <w:rPr>
          <w:i/>
          <w:sz w:val="22"/>
        </w:rPr>
        <w:t>untouched</w:t>
      </w:r>
      <w:r>
        <w:rPr>
          <w:i/>
          <w:spacing w:val="-4"/>
          <w:sz w:val="22"/>
        </w:rPr>
        <w:t> </w:t>
      </w:r>
      <w:r>
        <w:rPr>
          <w:i/>
          <w:sz w:val="22"/>
        </w:rPr>
        <w:t>level for a test at a future point in time.</w:t>
      </w:r>
    </w:p>
    <w:p>
      <w:pPr>
        <w:pStyle w:val="BodyText"/>
        <w:spacing w:before="11"/>
        <w:rPr>
          <w:i/>
          <w:sz w:val="21"/>
        </w:rPr>
      </w:pPr>
    </w:p>
    <w:p>
      <w:pPr>
        <w:pStyle w:val="BodyText"/>
        <w:ind w:left="140" w:right="496" w:firstLine="432"/>
        <w:jc w:val="both"/>
      </w:pPr>
      <w:r>
        <w:rPr/>
        <w:t>Not all virgin Money Zone levels must be “filled,” however. Actually, I find that only two of the three levels will have the most relevance after their formation. The first, and most obvious, virgin level to be concerned with is a </w:t>
      </w:r>
      <w:r>
        <w:rPr>
          <w:i/>
        </w:rPr>
        <w:t>virgin point of control </w:t>
      </w:r>
      <w:r>
        <w:rPr/>
        <w:t>(VPC). The point of control is the fairest price to both buyers and sellers in a given timeframe. Traders will watch this level closely and judge current price against it to trigger responsive or initiative actions.</w:t>
      </w:r>
      <w:r>
        <w:rPr>
          <w:spacing w:val="40"/>
        </w:rPr>
        <w:t> </w:t>
      </w:r>
      <w:r>
        <w:rPr/>
        <w:t>To say that this level is important is an understatement. Therefore, when</w:t>
      </w:r>
      <w:r>
        <w:rPr>
          <w:spacing w:val="40"/>
        </w:rPr>
        <w:t> </w:t>
      </w:r>
      <w:r>
        <w:rPr/>
        <w:t>price moves aggressively</w:t>
      </w:r>
      <w:r>
        <w:rPr>
          <w:spacing w:val="-1"/>
        </w:rPr>
        <w:t> </w:t>
      </w:r>
      <w:r>
        <w:rPr/>
        <w:t>away from the point of control during its</w:t>
      </w:r>
      <w:r>
        <w:rPr>
          <w:spacing w:val="-1"/>
        </w:rPr>
        <w:t> </w:t>
      </w:r>
      <w:r>
        <w:rPr/>
        <w:t>session of origin without testing it, traders will take notice and use this level as a key reference point at a later date.</w:t>
      </w:r>
    </w:p>
    <w:p>
      <w:pPr>
        <w:pStyle w:val="BodyText"/>
        <w:ind w:left="140" w:right="499" w:firstLine="432"/>
        <w:jc w:val="both"/>
      </w:pPr>
      <w:r>
        <w:rPr/>
        <w:t>Let’s take a look at Figure 4.18, which is a five-minute chart of Heating Oil futures. On December 2, price moved aggressively away from the POC during</w:t>
      </w:r>
      <w:r>
        <w:rPr>
          <w:spacing w:val="40"/>
        </w:rPr>
        <w:t> </w:t>
      </w:r>
      <w:r>
        <w:rPr/>
        <w:t>its</w:t>
      </w:r>
      <w:r>
        <w:rPr>
          <w:spacing w:val="40"/>
        </w:rPr>
        <w:t> </w:t>
      </w:r>
      <w:r>
        <w:rPr/>
        <w:t>session</w:t>
      </w:r>
      <w:r>
        <w:rPr>
          <w:spacing w:val="40"/>
        </w:rPr>
        <w:t> </w:t>
      </w:r>
      <w:r>
        <w:rPr/>
        <w:t>of</w:t>
      </w:r>
      <w:r>
        <w:rPr>
          <w:spacing w:val="40"/>
        </w:rPr>
        <w:t> </w:t>
      </w:r>
      <w:r>
        <w:rPr/>
        <w:t>origin,</w:t>
      </w:r>
      <w:r>
        <w:rPr>
          <w:spacing w:val="40"/>
        </w:rPr>
        <w:t> </w:t>
      </w:r>
      <w:r>
        <w:rPr/>
        <w:t>thus</w:t>
      </w:r>
      <w:r>
        <w:rPr>
          <w:spacing w:val="40"/>
        </w:rPr>
        <w:t> </w:t>
      </w:r>
      <w:r>
        <w:rPr/>
        <w:t>creating</w:t>
      </w:r>
      <w:r>
        <w:rPr>
          <w:spacing w:val="40"/>
        </w:rPr>
        <w:t> </w:t>
      </w:r>
      <w:r>
        <w:rPr/>
        <w:t>a</w:t>
      </w:r>
      <w:r>
        <w:rPr>
          <w:spacing w:val="40"/>
        </w:rPr>
        <w:t> </w:t>
      </w:r>
      <w:r>
        <w:rPr/>
        <w:t>virgin</w:t>
      </w:r>
      <w:r>
        <w:rPr>
          <w:spacing w:val="40"/>
        </w:rPr>
        <w:t> </w:t>
      </w:r>
      <w:r>
        <w:rPr/>
        <w:t>point</w:t>
      </w:r>
      <w:r>
        <w:rPr>
          <w:spacing w:val="40"/>
        </w:rPr>
        <w:t> </w:t>
      </w:r>
      <w:r>
        <w:rPr/>
        <w:t>of</w:t>
      </w:r>
      <w:r>
        <w:rPr>
          <w:spacing w:val="40"/>
        </w:rPr>
        <w:t> </w:t>
      </w:r>
      <w:r>
        <w:rPr/>
        <w:t>control.</w:t>
      </w:r>
      <w:r>
        <w:rPr>
          <w:spacing w:val="40"/>
        </w:rPr>
        <w:t> </w:t>
      </w:r>
      <w:r>
        <w:rPr/>
        <w:t>Price</w:t>
      </w:r>
    </w:p>
    <w:p>
      <w:pPr>
        <w:spacing w:after="0"/>
        <w:jc w:val="both"/>
        <w:sectPr>
          <w:pgSz w:w="8640" w:h="12960"/>
          <w:pgMar w:header="579" w:footer="1060" w:top="760" w:bottom="1180" w:left="580" w:right="580"/>
        </w:sectPr>
      </w:pPr>
    </w:p>
    <w:p>
      <w:pPr>
        <w:pStyle w:val="BodyText"/>
        <w:spacing w:before="3"/>
      </w:pPr>
    </w:p>
    <w:p>
      <w:pPr>
        <w:pStyle w:val="BodyText"/>
        <w:spacing w:before="64"/>
        <w:ind w:left="500" w:right="136"/>
        <w:jc w:val="both"/>
      </w:pPr>
      <w:r>
        <w:rPr/>
        <w:t>stayed away from this level for two days, but eventually needed to return to this level for a test before new lows could be seen in this commodity. On December 4, price rallied aggressively to begin the session and tested the VPC almost to the penny before dropping sharply to new lows within the current downtrend. Your knowledge of the types of market days, the types of buyers and sellers, and the basic candlestick formations can easily give you the instant recognition required to enter this trade at the best price. If we break this trade down into these key components, you will find that entering this trade short at or above the $2.08 level offers a high probability outcome.</w:t>
      </w:r>
    </w:p>
    <w:p>
      <w:pPr>
        <w:pStyle w:val="BodyText"/>
        <w:spacing w:before="1"/>
        <w:rPr>
          <w:sz w:val="20"/>
        </w:rPr>
      </w:pPr>
      <w:r>
        <w:rPr/>
        <w:drawing>
          <wp:anchor distT="0" distB="0" distL="0" distR="0" allowOverlap="1" layoutInCell="1" locked="0" behindDoc="0" simplePos="0" relativeHeight="109">
            <wp:simplePos x="0" y="0"/>
            <wp:positionH relativeFrom="page">
              <wp:posOffset>685800</wp:posOffset>
            </wp:positionH>
            <wp:positionV relativeFrom="paragraph">
              <wp:posOffset>162370</wp:posOffset>
            </wp:positionV>
            <wp:extent cx="4342904" cy="3103054"/>
            <wp:effectExtent l="0" t="0" r="0" b="0"/>
            <wp:wrapTopAndBottom/>
            <wp:docPr id="97" name="image50.png"/>
            <wp:cNvGraphicFramePr>
              <a:graphicFrameLocks noChangeAspect="1"/>
            </wp:cNvGraphicFramePr>
            <a:graphic>
              <a:graphicData uri="http://schemas.openxmlformats.org/drawingml/2006/picture">
                <pic:pic>
                  <pic:nvPicPr>
                    <pic:cNvPr id="98" name="image50.png"/>
                    <pic:cNvPicPr/>
                  </pic:nvPicPr>
                  <pic:blipFill>
                    <a:blip r:embed="rId124"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w:t>
      </w:r>
      <w:r>
        <w:rPr>
          <w:spacing w:val="2"/>
          <w:sz w:val="16"/>
        </w:rPr>
        <w:t> </w:t>
      </w:r>
      <w:r>
        <w:rPr>
          <w:sz w:val="16"/>
        </w:rPr>
        <w:t>4.18:</w:t>
      </w:r>
      <w:r>
        <w:rPr>
          <w:spacing w:val="2"/>
          <w:sz w:val="16"/>
        </w:rPr>
        <w:t> </w:t>
      </w:r>
      <w:r>
        <w:rPr>
          <w:sz w:val="16"/>
        </w:rPr>
        <w:t>Heating</w:t>
      </w:r>
      <w:r>
        <w:rPr>
          <w:spacing w:val="3"/>
          <w:sz w:val="16"/>
        </w:rPr>
        <w:t> </w:t>
      </w:r>
      <w:r>
        <w:rPr>
          <w:sz w:val="16"/>
        </w:rPr>
        <w:t>Oil</w:t>
      </w:r>
      <w:r>
        <w:rPr>
          <w:spacing w:val="2"/>
          <w:sz w:val="16"/>
        </w:rPr>
        <w:t> </w:t>
      </w:r>
      <w:r>
        <w:rPr>
          <w:sz w:val="16"/>
        </w:rPr>
        <w:t>responds</w:t>
      </w:r>
      <w:r>
        <w:rPr>
          <w:spacing w:val="3"/>
          <w:sz w:val="16"/>
        </w:rPr>
        <w:t> </w:t>
      </w:r>
      <w:r>
        <w:rPr>
          <w:sz w:val="16"/>
        </w:rPr>
        <w:t>to</w:t>
      </w:r>
      <w:r>
        <w:rPr>
          <w:spacing w:val="2"/>
          <w:sz w:val="16"/>
        </w:rPr>
        <w:t> </w:t>
      </w:r>
      <w:r>
        <w:rPr>
          <w:sz w:val="16"/>
        </w:rPr>
        <w:t>a</w:t>
      </w:r>
      <w:r>
        <w:rPr>
          <w:spacing w:val="3"/>
          <w:sz w:val="16"/>
        </w:rPr>
        <w:t> </w:t>
      </w:r>
      <w:r>
        <w:rPr>
          <w:sz w:val="16"/>
        </w:rPr>
        <w:t>virgin</w:t>
      </w:r>
      <w:r>
        <w:rPr>
          <w:spacing w:val="2"/>
          <w:sz w:val="16"/>
        </w:rPr>
        <w:t> </w:t>
      </w:r>
      <w:r>
        <w:rPr>
          <w:sz w:val="16"/>
        </w:rPr>
        <w:t>point</w:t>
      </w:r>
      <w:r>
        <w:rPr>
          <w:spacing w:val="3"/>
          <w:sz w:val="16"/>
        </w:rPr>
        <w:t> </w:t>
      </w:r>
      <w:r>
        <w:rPr>
          <w:sz w:val="16"/>
        </w:rPr>
        <w:t>of</w:t>
      </w:r>
      <w:r>
        <w:rPr>
          <w:spacing w:val="1"/>
          <w:sz w:val="16"/>
        </w:rPr>
        <w:t> </w:t>
      </w:r>
      <w:r>
        <w:rPr>
          <w:spacing w:val="-2"/>
          <w:sz w:val="16"/>
        </w:rPr>
        <w:t>control.</w:t>
      </w:r>
    </w:p>
    <w:p>
      <w:pPr>
        <w:pStyle w:val="BodyText"/>
        <w:spacing w:before="9"/>
        <w:rPr>
          <w:sz w:val="21"/>
        </w:rPr>
      </w:pPr>
    </w:p>
    <w:p>
      <w:pPr>
        <w:pStyle w:val="BodyText"/>
        <w:ind w:left="500" w:right="136" w:firstLine="432"/>
        <w:jc w:val="both"/>
      </w:pPr>
      <w:r>
        <w:rPr/>
        <w:t>First,</w:t>
      </w:r>
      <w:r>
        <w:rPr>
          <w:spacing w:val="-2"/>
        </w:rPr>
        <w:t> </w:t>
      </w:r>
      <w:r>
        <w:rPr/>
        <w:t>we</w:t>
      </w:r>
      <w:r>
        <w:rPr>
          <w:spacing w:val="-2"/>
        </w:rPr>
        <w:t> </w:t>
      </w:r>
      <w:r>
        <w:rPr/>
        <w:t>know</w:t>
      </w:r>
      <w:r>
        <w:rPr>
          <w:spacing w:val="-2"/>
        </w:rPr>
        <w:t> </w:t>
      </w:r>
      <w:r>
        <w:rPr/>
        <w:t>that</w:t>
      </w:r>
      <w:r>
        <w:rPr>
          <w:spacing w:val="-2"/>
        </w:rPr>
        <w:t> </w:t>
      </w:r>
      <w:r>
        <w:rPr/>
        <w:t>when</w:t>
      </w:r>
      <w:r>
        <w:rPr>
          <w:spacing w:val="-2"/>
        </w:rPr>
        <w:t> </w:t>
      </w:r>
      <w:r>
        <w:rPr/>
        <w:t>the</w:t>
      </w:r>
      <w:r>
        <w:rPr>
          <w:spacing w:val="-1"/>
        </w:rPr>
        <w:t> </w:t>
      </w:r>
      <w:r>
        <w:rPr/>
        <w:t>market</w:t>
      </w:r>
      <w:r>
        <w:rPr>
          <w:spacing w:val="-2"/>
        </w:rPr>
        <w:t> </w:t>
      </w:r>
      <w:r>
        <w:rPr/>
        <w:t>opens</w:t>
      </w:r>
      <w:r>
        <w:rPr>
          <w:spacing w:val="-2"/>
        </w:rPr>
        <w:t> </w:t>
      </w:r>
      <w:r>
        <w:rPr/>
        <w:t>the</w:t>
      </w:r>
      <w:r>
        <w:rPr>
          <w:spacing w:val="-2"/>
        </w:rPr>
        <w:t> </w:t>
      </w:r>
      <w:r>
        <w:rPr/>
        <w:t>day</w:t>
      </w:r>
      <w:r>
        <w:rPr>
          <w:spacing w:val="-2"/>
        </w:rPr>
        <w:t> </w:t>
      </w:r>
      <w:r>
        <w:rPr/>
        <w:t>aggressively,</w:t>
      </w:r>
      <w:r>
        <w:rPr>
          <w:spacing w:val="-2"/>
        </w:rPr>
        <w:t> </w:t>
      </w:r>
      <w:r>
        <w:rPr/>
        <w:t>there</w:t>
      </w:r>
      <w:r>
        <w:rPr>
          <w:spacing w:val="-2"/>
        </w:rPr>
        <w:t> </w:t>
      </w:r>
      <w:r>
        <w:rPr/>
        <w:t>is a</w:t>
      </w:r>
      <w:r>
        <w:rPr>
          <w:spacing w:val="-2"/>
        </w:rPr>
        <w:t> </w:t>
      </w:r>
      <w:r>
        <w:rPr/>
        <w:t>chance</w:t>
      </w:r>
      <w:r>
        <w:rPr>
          <w:spacing w:val="-2"/>
        </w:rPr>
        <w:t> </w:t>
      </w:r>
      <w:r>
        <w:rPr/>
        <w:t>for</w:t>
      </w:r>
      <w:r>
        <w:rPr>
          <w:spacing w:val="-1"/>
        </w:rPr>
        <w:t> </w:t>
      </w:r>
      <w:r>
        <w:rPr/>
        <w:t>either</w:t>
      </w:r>
      <w:r>
        <w:rPr>
          <w:spacing w:val="-2"/>
        </w:rPr>
        <w:t> </w:t>
      </w:r>
      <w:r>
        <w:rPr/>
        <w:t>a</w:t>
      </w:r>
      <w:r>
        <w:rPr>
          <w:spacing w:val="-2"/>
        </w:rPr>
        <w:t> </w:t>
      </w:r>
      <w:r>
        <w:rPr/>
        <w:t>Typical</w:t>
      </w:r>
      <w:r>
        <w:rPr>
          <w:spacing w:val="-2"/>
        </w:rPr>
        <w:t> </w:t>
      </w:r>
      <w:r>
        <w:rPr/>
        <w:t>Day</w:t>
      </w:r>
      <w:r>
        <w:rPr>
          <w:spacing w:val="-2"/>
        </w:rPr>
        <w:t> </w:t>
      </w:r>
      <w:r>
        <w:rPr/>
        <w:t>or</w:t>
      </w:r>
      <w:r>
        <w:rPr>
          <w:spacing w:val="-2"/>
        </w:rPr>
        <w:t> </w:t>
      </w:r>
      <w:r>
        <w:rPr/>
        <w:t>Expanded</w:t>
      </w:r>
      <w:r>
        <w:rPr>
          <w:spacing w:val="-2"/>
        </w:rPr>
        <w:t> </w:t>
      </w:r>
      <w:r>
        <w:rPr/>
        <w:t>Typical</w:t>
      </w:r>
      <w:r>
        <w:rPr>
          <w:spacing w:val="-2"/>
        </w:rPr>
        <w:t> </w:t>
      </w:r>
      <w:r>
        <w:rPr/>
        <w:t>Day</w:t>
      </w:r>
      <w:r>
        <w:rPr>
          <w:spacing w:val="-2"/>
        </w:rPr>
        <w:t> </w:t>
      </w:r>
      <w:r>
        <w:rPr/>
        <w:t>formation,</w:t>
      </w:r>
      <w:r>
        <w:rPr>
          <w:spacing w:val="-2"/>
        </w:rPr>
        <w:t> </w:t>
      </w:r>
      <w:r>
        <w:rPr/>
        <w:t>which means the day’s initial balance could contain the day’s extremes throughout the</w:t>
      </w:r>
      <w:r>
        <w:rPr>
          <w:spacing w:val="-2"/>
        </w:rPr>
        <w:t> </w:t>
      </w:r>
      <w:r>
        <w:rPr/>
        <w:t>day,</w:t>
      </w:r>
      <w:r>
        <w:rPr>
          <w:spacing w:val="-2"/>
        </w:rPr>
        <w:t> </w:t>
      </w:r>
      <w:r>
        <w:rPr/>
        <w:t>or</w:t>
      </w:r>
      <w:r>
        <w:rPr>
          <w:spacing w:val="-2"/>
        </w:rPr>
        <w:t> </w:t>
      </w:r>
      <w:r>
        <w:rPr/>
        <w:t>at</w:t>
      </w:r>
      <w:r>
        <w:rPr>
          <w:spacing w:val="-2"/>
        </w:rPr>
        <w:t> </w:t>
      </w:r>
      <w:r>
        <w:rPr/>
        <w:t>least</w:t>
      </w:r>
      <w:r>
        <w:rPr>
          <w:spacing w:val="-1"/>
        </w:rPr>
        <w:t> </w:t>
      </w:r>
      <w:r>
        <w:rPr/>
        <w:t>most</w:t>
      </w:r>
      <w:r>
        <w:rPr>
          <w:spacing w:val="-2"/>
        </w:rPr>
        <w:t> </w:t>
      </w:r>
      <w:r>
        <w:rPr/>
        <w:t>of</w:t>
      </w:r>
      <w:r>
        <w:rPr>
          <w:spacing w:val="-1"/>
        </w:rPr>
        <w:t> </w:t>
      </w:r>
      <w:r>
        <w:rPr/>
        <w:t>it.</w:t>
      </w:r>
      <w:r>
        <w:rPr>
          <w:spacing w:val="-2"/>
        </w:rPr>
        <w:t> </w:t>
      </w:r>
      <w:r>
        <w:rPr/>
        <w:t>In</w:t>
      </w:r>
      <w:r>
        <w:rPr>
          <w:spacing w:val="-3"/>
        </w:rPr>
        <w:t> </w:t>
      </w:r>
      <w:r>
        <w:rPr/>
        <w:t>our</w:t>
      </w:r>
      <w:r>
        <w:rPr>
          <w:spacing w:val="-2"/>
        </w:rPr>
        <w:t> </w:t>
      </w:r>
      <w:r>
        <w:rPr/>
        <w:t>figure,</w:t>
      </w:r>
      <w:r>
        <w:rPr>
          <w:spacing w:val="-3"/>
        </w:rPr>
        <w:t> </w:t>
      </w:r>
      <w:r>
        <w:rPr/>
        <w:t>when</w:t>
      </w:r>
      <w:r>
        <w:rPr>
          <w:spacing w:val="-3"/>
        </w:rPr>
        <w:t> </w:t>
      </w:r>
      <w:r>
        <w:rPr/>
        <w:t>price</w:t>
      </w:r>
      <w:r>
        <w:rPr>
          <w:spacing w:val="-2"/>
        </w:rPr>
        <w:t> </w:t>
      </w:r>
      <w:r>
        <w:rPr/>
        <w:t>rallied</w:t>
      </w:r>
      <w:r>
        <w:rPr>
          <w:spacing w:val="-3"/>
        </w:rPr>
        <w:t> </w:t>
      </w:r>
      <w:r>
        <w:rPr/>
        <w:t>to</w:t>
      </w:r>
      <w:r>
        <w:rPr>
          <w:spacing w:val="-2"/>
        </w:rPr>
        <w:t> </w:t>
      </w:r>
      <w:r>
        <w:rPr/>
        <w:t>the</w:t>
      </w:r>
      <w:r>
        <w:rPr>
          <w:spacing w:val="-2"/>
        </w:rPr>
        <w:t> </w:t>
      </w:r>
      <w:r>
        <w:rPr/>
        <w:t>VPC</w:t>
      </w:r>
      <w:r>
        <w:rPr>
          <w:spacing w:val="-1"/>
        </w:rPr>
        <w:t> </w:t>
      </w:r>
      <w:r>
        <w:rPr/>
        <w:t>and began to hold, you could assume with confidence that the boundaries of the initial</w:t>
      </w:r>
      <w:r>
        <w:rPr>
          <w:spacing w:val="-2"/>
        </w:rPr>
        <w:t> </w:t>
      </w:r>
      <w:r>
        <w:rPr/>
        <w:t>balance</w:t>
      </w:r>
      <w:r>
        <w:rPr>
          <w:spacing w:val="-2"/>
        </w:rPr>
        <w:t> </w:t>
      </w:r>
      <w:r>
        <w:rPr/>
        <w:t>had</w:t>
      </w:r>
      <w:r>
        <w:rPr>
          <w:spacing w:val="-2"/>
        </w:rPr>
        <w:t> </w:t>
      </w:r>
      <w:r>
        <w:rPr/>
        <w:t>been</w:t>
      </w:r>
      <w:r>
        <w:rPr>
          <w:spacing w:val="-2"/>
        </w:rPr>
        <w:t> </w:t>
      </w:r>
      <w:r>
        <w:rPr/>
        <w:t>set</w:t>
      </w:r>
      <w:r>
        <w:rPr>
          <w:spacing w:val="-2"/>
        </w:rPr>
        <w:t> </w:t>
      </w:r>
      <w:r>
        <w:rPr/>
        <w:t>for</w:t>
      </w:r>
      <w:r>
        <w:rPr>
          <w:spacing w:val="-2"/>
        </w:rPr>
        <w:t> </w:t>
      </w:r>
      <w:r>
        <w:rPr/>
        <w:t>the</w:t>
      </w:r>
      <w:r>
        <w:rPr>
          <w:spacing w:val="-3"/>
        </w:rPr>
        <w:t> </w:t>
      </w:r>
      <w:r>
        <w:rPr/>
        <w:t>day,</w:t>
      </w:r>
      <w:r>
        <w:rPr>
          <w:spacing w:val="-5"/>
        </w:rPr>
        <w:t> </w:t>
      </w:r>
      <w:r>
        <w:rPr/>
        <w:t>thereby</w:t>
      </w:r>
      <w:r>
        <w:rPr>
          <w:spacing w:val="-3"/>
        </w:rPr>
        <w:t> </w:t>
      </w:r>
      <w:r>
        <w:rPr/>
        <w:t>creating</w:t>
      </w:r>
      <w:r>
        <w:rPr>
          <w:spacing w:val="-3"/>
        </w:rPr>
        <w:t> </w:t>
      </w:r>
      <w:r>
        <w:rPr/>
        <w:t>the</w:t>
      </w:r>
      <w:r>
        <w:rPr>
          <w:spacing w:val="-3"/>
        </w:rPr>
        <w:t> </w:t>
      </w:r>
      <w:r>
        <w:rPr/>
        <w:t>potential</w:t>
      </w:r>
      <w:r>
        <w:rPr>
          <w:spacing w:val="-3"/>
        </w:rPr>
        <w:t> </w:t>
      </w:r>
      <w:r>
        <w:rPr/>
        <w:t>high</w:t>
      </w:r>
      <w:r>
        <w:rPr>
          <w:spacing w:val="-3"/>
        </w:rPr>
        <w:t> </w:t>
      </w:r>
      <w:r>
        <w:rPr/>
        <w:t>for the session. Secondly, since price rallied away from the day’s POC any indication of weakness at highs would likely trigger responsive selling activity, as price would be considered overvalued by these market participants.</w:t>
      </w:r>
      <w:r>
        <w:rPr>
          <w:spacing w:val="-3"/>
        </w:rPr>
        <w:t> </w:t>
      </w:r>
      <w:r>
        <w:rPr/>
        <w:t>Third,</w:t>
      </w:r>
      <w:r>
        <w:rPr>
          <w:spacing w:val="-2"/>
        </w:rPr>
        <w:t> </w:t>
      </w:r>
      <w:r>
        <w:rPr/>
        <w:t>since</w:t>
      </w:r>
      <w:r>
        <w:rPr>
          <w:spacing w:val="-2"/>
        </w:rPr>
        <w:t> </w:t>
      </w:r>
      <w:r>
        <w:rPr/>
        <w:t>the</w:t>
      </w:r>
      <w:r>
        <w:rPr>
          <w:spacing w:val="-2"/>
        </w:rPr>
        <w:t> </w:t>
      </w:r>
      <w:r>
        <w:rPr/>
        <w:t>fourth</w:t>
      </w:r>
      <w:r>
        <w:rPr>
          <w:spacing w:val="-2"/>
        </w:rPr>
        <w:t> </w:t>
      </w:r>
      <w:r>
        <w:rPr/>
        <w:t>candlestick</w:t>
      </w:r>
      <w:r>
        <w:rPr>
          <w:spacing w:val="-2"/>
        </w:rPr>
        <w:t> </w:t>
      </w:r>
      <w:r>
        <w:rPr/>
        <w:t>of</w:t>
      </w:r>
      <w:r>
        <w:rPr>
          <w:spacing w:val="-2"/>
        </w:rPr>
        <w:t> </w:t>
      </w:r>
      <w:r>
        <w:rPr/>
        <w:t>the</w:t>
      </w:r>
      <w:r>
        <w:rPr>
          <w:spacing w:val="-2"/>
        </w:rPr>
        <w:t> </w:t>
      </w:r>
      <w:r>
        <w:rPr/>
        <w:t>day</w:t>
      </w:r>
      <w:r>
        <w:rPr>
          <w:spacing w:val="-2"/>
        </w:rPr>
        <w:t> </w:t>
      </w:r>
      <w:r>
        <w:rPr/>
        <w:t>was</w:t>
      </w:r>
      <w:r>
        <w:rPr>
          <w:spacing w:val="-2"/>
        </w:rPr>
        <w:t> </w:t>
      </w:r>
      <w:r>
        <w:rPr/>
        <w:t>a</w:t>
      </w:r>
      <w:r>
        <w:rPr>
          <w:spacing w:val="-2"/>
        </w:rPr>
        <w:t> </w:t>
      </w:r>
      <w:r>
        <w:rPr/>
        <w:t>bearish</w:t>
      </w:r>
      <w:r>
        <w:rPr>
          <w:spacing w:val="-3"/>
        </w:rPr>
        <w:t> </w:t>
      </w:r>
      <w:r>
        <w:rPr>
          <w:spacing w:val="-4"/>
        </w:rPr>
        <w:t>wick</w:t>
      </w:r>
    </w:p>
    <w:p>
      <w:pPr>
        <w:pStyle w:val="BodyText"/>
        <w:spacing w:line="253" w:lineRule="exact"/>
        <w:ind w:left="470"/>
        <w:jc w:val="both"/>
      </w:pPr>
      <w:r>
        <w:rPr>
          <w:spacing w:val="-26"/>
          <w:u w:val="single"/>
        </w:rPr>
        <w:t> </w:t>
      </w:r>
      <w:r>
        <w:rPr>
          <w:u w:val="single"/>
        </w:rPr>
        <w:t>reversal</w:t>
      </w:r>
      <w:r>
        <w:rPr>
          <w:spacing w:val="34"/>
          <w:u w:val="single"/>
        </w:rPr>
        <w:t> </w:t>
      </w:r>
      <w:r>
        <w:rPr>
          <w:u w:val="single"/>
        </w:rPr>
        <w:t>setup,</w:t>
      </w:r>
      <w:r>
        <w:rPr>
          <w:spacing w:val="34"/>
          <w:u w:val="single"/>
        </w:rPr>
        <w:t> </w:t>
      </w:r>
      <w:r>
        <w:rPr>
          <w:u w:val="single"/>
        </w:rPr>
        <w:t>we</w:t>
      </w:r>
      <w:r>
        <w:rPr>
          <w:spacing w:val="35"/>
          <w:u w:val="single"/>
        </w:rPr>
        <w:t> </w:t>
      </w:r>
      <w:r>
        <w:rPr>
          <w:u w:val="single"/>
        </w:rPr>
        <w:t>had</w:t>
      </w:r>
      <w:r>
        <w:rPr>
          <w:spacing w:val="34"/>
          <w:u w:val="single"/>
        </w:rPr>
        <w:t> </w:t>
      </w:r>
      <w:r>
        <w:rPr>
          <w:u w:val="single"/>
        </w:rPr>
        <w:t>a</w:t>
      </w:r>
      <w:r>
        <w:rPr>
          <w:spacing w:val="36"/>
          <w:u w:val="single"/>
        </w:rPr>
        <w:t> </w:t>
      </w:r>
      <w:r>
        <w:rPr>
          <w:u w:val="single"/>
        </w:rPr>
        <w:t>trifecta</w:t>
      </w:r>
      <w:r>
        <w:rPr>
          <w:spacing w:val="35"/>
          <w:u w:val="single"/>
        </w:rPr>
        <w:t> </w:t>
      </w:r>
      <w:r>
        <w:rPr>
          <w:u w:val="single"/>
        </w:rPr>
        <w:t>of</w:t>
      </w:r>
      <w:r>
        <w:rPr>
          <w:spacing w:val="35"/>
          <w:u w:val="single"/>
        </w:rPr>
        <w:t> </w:t>
      </w:r>
      <w:r>
        <w:rPr>
          <w:u w:val="single"/>
        </w:rPr>
        <w:t>market</w:t>
      </w:r>
      <w:r>
        <w:rPr>
          <w:spacing w:val="34"/>
          <w:u w:val="single"/>
        </w:rPr>
        <w:t> </w:t>
      </w:r>
      <w:r>
        <w:rPr>
          <w:u w:val="single"/>
        </w:rPr>
        <w:t>activity</w:t>
      </w:r>
      <w:r>
        <w:rPr>
          <w:spacing w:val="34"/>
          <w:u w:val="single"/>
        </w:rPr>
        <w:t> </w:t>
      </w:r>
      <w:r>
        <w:rPr>
          <w:u w:val="single"/>
        </w:rPr>
        <w:t>that</w:t>
      </w:r>
      <w:r>
        <w:rPr>
          <w:spacing w:val="34"/>
          <w:u w:val="single"/>
        </w:rPr>
        <w:t> </w:t>
      </w:r>
      <w:r>
        <w:rPr>
          <w:u w:val="single"/>
        </w:rPr>
        <w:t>could</w:t>
      </w:r>
      <w:r>
        <w:rPr>
          <w:spacing w:val="35"/>
          <w:u w:val="single"/>
        </w:rPr>
        <w:t> </w:t>
      </w:r>
      <w:r>
        <w:rPr>
          <w:u w:val="single"/>
        </w:rPr>
        <w:t>have</w:t>
      </w:r>
      <w:r>
        <w:rPr>
          <w:spacing w:val="34"/>
          <w:u w:val="single"/>
        </w:rPr>
        <w:t> </w:t>
      </w:r>
      <w:r>
        <w:rPr>
          <w:spacing w:val="-2"/>
          <w:u w:val="single"/>
        </w:rPr>
        <w:t>easily</w:t>
      </w:r>
    </w:p>
    <w:p>
      <w:pPr>
        <w:spacing w:after="0" w:line="253" w:lineRule="exact"/>
        <w:jc w:val="both"/>
        <w:sectPr>
          <w:headerReference w:type="default" r:id="rId120"/>
          <w:headerReference w:type="even" r:id="rId121"/>
          <w:footerReference w:type="default" r:id="rId122"/>
          <w:footerReference w:type="even" r:id="rId123"/>
          <w:pgSz w:w="8640" w:h="12960"/>
          <w:pgMar w:header="536" w:footer="985" w:top="720" w:bottom="1180" w:left="580" w:right="580"/>
          <w:pgNumType w:start="97"/>
        </w:sectPr>
      </w:pPr>
    </w:p>
    <w:p>
      <w:pPr>
        <w:pStyle w:val="BodyText"/>
        <w:spacing w:before="5"/>
        <w:rPr>
          <w:sz w:val="18"/>
        </w:rPr>
      </w:pPr>
    </w:p>
    <w:p>
      <w:pPr>
        <w:pStyle w:val="BodyText"/>
        <w:spacing w:before="64"/>
        <w:ind w:left="140" w:right="496"/>
        <w:jc w:val="both"/>
      </w:pPr>
      <w:r>
        <w:rPr/>
        <w:t>triggered</w:t>
      </w:r>
      <w:r>
        <w:rPr>
          <w:spacing w:val="-2"/>
        </w:rPr>
        <w:t> </w:t>
      </w:r>
      <w:r>
        <w:rPr/>
        <w:t>a</w:t>
      </w:r>
      <w:r>
        <w:rPr>
          <w:spacing w:val="-2"/>
        </w:rPr>
        <w:t> </w:t>
      </w:r>
      <w:r>
        <w:rPr/>
        <w:t>short</w:t>
      </w:r>
      <w:r>
        <w:rPr>
          <w:spacing w:val="-3"/>
        </w:rPr>
        <w:t> </w:t>
      </w:r>
      <w:r>
        <w:rPr/>
        <w:t>entry</w:t>
      </w:r>
      <w:r>
        <w:rPr>
          <w:spacing w:val="-2"/>
        </w:rPr>
        <w:t> </w:t>
      </w:r>
      <w:r>
        <w:rPr/>
        <w:t>into</w:t>
      </w:r>
      <w:r>
        <w:rPr>
          <w:spacing w:val="-4"/>
        </w:rPr>
        <w:t> </w:t>
      </w:r>
      <w:r>
        <w:rPr/>
        <w:t>this</w:t>
      </w:r>
      <w:r>
        <w:rPr>
          <w:spacing w:val="-2"/>
        </w:rPr>
        <w:t> </w:t>
      </w:r>
      <w:r>
        <w:rPr/>
        <w:t>market.</w:t>
      </w:r>
      <w:r>
        <w:rPr>
          <w:spacing w:val="-2"/>
        </w:rPr>
        <w:t> </w:t>
      </w:r>
      <w:r>
        <w:rPr/>
        <w:t>Once</w:t>
      </w:r>
      <w:r>
        <w:rPr>
          <w:spacing w:val="-3"/>
        </w:rPr>
        <w:t> </w:t>
      </w:r>
      <w:r>
        <w:rPr/>
        <w:t>in</w:t>
      </w:r>
      <w:r>
        <w:rPr>
          <w:spacing w:val="-2"/>
        </w:rPr>
        <w:t> </w:t>
      </w:r>
      <w:r>
        <w:rPr/>
        <w:t>the</w:t>
      </w:r>
      <w:r>
        <w:rPr>
          <w:spacing w:val="-2"/>
        </w:rPr>
        <w:t> </w:t>
      </w:r>
      <w:r>
        <w:rPr/>
        <w:t>trade,</w:t>
      </w:r>
      <w:r>
        <w:rPr>
          <w:spacing w:val="-2"/>
        </w:rPr>
        <w:t> </w:t>
      </w:r>
      <w:r>
        <w:rPr/>
        <w:t>a</w:t>
      </w:r>
      <w:r>
        <w:rPr>
          <w:spacing w:val="-2"/>
        </w:rPr>
        <w:t> </w:t>
      </w:r>
      <w:r>
        <w:rPr/>
        <w:t>stop</w:t>
      </w:r>
      <w:r>
        <w:rPr>
          <w:spacing w:val="-3"/>
        </w:rPr>
        <w:t> </w:t>
      </w:r>
      <w:r>
        <w:rPr/>
        <w:t>loss</w:t>
      </w:r>
      <w:r>
        <w:rPr>
          <w:spacing w:val="-2"/>
        </w:rPr>
        <w:t> </w:t>
      </w:r>
      <w:r>
        <w:rPr/>
        <w:t>could</w:t>
      </w:r>
      <w:r>
        <w:rPr>
          <w:spacing w:val="-2"/>
        </w:rPr>
        <w:t> </w:t>
      </w:r>
      <w:r>
        <w:rPr/>
        <w:t>be set above the day’s highs beyond the virgin Money Zone level, with our sights set to a target at the day’s lows, which was easily reached. I like a target at the day’s lows because, as you know, a Typical Day scenario would indicate that the extremes of the initial balance will hold, which indicates price will likely reach the day’s lows, but may not surpass this price level. A partial exit methodology could work as well, wherein you exit part of the trade at the day’s lows while letting the rest of the position “ride” with a trailing profit stop or additional profit targets. This scenario would allow you to capture a larger move if price were to break through the initial balance</w:t>
      </w:r>
      <w:r>
        <w:rPr>
          <w:spacing w:val="40"/>
        </w:rPr>
        <w:t> </w:t>
      </w:r>
      <w:r>
        <w:rPr>
          <w:spacing w:val="-4"/>
        </w:rPr>
        <w:t>low.</w:t>
      </w:r>
    </w:p>
    <w:p>
      <w:pPr>
        <w:pStyle w:val="BodyText"/>
        <w:ind w:left="140" w:right="495" w:firstLine="432"/>
        <w:jc w:val="both"/>
      </w:pPr>
      <w:r>
        <w:rPr/>
        <w:t>I have successfully triggered this entry many times and it still impresses traders that I can pick such a difficult entry with a high degree of confidence. This setup does not require anything beyond a basic understanding of the market and its tendencies. Knowing there is a virgin POC above price indicates that the market may try to retest this level several days after its creation. Moreover, once the virgin level is tested, we know that responsive sellers may enter the market, which will push price back toward value.</w:t>
      </w:r>
      <w:r>
        <w:rPr>
          <w:spacing w:val="40"/>
        </w:rPr>
        <w:t> </w:t>
      </w:r>
      <w:r>
        <w:rPr/>
        <w:t>Lastly, having basic entry setups to trigger your entry completes this easy,</w:t>
      </w:r>
      <w:r>
        <w:rPr>
          <w:spacing w:val="40"/>
        </w:rPr>
        <w:t> </w:t>
      </w:r>
      <w:r>
        <w:rPr/>
        <w:t>yet powerful trade.</w:t>
      </w:r>
    </w:p>
    <w:p>
      <w:pPr>
        <w:pStyle w:val="BodyText"/>
        <w:ind w:left="140" w:right="497" w:firstLine="432"/>
        <w:jc w:val="both"/>
      </w:pPr>
      <w:r>
        <w:rPr/>
        <w:t>The second virgin level that I pay attention to is the Money Zone level that is closest to price. Therefore, if the market moves rapidly away from the Money Zone levels to create virgin lines, the level that I will watch closely, outside of the VPC, will be either the virgin VAH or VAL, depending on which is closest to price. That is, if price drops sharply away from virgin Money Zone levels, then the VAL and the POC will be the ones to watch for a potential “fill” in an upcoming session, as these will become the first lines of defense should a test occur. Conversely, if price rallies away from virgin MZ levels, then I will watch the VAH and POC for a test ahead.</w:t>
      </w:r>
    </w:p>
    <w:p>
      <w:pPr>
        <w:pStyle w:val="BodyText"/>
        <w:ind w:left="140" w:right="495" w:firstLine="432"/>
        <w:jc w:val="both"/>
      </w:pPr>
      <w:r>
        <w:rPr/>
        <w:t>Take a look at Figure 4.19, which is a five-minute chart of the E-Mini NASDAQ 100 futures contract and shows a virgin VAL at work. The market opened the day with a gap up and rallied to “fill” the virgin VAL that was created</w:t>
      </w:r>
      <w:r>
        <w:rPr>
          <w:spacing w:val="-1"/>
        </w:rPr>
        <w:t> </w:t>
      </w:r>
      <w:r>
        <w:rPr/>
        <w:t>in</w:t>
      </w:r>
      <w:r>
        <w:rPr>
          <w:spacing w:val="-1"/>
        </w:rPr>
        <w:t> </w:t>
      </w:r>
      <w:r>
        <w:rPr/>
        <w:t>the</w:t>
      </w:r>
      <w:r>
        <w:rPr>
          <w:spacing w:val="-1"/>
        </w:rPr>
        <w:t> </w:t>
      </w:r>
      <w:r>
        <w:rPr/>
        <w:t>prior</w:t>
      </w:r>
      <w:r>
        <w:rPr>
          <w:spacing w:val="-2"/>
        </w:rPr>
        <w:t> </w:t>
      </w:r>
      <w:r>
        <w:rPr/>
        <w:t>session.</w:t>
      </w:r>
      <w:r>
        <w:rPr>
          <w:spacing w:val="-1"/>
        </w:rPr>
        <w:t> </w:t>
      </w:r>
      <w:r>
        <w:rPr/>
        <w:t>After</w:t>
      </w:r>
      <w:r>
        <w:rPr>
          <w:spacing w:val="-1"/>
        </w:rPr>
        <w:t> </w:t>
      </w:r>
      <w:r>
        <w:rPr/>
        <w:t>price</w:t>
      </w:r>
      <w:r>
        <w:rPr>
          <w:spacing w:val="-1"/>
        </w:rPr>
        <w:t> </w:t>
      </w:r>
      <w:r>
        <w:rPr/>
        <w:t>put</w:t>
      </w:r>
      <w:r>
        <w:rPr>
          <w:spacing w:val="-1"/>
        </w:rPr>
        <w:t> </w:t>
      </w:r>
      <w:r>
        <w:rPr/>
        <w:t>in</w:t>
      </w:r>
      <w:r>
        <w:rPr>
          <w:spacing w:val="-1"/>
        </w:rPr>
        <w:t> </w:t>
      </w:r>
      <w:r>
        <w:rPr/>
        <w:t>the</w:t>
      </w:r>
      <w:r>
        <w:rPr>
          <w:spacing w:val="-1"/>
        </w:rPr>
        <w:t> </w:t>
      </w:r>
      <w:r>
        <w:rPr/>
        <w:t>initial</w:t>
      </w:r>
      <w:r>
        <w:rPr>
          <w:spacing w:val="-1"/>
        </w:rPr>
        <w:t> </w:t>
      </w:r>
      <w:r>
        <w:rPr/>
        <w:t>low</w:t>
      </w:r>
      <w:r>
        <w:rPr>
          <w:spacing w:val="-1"/>
        </w:rPr>
        <w:t> </w:t>
      </w:r>
      <w:r>
        <w:rPr/>
        <w:t>after</w:t>
      </w:r>
      <w:r>
        <w:rPr>
          <w:spacing w:val="-1"/>
        </w:rPr>
        <w:t> </w:t>
      </w:r>
      <w:r>
        <w:rPr/>
        <w:t>the</w:t>
      </w:r>
      <w:r>
        <w:rPr>
          <w:spacing w:val="-1"/>
        </w:rPr>
        <w:t> </w:t>
      </w:r>
      <w:r>
        <w:rPr/>
        <w:t>opening gap, I was fairly confident that the test at the virgin level would be the upper extreme of the initial balance, as a typical or expanded Typical Day would likely develop. Again, entering the market short based on this information allowed me to become a responsive selling participant, essentially pushing price back toward value. Entering the trade with a fixed loss stop above the virgin</w:t>
      </w:r>
      <w:r>
        <w:rPr>
          <w:spacing w:val="-1"/>
        </w:rPr>
        <w:t> </w:t>
      </w:r>
      <w:r>
        <w:rPr/>
        <w:t>MZ</w:t>
      </w:r>
      <w:r>
        <w:rPr>
          <w:spacing w:val="-1"/>
        </w:rPr>
        <w:t> </w:t>
      </w:r>
      <w:r>
        <w:rPr/>
        <w:t>level</w:t>
      </w:r>
      <w:r>
        <w:rPr>
          <w:spacing w:val="-1"/>
        </w:rPr>
        <w:t> </w:t>
      </w:r>
      <w:r>
        <w:rPr/>
        <w:t>and</w:t>
      </w:r>
      <w:r>
        <w:rPr>
          <w:spacing w:val="-1"/>
        </w:rPr>
        <w:t> </w:t>
      </w:r>
      <w:r>
        <w:rPr/>
        <w:t>a</w:t>
      </w:r>
      <w:r>
        <w:rPr>
          <w:spacing w:val="-1"/>
        </w:rPr>
        <w:t> </w:t>
      </w:r>
      <w:r>
        <w:rPr/>
        <w:t>target</w:t>
      </w:r>
      <w:r>
        <w:rPr>
          <w:spacing w:val="-1"/>
        </w:rPr>
        <w:t> </w:t>
      </w:r>
      <w:r>
        <w:rPr/>
        <w:t>back</w:t>
      </w:r>
      <w:r>
        <w:rPr>
          <w:spacing w:val="-1"/>
        </w:rPr>
        <w:t> </w:t>
      </w:r>
      <w:r>
        <w:rPr/>
        <w:t>at</w:t>
      </w:r>
      <w:r>
        <w:rPr>
          <w:spacing w:val="-1"/>
        </w:rPr>
        <w:t> </w:t>
      </w:r>
      <w:r>
        <w:rPr/>
        <w:t>the</w:t>
      </w:r>
      <w:r>
        <w:rPr>
          <w:spacing w:val="-1"/>
        </w:rPr>
        <w:t> </w:t>
      </w:r>
      <w:r>
        <w:rPr/>
        <w:t>day’s</w:t>
      </w:r>
      <w:r>
        <w:rPr>
          <w:spacing w:val="-1"/>
        </w:rPr>
        <w:t> </w:t>
      </w:r>
      <w:r>
        <w:rPr/>
        <w:t>lows</w:t>
      </w:r>
      <w:r>
        <w:rPr>
          <w:spacing w:val="-1"/>
        </w:rPr>
        <w:t> </w:t>
      </w:r>
      <w:r>
        <w:rPr/>
        <w:t>would</w:t>
      </w:r>
      <w:r>
        <w:rPr>
          <w:spacing w:val="-1"/>
        </w:rPr>
        <w:t> </w:t>
      </w:r>
      <w:r>
        <w:rPr/>
        <w:t>have</w:t>
      </w:r>
      <w:r>
        <w:rPr>
          <w:spacing w:val="-1"/>
        </w:rPr>
        <w:t> </w:t>
      </w:r>
      <w:r>
        <w:rPr/>
        <w:t>easily</w:t>
      </w:r>
      <w:r>
        <w:rPr>
          <w:spacing w:val="-1"/>
        </w:rPr>
        <w:t> </w:t>
      </w:r>
      <w:r>
        <w:rPr/>
        <w:t>created a recipe for success on this day. Take note, however, that this type of trade usually works best at the beginning of the day. While these levels can be “filled”</w:t>
      </w:r>
      <w:r>
        <w:rPr>
          <w:spacing w:val="16"/>
        </w:rPr>
        <w:t> </w:t>
      </w:r>
      <w:r>
        <w:rPr/>
        <w:t>at</w:t>
      </w:r>
      <w:r>
        <w:rPr>
          <w:spacing w:val="16"/>
        </w:rPr>
        <w:t> </w:t>
      </w:r>
      <w:r>
        <w:rPr/>
        <w:t>any</w:t>
      </w:r>
      <w:r>
        <w:rPr>
          <w:spacing w:val="15"/>
        </w:rPr>
        <w:t> </w:t>
      </w:r>
      <w:r>
        <w:rPr/>
        <w:t>point</w:t>
      </w:r>
      <w:r>
        <w:rPr>
          <w:spacing w:val="15"/>
        </w:rPr>
        <w:t> </w:t>
      </w:r>
      <w:r>
        <w:rPr/>
        <w:t>during</w:t>
      </w:r>
      <w:r>
        <w:rPr>
          <w:spacing w:val="16"/>
        </w:rPr>
        <w:t> </w:t>
      </w:r>
      <w:r>
        <w:rPr/>
        <w:t>a</w:t>
      </w:r>
      <w:r>
        <w:rPr>
          <w:spacing w:val="16"/>
        </w:rPr>
        <w:t> </w:t>
      </w:r>
      <w:r>
        <w:rPr/>
        <w:t>session,</w:t>
      </w:r>
      <w:r>
        <w:rPr>
          <w:spacing w:val="16"/>
        </w:rPr>
        <w:t> </w:t>
      </w:r>
      <w:r>
        <w:rPr/>
        <w:t>a</w:t>
      </w:r>
      <w:r>
        <w:rPr>
          <w:spacing w:val="16"/>
        </w:rPr>
        <w:t> </w:t>
      </w:r>
      <w:r>
        <w:rPr/>
        <w:t>tradable</w:t>
      </w:r>
      <w:r>
        <w:rPr>
          <w:spacing w:val="16"/>
        </w:rPr>
        <w:t> </w:t>
      </w:r>
      <w:r>
        <w:rPr/>
        <w:t>reaction</w:t>
      </w:r>
      <w:r>
        <w:rPr>
          <w:spacing w:val="16"/>
        </w:rPr>
        <w:t> </w:t>
      </w:r>
      <w:r>
        <w:rPr/>
        <w:t>will</w:t>
      </w:r>
      <w:r>
        <w:rPr>
          <w:spacing w:val="16"/>
        </w:rPr>
        <w:t> </w:t>
      </w:r>
      <w:r>
        <w:rPr/>
        <w:t>usually</w:t>
      </w:r>
      <w:r>
        <w:rPr>
          <w:spacing w:val="16"/>
        </w:rPr>
        <w:t> </w:t>
      </w:r>
      <w:r>
        <w:rPr>
          <w:spacing w:val="-2"/>
        </w:rPr>
        <w:t>occur</w:t>
      </w:r>
    </w:p>
    <w:p>
      <w:pPr>
        <w:spacing w:after="0"/>
        <w:jc w:val="both"/>
        <w:sectPr>
          <w:pgSz w:w="8640" w:h="12960"/>
          <w:pgMar w:header="579" w:footer="996" w:top="760" w:bottom="1180" w:left="580" w:right="580"/>
        </w:sectPr>
      </w:pPr>
    </w:p>
    <w:p>
      <w:pPr>
        <w:pStyle w:val="BodyText"/>
        <w:spacing w:before="3"/>
      </w:pPr>
    </w:p>
    <w:p>
      <w:pPr>
        <w:pStyle w:val="BodyText"/>
        <w:spacing w:before="64"/>
        <w:ind w:left="500" w:right="137"/>
        <w:jc w:val="both"/>
      </w:pPr>
      <w:r>
        <w:rPr/>
        <w:t>during the first part of a session, generally within the first sixty minutes of</w:t>
      </w:r>
      <w:r>
        <w:rPr>
          <w:spacing w:val="40"/>
        </w:rPr>
        <w:t> </w:t>
      </w:r>
      <w:r>
        <w:rPr/>
        <w:t>the</w:t>
      </w:r>
      <w:r>
        <w:rPr>
          <w:spacing w:val="-2"/>
        </w:rPr>
        <w:t> </w:t>
      </w:r>
      <w:r>
        <w:rPr/>
        <w:t>day.</w:t>
      </w:r>
      <w:r>
        <w:rPr>
          <w:spacing w:val="-2"/>
        </w:rPr>
        <w:t> </w:t>
      </w:r>
      <w:r>
        <w:rPr/>
        <w:t>If</w:t>
      </w:r>
      <w:r>
        <w:rPr>
          <w:spacing w:val="-4"/>
        </w:rPr>
        <w:t> </w:t>
      </w:r>
      <w:r>
        <w:rPr/>
        <w:t>price</w:t>
      </w:r>
      <w:r>
        <w:rPr>
          <w:spacing w:val="-2"/>
        </w:rPr>
        <w:t> </w:t>
      </w:r>
      <w:r>
        <w:rPr/>
        <w:t>approaches</w:t>
      </w:r>
      <w:r>
        <w:rPr>
          <w:spacing w:val="-3"/>
        </w:rPr>
        <w:t> </w:t>
      </w:r>
      <w:r>
        <w:rPr/>
        <w:t>a</w:t>
      </w:r>
      <w:r>
        <w:rPr>
          <w:spacing w:val="-2"/>
        </w:rPr>
        <w:t> </w:t>
      </w:r>
      <w:r>
        <w:rPr/>
        <w:t>virgin</w:t>
      </w:r>
      <w:r>
        <w:rPr>
          <w:spacing w:val="-2"/>
        </w:rPr>
        <w:t> </w:t>
      </w:r>
      <w:r>
        <w:rPr/>
        <w:t>level</w:t>
      </w:r>
      <w:r>
        <w:rPr>
          <w:spacing w:val="-2"/>
        </w:rPr>
        <w:t> </w:t>
      </w:r>
      <w:r>
        <w:rPr/>
        <w:t>late</w:t>
      </w:r>
      <w:r>
        <w:rPr>
          <w:spacing w:val="-2"/>
        </w:rPr>
        <w:t> </w:t>
      </w:r>
      <w:r>
        <w:rPr/>
        <w:t>in</w:t>
      </w:r>
      <w:r>
        <w:rPr>
          <w:spacing w:val="-2"/>
        </w:rPr>
        <w:t> </w:t>
      </w:r>
      <w:r>
        <w:rPr/>
        <w:t>a</w:t>
      </w:r>
      <w:r>
        <w:rPr>
          <w:spacing w:val="-2"/>
        </w:rPr>
        <w:t> </w:t>
      </w:r>
      <w:r>
        <w:rPr/>
        <w:t>session,</w:t>
      </w:r>
      <w:r>
        <w:rPr>
          <w:spacing w:val="-3"/>
        </w:rPr>
        <w:t> </w:t>
      </w:r>
      <w:r>
        <w:rPr/>
        <w:t>it</w:t>
      </w:r>
      <w:r>
        <w:rPr>
          <w:spacing w:val="-2"/>
        </w:rPr>
        <w:t> </w:t>
      </w:r>
      <w:r>
        <w:rPr/>
        <w:t>is</w:t>
      </w:r>
      <w:r>
        <w:rPr>
          <w:spacing w:val="-2"/>
        </w:rPr>
        <w:t> </w:t>
      </w:r>
      <w:r>
        <w:rPr/>
        <w:t>best</w:t>
      </w:r>
      <w:r>
        <w:rPr>
          <w:spacing w:val="-2"/>
        </w:rPr>
        <w:t> </w:t>
      </w:r>
      <w:r>
        <w:rPr/>
        <w:t>to</w:t>
      </w:r>
      <w:r>
        <w:rPr>
          <w:spacing w:val="-2"/>
        </w:rPr>
        <w:t> </w:t>
      </w:r>
      <w:r>
        <w:rPr/>
        <w:t>use</w:t>
      </w:r>
      <w:r>
        <w:rPr>
          <w:spacing w:val="-2"/>
        </w:rPr>
        <w:t> </w:t>
      </w:r>
      <w:r>
        <w:rPr/>
        <w:t>the level as a target, rather than trying to fade the reaction.</w:t>
      </w:r>
    </w:p>
    <w:p>
      <w:pPr>
        <w:pStyle w:val="BodyText"/>
        <w:spacing w:before="1"/>
        <w:rPr>
          <w:sz w:val="20"/>
        </w:rPr>
      </w:pPr>
      <w:r>
        <w:rPr/>
        <w:drawing>
          <wp:anchor distT="0" distB="0" distL="0" distR="0" allowOverlap="1" layoutInCell="1" locked="0" behindDoc="0" simplePos="0" relativeHeight="110">
            <wp:simplePos x="0" y="0"/>
            <wp:positionH relativeFrom="page">
              <wp:posOffset>685800</wp:posOffset>
            </wp:positionH>
            <wp:positionV relativeFrom="paragraph">
              <wp:posOffset>162288</wp:posOffset>
            </wp:positionV>
            <wp:extent cx="4342904" cy="3103054"/>
            <wp:effectExtent l="0" t="0" r="0" b="0"/>
            <wp:wrapTopAndBottom/>
            <wp:docPr id="99" name="image51.png"/>
            <wp:cNvGraphicFramePr>
              <a:graphicFrameLocks noChangeAspect="1"/>
            </wp:cNvGraphicFramePr>
            <a:graphic>
              <a:graphicData uri="http://schemas.openxmlformats.org/drawingml/2006/picture">
                <pic:pic>
                  <pic:nvPicPr>
                    <pic:cNvPr id="100" name="image51.png"/>
                    <pic:cNvPicPr/>
                  </pic:nvPicPr>
                  <pic:blipFill>
                    <a:blip r:embed="rId125"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w:t>
      </w:r>
      <w:r>
        <w:rPr>
          <w:spacing w:val="1"/>
          <w:sz w:val="16"/>
        </w:rPr>
        <w:t> </w:t>
      </w:r>
      <w:r>
        <w:rPr>
          <w:sz w:val="16"/>
        </w:rPr>
        <w:t>4.19:</w:t>
      </w:r>
      <w:r>
        <w:rPr>
          <w:spacing w:val="1"/>
          <w:sz w:val="16"/>
        </w:rPr>
        <w:t> </w:t>
      </w:r>
      <w:r>
        <w:rPr>
          <w:sz w:val="16"/>
        </w:rPr>
        <w:t>The</w:t>
      </w:r>
      <w:r>
        <w:rPr>
          <w:spacing w:val="2"/>
          <w:sz w:val="16"/>
        </w:rPr>
        <w:t> </w:t>
      </w:r>
      <w:r>
        <w:rPr>
          <w:sz w:val="16"/>
        </w:rPr>
        <w:t>E-Mini</w:t>
      </w:r>
      <w:r>
        <w:rPr>
          <w:spacing w:val="1"/>
          <w:sz w:val="16"/>
        </w:rPr>
        <w:t> </w:t>
      </w:r>
      <w:r>
        <w:rPr>
          <w:sz w:val="16"/>
        </w:rPr>
        <w:t>NASDAQ</w:t>
      </w:r>
      <w:r>
        <w:rPr>
          <w:spacing w:val="2"/>
          <w:sz w:val="16"/>
        </w:rPr>
        <w:t> </w:t>
      </w:r>
      <w:r>
        <w:rPr>
          <w:sz w:val="16"/>
        </w:rPr>
        <w:t>100</w:t>
      </w:r>
      <w:r>
        <w:rPr>
          <w:spacing w:val="1"/>
          <w:sz w:val="16"/>
        </w:rPr>
        <w:t> </w:t>
      </w:r>
      <w:r>
        <w:rPr>
          <w:sz w:val="16"/>
        </w:rPr>
        <w:t>responds</w:t>
      </w:r>
      <w:r>
        <w:rPr>
          <w:spacing w:val="2"/>
          <w:sz w:val="16"/>
        </w:rPr>
        <w:t> </w:t>
      </w:r>
      <w:r>
        <w:rPr>
          <w:sz w:val="16"/>
        </w:rPr>
        <w:t>to a</w:t>
      </w:r>
      <w:r>
        <w:rPr>
          <w:spacing w:val="2"/>
          <w:sz w:val="16"/>
        </w:rPr>
        <w:t> </w:t>
      </w:r>
      <w:r>
        <w:rPr>
          <w:sz w:val="16"/>
        </w:rPr>
        <w:t>virgin</w:t>
      </w:r>
      <w:r>
        <w:rPr>
          <w:spacing w:val="1"/>
          <w:sz w:val="16"/>
        </w:rPr>
        <w:t> </w:t>
      </w:r>
      <w:r>
        <w:rPr>
          <w:spacing w:val="-5"/>
          <w:sz w:val="16"/>
        </w:rPr>
        <w:t>VAL</w:t>
      </w:r>
    </w:p>
    <w:p>
      <w:pPr>
        <w:pStyle w:val="BodyText"/>
        <w:spacing w:before="9"/>
        <w:rPr>
          <w:sz w:val="21"/>
        </w:rPr>
      </w:pPr>
    </w:p>
    <w:p>
      <w:pPr>
        <w:pStyle w:val="BodyText"/>
        <w:ind w:left="500"/>
        <w:jc w:val="both"/>
      </w:pPr>
      <w:r>
        <w:rPr/>
        <w:t>BOSS</w:t>
      </w:r>
      <w:r>
        <w:rPr>
          <w:spacing w:val="-5"/>
        </w:rPr>
        <w:t> </w:t>
      </w:r>
      <w:r>
        <w:rPr/>
        <w:t>IN</w:t>
      </w:r>
      <w:r>
        <w:rPr>
          <w:spacing w:val="-5"/>
        </w:rPr>
        <w:t> </w:t>
      </w:r>
      <w:r>
        <w:rPr>
          <w:spacing w:val="-2"/>
        </w:rPr>
        <w:t>ACTION</w:t>
      </w:r>
    </w:p>
    <w:p>
      <w:pPr>
        <w:pStyle w:val="BodyText"/>
        <w:spacing w:before="11"/>
        <w:rPr>
          <w:sz w:val="21"/>
        </w:rPr>
      </w:pPr>
    </w:p>
    <w:p>
      <w:pPr>
        <w:pStyle w:val="BodyText"/>
        <w:ind w:left="500" w:right="135" w:firstLine="432"/>
        <w:jc w:val="both"/>
      </w:pPr>
      <w:r>
        <w:rPr/>
        <w:t>Let’s take a look at how I would normally play this setup. Figure 4.20 is a five-minute chart of Research in Motion, Ltd. that shows a test at the most recent virgin POC. There are two main factors that I look for when considering this setup for a fade opportunity: the trend and a morning test. First, I like to play a fade in the direction of the existing short-term trend, which can be as short as two days. As long as price is trading within a discernable short-term trend, a pull-back within the trend makes for an easy prospect for a fade opportunity. In Figure 4.20, you will notice that RIMM has been trending lower over the last several days of trading, making a pull- back on January 21 a prime prospect for a fade at the virgin POC. The</w:t>
      </w:r>
      <w:r>
        <w:rPr>
          <w:spacing w:val="80"/>
        </w:rPr>
        <w:t> </w:t>
      </w:r>
      <w:r>
        <w:rPr/>
        <w:t>second criterion that must be fulfilled is a morning test of the virgin level, preferably in the first thirty to sixty minutes of the session. I prefer this</w:t>
      </w:r>
      <w:r>
        <w:rPr>
          <w:spacing w:val="40"/>
        </w:rPr>
        <w:t> </w:t>
      </w:r>
      <w:r>
        <w:rPr/>
        <w:t>timing because it coincides within the natural reversal times in the chart. Moreover,</w:t>
      </w:r>
      <w:r>
        <w:rPr>
          <w:spacing w:val="28"/>
        </w:rPr>
        <w:t> </w:t>
      </w:r>
      <w:r>
        <w:rPr/>
        <w:t>this</w:t>
      </w:r>
      <w:r>
        <w:rPr>
          <w:spacing w:val="28"/>
        </w:rPr>
        <w:t> </w:t>
      </w:r>
      <w:r>
        <w:rPr/>
        <w:t>timing</w:t>
      </w:r>
      <w:r>
        <w:rPr>
          <w:spacing w:val="28"/>
        </w:rPr>
        <w:t> </w:t>
      </w:r>
      <w:r>
        <w:rPr/>
        <w:t>also</w:t>
      </w:r>
      <w:r>
        <w:rPr>
          <w:spacing w:val="29"/>
        </w:rPr>
        <w:t> </w:t>
      </w:r>
      <w:r>
        <w:rPr/>
        <w:t>runs</w:t>
      </w:r>
      <w:r>
        <w:rPr>
          <w:spacing w:val="28"/>
        </w:rPr>
        <w:t> </w:t>
      </w:r>
      <w:r>
        <w:rPr/>
        <w:t>parallel</w:t>
      </w:r>
      <w:r>
        <w:rPr>
          <w:spacing w:val="28"/>
        </w:rPr>
        <w:t> </w:t>
      </w:r>
      <w:r>
        <w:rPr/>
        <w:t>to</w:t>
      </w:r>
      <w:r>
        <w:rPr>
          <w:spacing w:val="29"/>
        </w:rPr>
        <w:t> </w:t>
      </w:r>
      <w:r>
        <w:rPr/>
        <w:t>the</w:t>
      </w:r>
      <w:r>
        <w:rPr>
          <w:spacing w:val="28"/>
        </w:rPr>
        <w:t> </w:t>
      </w:r>
      <w:r>
        <w:rPr/>
        <w:t>creation</w:t>
      </w:r>
      <w:r>
        <w:rPr>
          <w:spacing w:val="28"/>
        </w:rPr>
        <w:t> </w:t>
      </w:r>
      <w:r>
        <w:rPr/>
        <w:t>of</w:t>
      </w:r>
      <w:r>
        <w:rPr>
          <w:spacing w:val="29"/>
        </w:rPr>
        <w:t> </w:t>
      </w:r>
      <w:r>
        <w:rPr/>
        <w:t>the</w:t>
      </w:r>
      <w:r>
        <w:rPr>
          <w:spacing w:val="28"/>
        </w:rPr>
        <w:t> </w:t>
      </w:r>
      <w:r>
        <w:rPr/>
        <w:t>day’s</w:t>
      </w:r>
      <w:r>
        <w:rPr>
          <w:spacing w:val="28"/>
        </w:rPr>
        <w:t> </w:t>
      </w:r>
      <w:r>
        <w:rPr>
          <w:spacing w:val="-2"/>
        </w:rPr>
        <w:t>initial</w:t>
      </w:r>
    </w:p>
    <w:p>
      <w:pPr>
        <w:pStyle w:val="BodyText"/>
        <w:tabs>
          <w:tab w:pos="7369" w:val="left" w:leader="none"/>
        </w:tabs>
        <w:spacing w:before="1"/>
        <w:ind w:left="470"/>
        <w:jc w:val="both"/>
      </w:pPr>
      <w:r>
        <w:rPr>
          <w:spacing w:val="-26"/>
          <w:u w:val="single"/>
        </w:rPr>
        <w:t> </w:t>
      </w:r>
      <w:r>
        <w:rPr>
          <w:spacing w:val="-2"/>
          <w:u w:val="single"/>
        </w:rPr>
        <w:t>balance.</w:t>
      </w:r>
      <w:r>
        <w:rPr>
          <w:u w:val="single"/>
        </w:rPr>
        <w:tab/>
      </w:r>
    </w:p>
    <w:p>
      <w:pPr>
        <w:spacing w:after="0"/>
        <w:jc w:val="both"/>
        <w:sectPr>
          <w:pgSz w:w="8640" w:h="12960"/>
          <w:pgMar w:header="536" w:footer="985" w:top="720" w:bottom="1180" w:left="580" w:right="580"/>
        </w:sectPr>
      </w:pPr>
    </w:p>
    <w:p>
      <w:pPr>
        <w:pStyle w:val="BodyText"/>
        <w:spacing w:before="5"/>
        <w:rPr>
          <w:sz w:val="18"/>
        </w:rPr>
      </w:pPr>
    </w:p>
    <w:p>
      <w:pPr>
        <w:pStyle w:val="BodyText"/>
        <w:spacing w:before="64"/>
        <w:ind w:left="140" w:right="496" w:firstLine="432"/>
        <w:jc w:val="both"/>
      </w:pPr>
      <w:r>
        <w:rPr/>
        <w:t>Looking at the chart, you see that RIMM rallied early in the session, but immediately halted the advance once the virgin POC was filled at $65.33. Instead of blindly submitting an order to sell the virgin POC, I usually look for signs of exhaustion at this level. I do this by studying the development of the candlesticks at this level to gauge the actions of responsive market participants. Have any of my key candlestick reversal patterns formed, like the extreme reversal or wick reversal setups? Have any candlesticks turned bearish</w:t>
      </w:r>
      <w:r>
        <w:rPr>
          <w:spacing w:val="-2"/>
        </w:rPr>
        <w:t> </w:t>
      </w:r>
      <w:r>
        <w:rPr/>
        <w:t>after</w:t>
      </w:r>
      <w:r>
        <w:rPr>
          <w:spacing w:val="-2"/>
        </w:rPr>
        <w:t> </w:t>
      </w:r>
      <w:r>
        <w:rPr/>
        <w:t>the</w:t>
      </w:r>
      <w:r>
        <w:rPr>
          <w:spacing w:val="-2"/>
        </w:rPr>
        <w:t> </w:t>
      </w:r>
      <w:r>
        <w:rPr/>
        <w:t>early</w:t>
      </w:r>
      <w:r>
        <w:rPr>
          <w:spacing w:val="-2"/>
        </w:rPr>
        <w:t> </w:t>
      </w:r>
      <w:r>
        <w:rPr/>
        <w:t>advance?</w:t>
      </w:r>
      <w:r>
        <w:rPr>
          <w:spacing w:val="-2"/>
        </w:rPr>
        <w:t> </w:t>
      </w:r>
      <w:r>
        <w:rPr/>
        <w:t>If</w:t>
      </w:r>
      <w:r>
        <w:rPr>
          <w:spacing w:val="-2"/>
        </w:rPr>
        <w:t> </w:t>
      </w:r>
      <w:r>
        <w:rPr/>
        <w:t>the</w:t>
      </w:r>
      <w:r>
        <w:rPr>
          <w:spacing w:val="-2"/>
        </w:rPr>
        <w:t> </w:t>
      </w:r>
      <w:r>
        <w:rPr/>
        <w:t>answer</w:t>
      </w:r>
      <w:r>
        <w:rPr>
          <w:spacing w:val="-2"/>
        </w:rPr>
        <w:t> </w:t>
      </w:r>
      <w:r>
        <w:rPr/>
        <w:t>to</w:t>
      </w:r>
      <w:r>
        <w:rPr>
          <w:spacing w:val="-2"/>
        </w:rPr>
        <w:t> </w:t>
      </w:r>
      <w:r>
        <w:rPr/>
        <w:t>any</w:t>
      </w:r>
      <w:r>
        <w:rPr>
          <w:spacing w:val="-2"/>
        </w:rPr>
        <w:t> </w:t>
      </w:r>
      <w:r>
        <w:rPr/>
        <w:t>of</w:t>
      </w:r>
      <w:r>
        <w:rPr>
          <w:spacing w:val="-2"/>
        </w:rPr>
        <w:t> </w:t>
      </w:r>
      <w:r>
        <w:rPr/>
        <w:t>these</w:t>
      </w:r>
      <w:r>
        <w:rPr>
          <w:spacing w:val="-2"/>
        </w:rPr>
        <w:t> </w:t>
      </w:r>
      <w:r>
        <w:rPr/>
        <w:t>questions</w:t>
      </w:r>
      <w:r>
        <w:rPr>
          <w:spacing w:val="-2"/>
        </w:rPr>
        <w:t> </w:t>
      </w:r>
      <w:r>
        <w:rPr/>
        <w:t>is</w:t>
      </w:r>
      <w:r>
        <w:rPr>
          <w:spacing w:val="-3"/>
        </w:rPr>
        <w:t> </w:t>
      </w:r>
      <w:r>
        <w:rPr/>
        <w:t>yes, then I will submit an order to sell the virgin POC with my stop loss set above the high of the session and a target back at the day’s low. I choose this target because if the market does indeed reverse from the virgin POC, then chances are good that the market has established an early range for fair trade facilitation. Therefore, the market is likely to trade back within the boundaries of the initial balance, thereby testing the day’s low, which occurred in this case.</w:t>
      </w:r>
    </w:p>
    <w:p>
      <w:pPr>
        <w:pStyle w:val="BodyText"/>
        <w:spacing w:before="1"/>
        <w:rPr>
          <w:sz w:val="20"/>
        </w:rPr>
      </w:pPr>
      <w:r>
        <w:rPr/>
        <w:drawing>
          <wp:anchor distT="0" distB="0" distL="0" distR="0" allowOverlap="1" layoutInCell="1" locked="0" behindDoc="0" simplePos="0" relativeHeight="111">
            <wp:simplePos x="0" y="0"/>
            <wp:positionH relativeFrom="page">
              <wp:posOffset>457200</wp:posOffset>
            </wp:positionH>
            <wp:positionV relativeFrom="paragraph">
              <wp:posOffset>162501</wp:posOffset>
            </wp:positionV>
            <wp:extent cx="4342904" cy="3103054"/>
            <wp:effectExtent l="0" t="0" r="0" b="0"/>
            <wp:wrapTopAndBottom/>
            <wp:docPr id="101" name="image52.png"/>
            <wp:cNvGraphicFramePr>
              <a:graphicFrameLocks noChangeAspect="1"/>
            </wp:cNvGraphicFramePr>
            <a:graphic>
              <a:graphicData uri="http://schemas.openxmlformats.org/drawingml/2006/picture">
                <pic:pic>
                  <pic:nvPicPr>
                    <pic:cNvPr id="102" name="image52.png"/>
                    <pic:cNvPicPr/>
                  </pic:nvPicPr>
                  <pic:blipFill>
                    <a:blip r:embed="rId130"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w:t>
      </w:r>
      <w:r>
        <w:rPr>
          <w:spacing w:val="2"/>
          <w:sz w:val="16"/>
        </w:rPr>
        <w:t> </w:t>
      </w:r>
      <w:r>
        <w:rPr>
          <w:sz w:val="16"/>
        </w:rPr>
        <w:t>4.20:</w:t>
      </w:r>
      <w:r>
        <w:rPr>
          <w:spacing w:val="2"/>
          <w:sz w:val="16"/>
        </w:rPr>
        <w:t> </w:t>
      </w:r>
      <w:r>
        <w:rPr>
          <w:sz w:val="16"/>
        </w:rPr>
        <w:t>Fading</w:t>
      </w:r>
      <w:r>
        <w:rPr>
          <w:spacing w:val="3"/>
          <w:sz w:val="16"/>
        </w:rPr>
        <w:t> </w:t>
      </w:r>
      <w:r>
        <w:rPr>
          <w:sz w:val="16"/>
        </w:rPr>
        <w:t>a</w:t>
      </w:r>
      <w:r>
        <w:rPr>
          <w:spacing w:val="2"/>
          <w:sz w:val="16"/>
        </w:rPr>
        <w:t> </w:t>
      </w:r>
      <w:r>
        <w:rPr>
          <w:sz w:val="16"/>
        </w:rPr>
        <w:t>test</w:t>
      </w:r>
      <w:r>
        <w:rPr>
          <w:spacing w:val="3"/>
          <w:sz w:val="16"/>
        </w:rPr>
        <w:t> </w:t>
      </w:r>
      <w:r>
        <w:rPr>
          <w:sz w:val="16"/>
        </w:rPr>
        <w:t>of</w:t>
      </w:r>
      <w:r>
        <w:rPr>
          <w:spacing w:val="2"/>
          <w:sz w:val="16"/>
        </w:rPr>
        <w:t> </w:t>
      </w:r>
      <w:r>
        <w:rPr>
          <w:sz w:val="16"/>
        </w:rPr>
        <w:t>a</w:t>
      </w:r>
      <w:r>
        <w:rPr>
          <w:spacing w:val="3"/>
          <w:sz w:val="16"/>
        </w:rPr>
        <w:t> </w:t>
      </w:r>
      <w:r>
        <w:rPr>
          <w:sz w:val="16"/>
        </w:rPr>
        <w:t>virgin</w:t>
      </w:r>
      <w:r>
        <w:rPr>
          <w:spacing w:val="2"/>
          <w:sz w:val="16"/>
        </w:rPr>
        <w:t> </w:t>
      </w:r>
      <w:r>
        <w:rPr>
          <w:sz w:val="16"/>
        </w:rPr>
        <w:t>POC</w:t>
      </w:r>
      <w:r>
        <w:rPr>
          <w:spacing w:val="3"/>
          <w:sz w:val="16"/>
        </w:rPr>
        <w:t> </w:t>
      </w:r>
      <w:r>
        <w:rPr>
          <w:sz w:val="16"/>
        </w:rPr>
        <w:t>in</w:t>
      </w:r>
      <w:r>
        <w:rPr>
          <w:spacing w:val="2"/>
          <w:sz w:val="16"/>
        </w:rPr>
        <w:t> </w:t>
      </w:r>
      <w:r>
        <w:rPr>
          <w:spacing w:val="-4"/>
          <w:sz w:val="16"/>
        </w:rPr>
        <w:t>RIMM</w:t>
      </w:r>
    </w:p>
    <w:p>
      <w:pPr>
        <w:pStyle w:val="BodyText"/>
        <w:spacing w:before="9"/>
        <w:rPr>
          <w:sz w:val="21"/>
        </w:rPr>
      </w:pPr>
    </w:p>
    <w:p>
      <w:pPr>
        <w:pStyle w:val="BodyText"/>
        <w:ind w:left="139" w:right="496" w:firstLine="432"/>
        <w:jc w:val="both"/>
      </w:pPr>
      <w:r>
        <w:rPr/>
        <w:t>Virgin Money Zone levels are extremely valuable zones to monitor. A high percentage of virgin levels are usually filled within days of their creation. Actually, I’ve read research that indicates that upwards of 80</w:t>
      </w:r>
      <w:r>
        <w:rPr>
          <w:spacing w:val="40"/>
        </w:rPr>
        <w:t> </w:t>
      </w:r>
      <w:r>
        <w:rPr/>
        <w:t>percent</w:t>
      </w:r>
      <w:r>
        <w:rPr>
          <w:spacing w:val="54"/>
        </w:rPr>
        <w:t> </w:t>
      </w:r>
      <w:r>
        <w:rPr/>
        <w:t>of</w:t>
      </w:r>
      <w:r>
        <w:rPr>
          <w:spacing w:val="54"/>
        </w:rPr>
        <w:t> </w:t>
      </w:r>
      <w:r>
        <w:rPr/>
        <w:t>virgin</w:t>
      </w:r>
      <w:r>
        <w:rPr>
          <w:spacing w:val="55"/>
        </w:rPr>
        <w:t> </w:t>
      </w:r>
      <w:r>
        <w:rPr/>
        <w:t>levels</w:t>
      </w:r>
      <w:r>
        <w:rPr>
          <w:spacing w:val="56"/>
        </w:rPr>
        <w:t> </w:t>
      </w:r>
      <w:r>
        <w:rPr/>
        <w:t>are</w:t>
      </w:r>
      <w:r>
        <w:rPr>
          <w:spacing w:val="57"/>
        </w:rPr>
        <w:t> </w:t>
      </w:r>
      <w:r>
        <w:rPr/>
        <w:t>“filled”</w:t>
      </w:r>
      <w:r>
        <w:rPr>
          <w:spacing w:val="56"/>
        </w:rPr>
        <w:t> </w:t>
      </w:r>
      <w:r>
        <w:rPr/>
        <w:t>within</w:t>
      </w:r>
      <w:r>
        <w:rPr>
          <w:spacing w:val="55"/>
        </w:rPr>
        <w:t> </w:t>
      </w:r>
      <w:r>
        <w:rPr/>
        <w:t>a</w:t>
      </w:r>
      <w:r>
        <w:rPr>
          <w:spacing w:val="54"/>
        </w:rPr>
        <w:t> </w:t>
      </w:r>
      <w:r>
        <w:rPr/>
        <w:t>week</w:t>
      </w:r>
      <w:r>
        <w:rPr>
          <w:spacing w:val="55"/>
        </w:rPr>
        <w:t> </w:t>
      </w:r>
      <w:r>
        <w:rPr/>
        <w:t>of</w:t>
      </w:r>
      <w:r>
        <w:rPr>
          <w:spacing w:val="54"/>
        </w:rPr>
        <w:t> </w:t>
      </w:r>
      <w:r>
        <w:rPr/>
        <w:t>their</w:t>
      </w:r>
      <w:r>
        <w:rPr>
          <w:spacing w:val="57"/>
        </w:rPr>
        <w:t> </w:t>
      </w:r>
      <w:r>
        <w:rPr/>
        <w:t>creation,</w:t>
      </w:r>
      <w:r>
        <w:rPr>
          <w:spacing w:val="54"/>
        </w:rPr>
        <w:t> </w:t>
      </w:r>
      <w:r>
        <w:rPr>
          <w:spacing w:val="-5"/>
        </w:rPr>
        <w:t>so</w:t>
      </w:r>
    </w:p>
    <w:p>
      <w:pPr>
        <w:pStyle w:val="BodyText"/>
        <w:spacing w:line="253" w:lineRule="exact"/>
        <w:ind w:left="110"/>
        <w:jc w:val="both"/>
      </w:pPr>
      <w:r>
        <w:rPr>
          <w:spacing w:val="-26"/>
          <w:u w:val="single"/>
        </w:rPr>
        <w:t> </w:t>
      </w:r>
      <w:r>
        <w:rPr>
          <w:u w:val="single"/>
        </w:rPr>
        <w:t>marking</w:t>
      </w:r>
      <w:r>
        <w:rPr>
          <w:spacing w:val="5"/>
          <w:u w:val="single"/>
        </w:rPr>
        <w:t> </w:t>
      </w:r>
      <w:r>
        <w:rPr>
          <w:u w:val="single"/>
        </w:rPr>
        <w:t>these</w:t>
      </w:r>
      <w:r>
        <w:rPr>
          <w:spacing w:val="7"/>
          <w:u w:val="single"/>
        </w:rPr>
        <w:t> </w:t>
      </w:r>
      <w:r>
        <w:rPr>
          <w:u w:val="single"/>
        </w:rPr>
        <w:t>levels</w:t>
      </w:r>
      <w:r>
        <w:rPr>
          <w:spacing w:val="7"/>
          <w:u w:val="single"/>
        </w:rPr>
        <w:t> </w:t>
      </w:r>
      <w:r>
        <w:rPr>
          <w:u w:val="single"/>
        </w:rPr>
        <w:t>for</w:t>
      </w:r>
      <w:r>
        <w:rPr>
          <w:spacing w:val="8"/>
          <w:u w:val="single"/>
        </w:rPr>
        <w:t> </w:t>
      </w:r>
      <w:r>
        <w:rPr>
          <w:u w:val="single"/>
        </w:rPr>
        <w:t>a</w:t>
      </w:r>
      <w:r>
        <w:rPr>
          <w:spacing w:val="6"/>
          <w:u w:val="single"/>
        </w:rPr>
        <w:t> </w:t>
      </w:r>
      <w:r>
        <w:rPr>
          <w:u w:val="single"/>
        </w:rPr>
        <w:t>potential</w:t>
      </w:r>
      <w:r>
        <w:rPr>
          <w:spacing w:val="7"/>
          <w:u w:val="single"/>
        </w:rPr>
        <w:t> </w:t>
      </w:r>
      <w:r>
        <w:rPr>
          <w:u w:val="single"/>
        </w:rPr>
        <w:t>test</w:t>
      </w:r>
      <w:r>
        <w:rPr>
          <w:spacing w:val="6"/>
          <w:u w:val="single"/>
        </w:rPr>
        <w:t> </w:t>
      </w:r>
      <w:r>
        <w:rPr>
          <w:u w:val="single"/>
        </w:rPr>
        <w:t>in</w:t>
      </w:r>
      <w:r>
        <w:rPr>
          <w:spacing w:val="7"/>
          <w:u w:val="single"/>
        </w:rPr>
        <w:t> </w:t>
      </w:r>
      <w:r>
        <w:rPr>
          <w:u w:val="single"/>
        </w:rPr>
        <w:t>the</w:t>
      </w:r>
      <w:r>
        <w:rPr>
          <w:spacing w:val="7"/>
          <w:u w:val="single"/>
        </w:rPr>
        <w:t> </w:t>
      </w:r>
      <w:r>
        <w:rPr>
          <w:u w:val="single"/>
        </w:rPr>
        <w:t>future</w:t>
      </w:r>
      <w:r>
        <w:rPr>
          <w:spacing w:val="7"/>
          <w:u w:val="single"/>
        </w:rPr>
        <w:t> </w:t>
      </w:r>
      <w:r>
        <w:rPr>
          <w:u w:val="single"/>
        </w:rPr>
        <w:t>is</w:t>
      </w:r>
      <w:r>
        <w:rPr>
          <w:spacing w:val="7"/>
          <w:u w:val="single"/>
        </w:rPr>
        <w:t> </w:t>
      </w:r>
      <w:r>
        <w:rPr>
          <w:u w:val="single"/>
        </w:rPr>
        <w:t>a</w:t>
      </w:r>
      <w:r>
        <w:rPr>
          <w:spacing w:val="7"/>
          <w:u w:val="single"/>
        </w:rPr>
        <w:t> </w:t>
      </w:r>
      <w:r>
        <w:rPr>
          <w:u w:val="single"/>
        </w:rPr>
        <w:t>good</w:t>
      </w:r>
      <w:r>
        <w:rPr>
          <w:spacing w:val="8"/>
          <w:u w:val="single"/>
        </w:rPr>
        <w:t> </w:t>
      </w:r>
      <w:r>
        <w:rPr>
          <w:u w:val="single"/>
        </w:rPr>
        <w:t>habit</w:t>
      </w:r>
      <w:r>
        <w:rPr>
          <w:spacing w:val="7"/>
          <w:u w:val="single"/>
        </w:rPr>
        <w:t> </w:t>
      </w:r>
      <w:r>
        <w:rPr>
          <w:u w:val="single"/>
        </w:rPr>
        <w:t>to</w:t>
      </w:r>
      <w:r>
        <w:rPr>
          <w:spacing w:val="6"/>
          <w:u w:val="single"/>
        </w:rPr>
        <w:t> </w:t>
      </w:r>
      <w:r>
        <w:rPr>
          <w:spacing w:val="-2"/>
          <w:u w:val="single"/>
        </w:rPr>
        <w:t>keep.</w:t>
      </w:r>
    </w:p>
    <w:p>
      <w:pPr>
        <w:spacing w:after="0" w:line="253" w:lineRule="exact"/>
        <w:jc w:val="both"/>
        <w:sectPr>
          <w:headerReference w:type="even" r:id="rId126"/>
          <w:headerReference w:type="default" r:id="rId127"/>
          <w:footerReference w:type="even" r:id="rId128"/>
          <w:footerReference w:type="default" r:id="rId129"/>
          <w:pgSz w:w="8640" w:h="12960"/>
          <w:pgMar w:header="579" w:footer="985" w:top="760" w:bottom="1180" w:left="580" w:right="580"/>
          <w:pgNumType w:start="100"/>
        </w:sectPr>
      </w:pPr>
    </w:p>
    <w:p>
      <w:pPr>
        <w:pStyle w:val="BodyText"/>
        <w:spacing w:before="3"/>
      </w:pPr>
    </w:p>
    <w:p>
      <w:pPr>
        <w:pStyle w:val="BodyText"/>
        <w:spacing w:before="64"/>
        <w:ind w:left="500" w:right="136"/>
        <w:jc w:val="both"/>
      </w:pPr>
      <w:r>
        <w:rPr/>
        <w:t>These levels also become extremely useful when they are created within a trend, as a pull-back to a virgin level will usually offer a solid entry back in the direction of the current trend.</w:t>
      </w:r>
    </w:p>
    <w:p>
      <w:pPr>
        <w:pStyle w:val="BodyText"/>
        <w:spacing w:before="10"/>
        <w:rPr>
          <w:sz w:val="21"/>
        </w:rPr>
      </w:pPr>
    </w:p>
    <w:p>
      <w:pPr>
        <w:pStyle w:val="Heading3"/>
        <w:ind w:left="500"/>
        <w:jc w:val="both"/>
      </w:pPr>
      <w:r>
        <w:rPr/>
        <w:pict>
          <v:shape style="position:absolute;margin-left:54.779999pt;margin-top:18.290289pt;width:341pt;height:.1pt;mso-position-horizontal-relative:page;mso-position-vertical-relative:paragraph;z-index:-15671296;mso-wrap-distance-left:0;mso-wrap-distance-right:0" id="docshape394" coordorigin="1096,366" coordsize="6820,0" path="m1096,366l7915,366e" filled="false" stroked="true" strokeweight=".75pt" strokecolor="#000000">
            <v:path arrowok="t"/>
            <v:stroke dashstyle="solid"/>
            <w10:wrap type="topAndBottom"/>
          </v:shape>
        </w:pict>
      </w:r>
      <w:bookmarkStart w:name="_TOC_250058" w:id="33"/>
      <w:r>
        <w:rPr>
          <w:smallCaps/>
          <w:spacing w:val="-4"/>
        </w:rPr>
        <w:t>Understanding</w:t>
      </w:r>
      <w:r>
        <w:rPr>
          <w:smallCaps/>
          <w:spacing w:val="1"/>
        </w:rPr>
        <w:t> </w:t>
      </w:r>
      <w:r>
        <w:rPr>
          <w:smallCaps/>
          <w:spacing w:val="-4"/>
        </w:rPr>
        <w:t>Volume</w:t>
      </w:r>
      <w:r>
        <w:rPr>
          <w:smallCaps/>
          <w:spacing w:val="-11"/>
        </w:rPr>
        <w:t> </w:t>
      </w:r>
      <w:r>
        <w:rPr>
          <w:smallCaps/>
          <w:spacing w:val="-4"/>
        </w:rPr>
        <w:t>at</w:t>
      </w:r>
      <w:r>
        <w:rPr>
          <w:smallCaps/>
          <w:spacing w:val="-2"/>
        </w:rPr>
        <w:t> </w:t>
      </w:r>
      <w:bookmarkEnd w:id="33"/>
      <w:r>
        <w:rPr>
          <w:smallCaps/>
          <w:spacing w:val="-4"/>
        </w:rPr>
        <w:t>Price</w:t>
      </w:r>
    </w:p>
    <w:p>
      <w:pPr>
        <w:pStyle w:val="BodyText"/>
        <w:spacing w:before="202"/>
        <w:ind w:left="499" w:right="135" w:firstLine="432"/>
        <w:jc w:val="both"/>
      </w:pPr>
      <w:r>
        <w:rPr/>
        <w:t>The </w:t>
      </w:r>
      <w:r>
        <w:rPr>
          <w:i/>
        </w:rPr>
        <w:t>volume at price </w:t>
      </w:r>
      <w:r>
        <w:rPr/>
        <w:t>indicator is a visually powerful tool. This indicator is quite unlike the typical volume indicator that most traders use, which only plots</w:t>
      </w:r>
      <w:r>
        <w:rPr>
          <w:spacing w:val="-2"/>
        </w:rPr>
        <w:t> </w:t>
      </w:r>
      <w:r>
        <w:rPr/>
        <w:t>volume</w:t>
      </w:r>
      <w:r>
        <w:rPr>
          <w:spacing w:val="-1"/>
        </w:rPr>
        <w:t> </w:t>
      </w:r>
      <w:r>
        <w:rPr/>
        <w:t>at</w:t>
      </w:r>
      <w:r>
        <w:rPr>
          <w:spacing w:val="-2"/>
        </w:rPr>
        <w:t> </w:t>
      </w:r>
      <w:r>
        <w:rPr/>
        <w:t>a</w:t>
      </w:r>
      <w:r>
        <w:rPr>
          <w:spacing w:val="-2"/>
        </w:rPr>
        <w:t> </w:t>
      </w:r>
      <w:r>
        <w:rPr/>
        <w:t>bar.</w:t>
      </w:r>
      <w:r>
        <w:rPr>
          <w:spacing w:val="-2"/>
        </w:rPr>
        <w:t> </w:t>
      </w:r>
      <w:r>
        <w:rPr/>
        <w:t>Instead,</w:t>
      </w:r>
      <w:r>
        <w:rPr>
          <w:spacing w:val="-2"/>
        </w:rPr>
        <w:t> </w:t>
      </w:r>
      <w:r>
        <w:rPr/>
        <w:t>volume</w:t>
      </w:r>
      <w:r>
        <w:rPr>
          <w:spacing w:val="-2"/>
        </w:rPr>
        <w:t> </w:t>
      </w:r>
      <w:r>
        <w:rPr/>
        <w:t>at</w:t>
      </w:r>
      <w:r>
        <w:rPr>
          <w:spacing w:val="-1"/>
        </w:rPr>
        <w:t> </w:t>
      </w:r>
      <w:r>
        <w:rPr/>
        <w:t>price</w:t>
      </w:r>
      <w:r>
        <w:rPr>
          <w:spacing w:val="-2"/>
        </w:rPr>
        <w:t> </w:t>
      </w:r>
      <w:r>
        <w:rPr/>
        <w:t>plots</w:t>
      </w:r>
      <w:r>
        <w:rPr>
          <w:spacing w:val="-2"/>
        </w:rPr>
        <w:t> </w:t>
      </w:r>
      <w:r>
        <w:rPr/>
        <w:t>a</w:t>
      </w:r>
      <w:r>
        <w:rPr>
          <w:spacing w:val="-2"/>
        </w:rPr>
        <w:t> </w:t>
      </w:r>
      <w:r>
        <w:rPr/>
        <w:t>horizontal</w:t>
      </w:r>
      <w:r>
        <w:rPr>
          <w:spacing w:val="-2"/>
        </w:rPr>
        <w:t> </w:t>
      </w:r>
      <w:r>
        <w:rPr/>
        <w:t>histogram</w:t>
      </w:r>
      <w:r>
        <w:rPr>
          <w:spacing w:val="-2"/>
        </w:rPr>
        <w:t> </w:t>
      </w:r>
      <w:r>
        <w:rPr/>
        <w:t>of volume at a price, and is overlaid directly on the price pane. This gives you visually significant market-generated information. Plotting this indicator allows you to see the market at work in a way that no other indicator offers, and it actually gives you the closest representation of the Market Profile </w:t>
      </w:r>
      <w:r>
        <w:rPr>
          <w:spacing w:val="-2"/>
        </w:rPr>
        <w:t>structure.</w:t>
      </w:r>
    </w:p>
    <w:p>
      <w:pPr>
        <w:pStyle w:val="BodyText"/>
        <w:spacing w:before="1"/>
        <w:ind w:left="499" w:right="136" w:firstLine="432"/>
        <w:jc w:val="both"/>
      </w:pPr>
      <w:r>
        <w:rPr/>
        <w:t>Perhaps the most significant aspects of the volume at price indicator are the volume peaks, or </w:t>
      </w:r>
      <w:r>
        <w:rPr>
          <w:i/>
        </w:rPr>
        <w:t>High Volume Areas </w:t>
      </w:r>
      <w:r>
        <w:rPr/>
        <w:t>(HVA), that are formed day after day. These peaks visually highlight high traffic price levels where the most trade occurred between buyers and sellers. These peaks are extremely relevant in the charts because they signify price levels that offered fair facilitation of trade. As you know, the market solely operates to facilitate trade; therefore, these peaks visually display satisfied customers. Price will usually move freely between peaks, using prior peaks as both support and resistance, as market participants search for price zones that offer fair trade. More</w:t>
      </w:r>
      <w:r>
        <w:rPr/>
        <w:t> than one peak can be created in a single day, like on a Double- Distribution Trend Day, but the highest peak of the day will be crowned the </w:t>
      </w:r>
      <w:r>
        <w:rPr>
          <w:i/>
        </w:rPr>
        <w:t>Volume Point of Control (VPOC)</w:t>
      </w:r>
      <w:r>
        <w:rPr/>
        <w:t>, which indicates the fairest price of the day as</w:t>
      </w:r>
      <w:r>
        <w:rPr>
          <w:spacing w:val="-1"/>
        </w:rPr>
        <w:t> </w:t>
      </w:r>
      <w:r>
        <w:rPr/>
        <w:t>seen</w:t>
      </w:r>
      <w:r>
        <w:rPr>
          <w:spacing w:val="-1"/>
        </w:rPr>
        <w:t> </w:t>
      </w:r>
      <w:r>
        <w:rPr/>
        <w:t>through</w:t>
      </w:r>
      <w:r>
        <w:rPr>
          <w:spacing w:val="-1"/>
        </w:rPr>
        <w:t> </w:t>
      </w:r>
      <w:r>
        <w:rPr/>
        <w:t>the</w:t>
      </w:r>
      <w:r>
        <w:rPr>
          <w:spacing w:val="-1"/>
        </w:rPr>
        <w:t> </w:t>
      </w:r>
      <w:r>
        <w:rPr/>
        <w:t>eyes</w:t>
      </w:r>
      <w:r>
        <w:rPr>
          <w:spacing w:val="-1"/>
        </w:rPr>
        <w:t> </w:t>
      </w:r>
      <w:r>
        <w:rPr/>
        <w:t>of</w:t>
      </w:r>
      <w:r>
        <w:rPr>
          <w:spacing w:val="-1"/>
        </w:rPr>
        <w:t> </w:t>
      </w:r>
      <w:r>
        <w:rPr/>
        <w:t>volume.</w:t>
      </w:r>
      <w:r>
        <w:rPr>
          <w:spacing w:val="-1"/>
        </w:rPr>
        <w:t> </w:t>
      </w:r>
      <w:r>
        <w:rPr/>
        <w:t>This</w:t>
      </w:r>
      <w:r>
        <w:rPr>
          <w:spacing w:val="-1"/>
        </w:rPr>
        <w:t> </w:t>
      </w:r>
      <w:r>
        <w:rPr/>
        <w:t>level</w:t>
      </w:r>
      <w:r>
        <w:rPr>
          <w:spacing w:val="-1"/>
        </w:rPr>
        <w:t> </w:t>
      </w:r>
      <w:r>
        <w:rPr/>
        <w:t>will</w:t>
      </w:r>
      <w:r>
        <w:rPr>
          <w:spacing w:val="-1"/>
        </w:rPr>
        <w:t> </w:t>
      </w:r>
      <w:r>
        <w:rPr/>
        <w:t>usually</w:t>
      </w:r>
      <w:r>
        <w:rPr>
          <w:spacing w:val="-2"/>
        </w:rPr>
        <w:t> </w:t>
      </w:r>
      <w:r>
        <w:rPr/>
        <w:t>be</w:t>
      </w:r>
      <w:r>
        <w:rPr>
          <w:spacing w:val="-1"/>
        </w:rPr>
        <w:t> </w:t>
      </w:r>
      <w:r>
        <w:rPr/>
        <w:t>the</w:t>
      </w:r>
      <w:r>
        <w:rPr>
          <w:spacing w:val="-1"/>
        </w:rPr>
        <w:t> </w:t>
      </w:r>
      <w:r>
        <w:rPr/>
        <w:t>same as</w:t>
      </w:r>
      <w:r>
        <w:rPr>
          <w:spacing w:val="-1"/>
        </w:rPr>
        <w:t> </w:t>
      </w:r>
      <w:r>
        <w:rPr/>
        <w:t>the price-based POC, but can differ at times since it is based on volume.</w:t>
      </w:r>
    </w:p>
    <w:p>
      <w:pPr>
        <w:pStyle w:val="BodyText"/>
        <w:ind w:left="499" w:right="134" w:firstLine="432"/>
        <w:jc w:val="both"/>
      </w:pPr>
      <w:r>
        <w:rPr/>
        <w:t>Take a look at Figure 4.21, which is a five-minute chart of the Silver futures contract. Notice how price trades freely between volume peaks over the course of several days, as the market tests, and retests, high volume clusters. Basically, the market is operating in a matter that allows for easy facilitation of trade. Price is basically trading from one high volume cluster</w:t>
      </w:r>
      <w:r>
        <w:rPr>
          <w:spacing w:val="40"/>
        </w:rPr>
        <w:t> </w:t>
      </w:r>
      <w:r>
        <w:rPr/>
        <w:t>to the next in order to satisfy different market participants at different prices.</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49" cy="3068954"/>
            <wp:effectExtent l="0" t="0" r="0" b="0"/>
            <wp:docPr id="103" name="image53.png"/>
            <wp:cNvGraphicFramePr>
              <a:graphicFrameLocks noChangeAspect="1"/>
            </wp:cNvGraphicFramePr>
            <a:graphic>
              <a:graphicData uri="http://schemas.openxmlformats.org/drawingml/2006/picture">
                <pic:pic>
                  <pic:nvPicPr>
                    <pic:cNvPr id="104" name="image53.png"/>
                    <pic:cNvPicPr/>
                  </pic:nvPicPr>
                  <pic:blipFill>
                    <a:blip r:embed="rId135" cstate="print"/>
                    <a:stretch>
                      <a:fillRect/>
                    </a:stretch>
                  </pic:blipFill>
                  <pic:spPr>
                    <a:xfrm>
                      <a:off x="0" y="0"/>
                      <a:ext cx="4304849" cy="3068954"/>
                    </a:xfrm>
                    <a:prstGeom prst="rect">
                      <a:avLst/>
                    </a:prstGeom>
                  </pic:spPr>
                </pic:pic>
              </a:graphicData>
            </a:graphic>
          </wp:inline>
        </w:drawing>
      </w:r>
      <w:r>
        <w:rPr>
          <w:sz w:val="20"/>
        </w:rPr>
      </w:r>
    </w:p>
    <w:p>
      <w:pPr>
        <w:spacing w:before="49"/>
        <w:ind w:left="140" w:right="0" w:firstLine="0"/>
        <w:jc w:val="left"/>
        <w:rPr>
          <w:sz w:val="16"/>
        </w:rPr>
      </w:pPr>
      <w:r>
        <w:rPr>
          <w:sz w:val="16"/>
        </w:rPr>
        <w:t>FIGURE 4.21: Price</w:t>
      </w:r>
      <w:r>
        <w:rPr>
          <w:spacing w:val="2"/>
          <w:sz w:val="16"/>
        </w:rPr>
        <w:t> </w:t>
      </w:r>
      <w:r>
        <w:rPr>
          <w:sz w:val="16"/>
        </w:rPr>
        <w:t>moves freely</w:t>
      </w:r>
      <w:r>
        <w:rPr>
          <w:spacing w:val="1"/>
          <w:sz w:val="16"/>
        </w:rPr>
        <w:t> </w:t>
      </w:r>
      <w:r>
        <w:rPr>
          <w:sz w:val="16"/>
        </w:rPr>
        <w:t>between high</w:t>
      </w:r>
      <w:r>
        <w:rPr>
          <w:spacing w:val="1"/>
          <w:sz w:val="16"/>
        </w:rPr>
        <w:t> </w:t>
      </w:r>
      <w:r>
        <w:rPr>
          <w:sz w:val="16"/>
        </w:rPr>
        <w:t>volume</w:t>
      </w:r>
      <w:r>
        <w:rPr>
          <w:spacing w:val="1"/>
          <w:sz w:val="16"/>
        </w:rPr>
        <w:t> </w:t>
      </w:r>
      <w:r>
        <w:rPr>
          <w:sz w:val="16"/>
        </w:rPr>
        <w:t>areas</w:t>
      </w:r>
      <w:r>
        <w:rPr>
          <w:spacing w:val="2"/>
          <w:sz w:val="16"/>
        </w:rPr>
        <w:t> </w:t>
      </w:r>
      <w:r>
        <w:rPr>
          <w:sz w:val="16"/>
        </w:rPr>
        <w:t>in Silver </w:t>
      </w:r>
      <w:r>
        <w:rPr>
          <w:spacing w:val="-2"/>
          <w:sz w:val="16"/>
        </w:rPr>
        <w:t>futures.</w:t>
      </w:r>
    </w:p>
    <w:p>
      <w:pPr>
        <w:pStyle w:val="BodyText"/>
        <w:spacing w:before="1"/>
      </w:pPr>
    </w:p>
    <w:p>
      <w:pPr>
        <w:pStyle w:val="BodyText"/>
        <w:ind w:left="139" w:right="495" w:firstLine="432"/>
        <w:jc w:val="both"/>
      </w:pPr>
      <w:r>
        <w:rPr/>
        <w:t>While the peaks offer extremely important market-generated information, the volume valleys, or </w:t>
      </w:r>
      <w:r>
        <w:rPr>
          <w:i/>
        </w:rPr>
        <w:t>Low Volume Areas (LVA)</w:t>
      </w:r>
      <w:r>
        <w:rPr/>
        <w:t>, can be quite important</w:t>
      </w:r>
      <w:r>
        <w:rPr>
          <w:spacing w:val="-3"/>
        </w:rPr>
        <w:t> </w:t>
      </w:r>
      <w:r>
        <w:rPr/>
        <w:t>as</w:t>
      </w:r>
      <w:r>
        <w:rPr>
          <w:spacing w:val="-3"/>
        </w:rPr>
        <w:t> </w:t>
      </w:r>
      <w:r>
        <w:rPr/>
        <w:t>well.</w:t>
      </w:r>
      <w:r>
        <w:rPr>
          <w:spacing w:val="-3"/>
        </w:rPr>
        <w:t> </w:t>
      </w:r>
      <w:r>
        <w:rPr/>
        <w:t>A</w:t>
      </w:r>
      <w:r>
        <w:rPr>
          <w:spacing w:val="-3"/>
        </w:rPr>
        <w:t> </w:t>
      </w:r>
      <w:r>
        <w:rPr/>
        <w:t>significant</w:t>
      </w:r>
      <w:r>
        <w:rPr>
          <w:spacing w:val="-3"/>
        </w:rPr>
        <w:t> </w:t>
      </w:r>
      <w:r>
        <w:rPr/>
        <w:t>LVA</w:t>
      </w:r>
      <w:r>
        <w:rPr>
          <w:spacing w:val="-3"/>
        </w:rPr>
        <w:t> </w:t>
      </w:r>
      <w:r>
        <w:rPr/>
        <w:t>that</w:t>
      </w:r>
      <w:r>
        <w:rPr>
          <w:spacing w:val="-3"/>
        </w:rPr>
        <w:t> </w:t>
      </w:r>
      <w:r>
        <w:rPr/>
        <w:t>forms</w:t>
      </w:r>
      <w:r>
        <w:rPr>
          <w:spacing w:val="-3"/>
        </w:rPr>
        <w:t> </w:t>
      </w:r>
      <w:r>
        <w:rPr/>
        <w:t>between</w:t>
      </w:r>
      <w:r>
        <w:rPr>
          <w:spacing w:val="-3"/>
        </w:rPr>
        <w:t> </w:t>
      </w:r>
      <w:r>
        <w:rPr/>
        <w:t>two</w:t>
      </w:r>
      <w:r>
        <w:rPr>
          <w:spacing w:val="-3"/>
        </w:rPr>
        <w:t> </w:t>
      </w:r>
      <w:r>
        <w:rPr/>
        <w:t>distinct</w:t>
      </w:r>
      <w:r>
        <w:rPr>
          <w:spacing w:val="-3"/>
        </w:rPr>
        <w:t> </w:t>
      </w:r>
      <w:r>
        <w:rPr/>
        <w:t>volume peaks can usually indicate a price range that can be easily penetrated, similar to a single TPO price print in the Market Profile structure (see Figure 4.22). When</w:t>
      </w:r>
      <w:r>
        <w:rPr>
          <w:spacing w:val="-1"/>
        </w:rPr>
        <w:t> </w:t>
      </w:r>
      <w:r>
        <w:rPr/>
        <w:t>this</w:t>
      </w:r>
      <w:r>
        <w:rPr>
          <w:spacing w:val="-1"/>
        </w:rPr>
        <w:t> </w:t>
      </w:r>
      <w:r>
        <w:rPr/>
        <w:t>occurs,</w:t>
      </w:r>
      <w:r>
        <w:rPr>
          <w:spacing w:val="-1"/>
        </w:rPr>
        <w:t> </w:t>
      </w:r>
      <w:r>
        <w:rPr/>
        <w:t>you</w:t>
      </w:r>
      <w:r>
        <w:rPr>
          <w:spacing w:val="-1"/>
        </w:rPr>
        <w:t> </w:t>
      </w:r>
      <w:r>
        <w:rPr/>
        <w:t>may</w:t>
      </w:r>
      <w:r>
        <w:rPr>
          <w:spacing w:val="-1"/>
        </w:rPr>
        <w:t> </w:t>
      </w:r>
      <w:r>
        <w:rPr/>
        <w:t>see</w:t>
      </w:r>
      <w:r>
        <w:rPr>
          <w:spacing w:val="-1"/>
        </w:rPr>
        <w:t> </w:t>
      </w:r>
      <w:r>
        <w:rPr/>
        <w:t>price easily</w:t>
      </w:r>
      <w:r>
        <w:rPr>
          <w:spacing w:val="-1"/>
        </w:rPr>
        <w:t> </w:t>
      </w:r>
      <w:r>
        <w:rPr/>
        <w:t>push</w:t>
      </w:r>
      <w:r>
        <w:rPr>
          <w:spacing w:val="-1"/>
        </w:rPr>
        <w:t> </w:t>
      </w:r>
      <w:r>
        <w:rPr/>
        <w:t>through</w:t>
      </w:r>
      <w:r>
        <w:rPr>
          <w:spacing w:val="-1"/>
        </w:rPr>
        <w:t> </w:t>
      </w:r>
      <w:r>
        <w:rPr/>
        <w:t>the</w:t>
      </w:r>
      <w:r>
        <w:rPr>
          <w:spacing w:val="-1"/>
        </w:rPr>
        <w:t> </w:t>
      </w:r>
      <w:r>
        <w:rPr/>
        <w:t>LVA in</w:t>
      </w:r>
      <w:r>
        <w:rPr>
          <w:spacing w:val="-1"/>
        </w:rPr>
        <w:t> </w:t>
      </w:r>
      <w:r>
        <w:rPr/>
        <w:t>order</w:t>
      </w:r>
      <w:r>
        <w:rPr>
          <w:spacing w:val="-1"/>
        </w:rPr>
        <w:t> </w:t>
      </w:r>
      <w:r>
        <w:rPr/>
        <w:t>to get to the next volume peak, which is considered an area where fair trade is conducted. Think of an LVA as a hallway that separates two rooms, which are the HVAs. People will walk through the hallway freely and easily to get to the rooms at either end. While people can stand and congregate in the hallway, they are more inclined to do business in either of the two rooms, which offer more convenience and can accommodate more people. Knowing where the LVAs are located will allow you to prepare for a potential price probe to the next HVA.</w:t>
      </w:r>
    </w:p>
    <w:p>
      <w:pPr>
        <w:spacing w:after="0"/>
        <w:jc w:val="both"/>
        <w:sectPr>
          <w:headerReference w:type="even" r:id="rId131"/>
          <w:headerReference w:type="default" r:id="rId132"/>
          <w:footerReference w:type="even" r:id="rId133"/>
          <w:footerReference w:type="default" r:id="rId134"/>
          <w:pgSz w:w="8640" w:h="12960"/>
          <w:pgMar w:header="579" w:footer="1060" w:top="760" w:bottom="1260" w:left="580" w:right="580"/>
          <w:pgNumType w:start="102"/>
        </w:sectPr>
      </w:pPr>
    </w:p>
    <w:p>
      <w:pPr>
        <w:pStyle w:val="BodyText"/>
        <w:spacing w:after="1"/>
        <w:rPr>
          <w:sz w:val="28"/>
        </w:rPr>
      </w:pPr>
    </w:p>
    <w:p>
      <w:pPr>
        <w:pStyle w:val="BodyText"/>
        <w:ind w:left="500"/>
        <w:rPr>
          <w:sz w:val="20"/>
        </w:rPr>
      </w:pPr>
      <w:r>
        <w:rPr>
          <w:sz w:val="20"/>
        </w:rPr>
        <w:drawing>
          <wp:inline distT="0" distB="0" distL="0" distR="0">
            <wp:extent cx="4304849" cy="3068954"/>
            <wp:effectExtent l="0" t="0" r="0" b="0"/>
            <wp:docPr id="105" name="image54.png"/>
            <wp:cNvGraphicFramePr>
              <a:graphicFrameLocks noChangeAspect="1"/>
            </wp:cNvGraphicFramePr>
            <a:graphic>
              <a:graphicData uri="http://schemas.openxmlformats.org/drawingml/2006/picture">
                <pic:pic>
                  <pic:nvPicPr>
                    <pic:cNvPr id="106" name="image54.png"/>
                    <pic:cNvPicPr/>
                  </pic:nvPicPr>
                  <pic:blipFill>
                    <a:blip r:embed="rId136" cstate="print"/>
                    <a:stretch>
                      <a:fillRect/>
                    </a:stretch>
                  </pic:blipFill>
                  <pic:spPr>
                    <a:xfrm>
                      <a:off x="0" y="0"/>
                      <a:ext cx="4304849" cy="3068954"/>
                    </a:xfrm>
                    <a:prstGeom prst="rect">
                      <a:avLst/>
                    </a:prstGeom>
                  </pic:spPr>
                </pic:pic>
              </a:graphicData>
            </a:graphic>
          </wp:inline>
        </w:drawing>
      </w:r>
      <w:r>
        <w:rPr>
          <w:sz w:val="20"/>
        </w:rPr>
      </w:r>
    </w:p>
    <w:p>
      <w:pPr>
        <w:spacing w:before="49"/>
        <w:ind w:left="500" w:right="0" w:firstLine="0"/>
        <w:jc w:val="left"/>
        <w:rPr>
          <w:sz w:val="16"/>
        </w:rPr>
      </w:pPr>
      <w:r>
        <w:rPr>
          <w:sz w:val="16"/>
        </w:rPr>
        <w:t>FIGURE 4.22:</w:t>
      </w:r>
      <w:r>
        <w:rPr>
          <w:spacing w:val="1"/>
          <w:sz w:val="16"/>
        </w:rPr>
        <w:t> </w:t>
      </w:r>
      <w:r>
        <w:rPr>
          <w:sz w:val="16"/>
        </w:rPr>
        <w:t>Price will</w:t>
      </w:r>
      <w:r>
        <w:rPr>
          <w:spacing w:val="4"/>
          <w:sz w:val="16"/>
        </w:rPr>
        <w:t> </w:t>
      </w:r>
      <w:r>
        <w:rPr>
          <w:sz w:val="16"/>
        </w:rPr>
        <w:t>move</w:t>
      </w:r>
      <w:r>
        <w:rPr>
          <w:spacing w:val="1"/>
          <w:sz w:val="16"/>
        </w:rPr>
        <w:t> </w:t>
      </w:r>
      <w:r>
        <w:rPr>
          <w:sz w:val="16"/>
        </w:rPr>
        <w:t>easily through</w:t>
      </w:r>
      <w:r>
        <w:rPr>
          <w:spacing w:val="1"/>
          <w:sz w:val="16"/>
        </w:rPr>
        <w:t> </w:t>
      </w:r>
      <w:r>
        <w:rPr>
          <w:sz w:val="16"/>
        </w:rPr>
        <w:t>an LVA</w:t>
      </w:r>
      <w:r>
        <w:rPr>
          <w:spacing w:val="4"/>
          <w:sz w:val="16"/>
        </w:rPr>
        <w:t> </w:t>
      </w:r>
      <w:r>
        <w:rPr>
          <w:sz w:val="16"/>
        </w:rPr>
        <w:t>between</w:t>
      </w:r>
      <w:r>
        <w:rPr>
          <w:spacing w:val="1"/>
          <w:sz w:val="16"/>
        </w:rPr>
        <w:t> </w:t>
      </w:r>
      <w:r>
        <w:rPr>
          <w:sz w:val="16"/>
        </w:rPr>
        <w:t>volume</w:t>
      </w:r>
      <w:r>
        <w:rPr>
          <w:spacing w:val="1"/>
          <w:sz w:val="16"/>
        </w:rPr>
        <w:t> </w:t>
      </w:r>
      <w:r>
        <w:rPr>
          <w:spacing w:val="-2"/>
          <w:sz w:val="16"/>
        </w:rPr>
        <w:t>peaks.</w:t>
      </w:r>
    </w:p>
    <w:p>
      <w:pPr>
        <w:pStyle w:val="BodyText"/>
      </w:pPr>
    </w:p>
    <w:p>
      <w:pPr>
        <w:pStyle w:val="Heading3"/>
        <w:spacing w:before="1"/>
        <w:ind w:left="500"/>
      </w:pPr>
      <w:r>
        <w:rPr/>
        <w:pict>
          <v:shape style="position:absolute;margin-left:54.779999pt;margin-top:18.340302pt;width:341pt;height:.1pt;mso-position-horizontal-relative:page;mso-position-vertical-relative:paragraph;z-index:-15670784;mso-wrap-distance-left:0;mso-wrap-distance-right:0" id="docshape401" coordorigin="1096,367" coordsize="6820,0" path="m1096,367l7915,367e" filled="false" stroked="true" strokeweight=".75pt" strokecolor="#000000">
            <v:path arrowok="t"/>
            <v:stroke dashstyle="solid"/>
            <w10:wrap type="topAndBottom"/>
          </v:shape>
        </w:pict>
      </w:r>
      <w:bookmarkStart w:name="_TOC_250057" w:id="34"/>
      <w:r>
        <w:rPr>
          <w:smallCaps/>
          <w:spacing w:val="-2"/>
        </w:rPr>
        <w:t>The</w:t>
      </w:r>
      <w:r>
        <w:rPr>
          <w:smallCaps/>
        </w:rPr>
        <w:t> </w:t>
      </w:r>
      <w:r>
        <w:rPr>
          <w:smallCaps/>
          <w:spacing w:val="-2"/>
        </w:rPr>
        <w:t>Unchanged</w:t>
      </w:r>
      <w:r>
        <w:rPr>
          <w:smallCaps/>
          <w:spacing w:val="1"/>
        </w:rPr>
        <w:t> </w:t>
      </w:r>
      <w:r>
        <w:rPr>
          <w:smallCaps/>
          <w:spacing w:val="-2"/>
        </w:rPr>
        <w:t>VPOC</w:t>
      </w:r>
      <w:r>
        <w:rPr>
          <w:smallCaps/>
          <w:spacing w:val="-13"/>
        </w:rPr>
        <w:t> </w:t>
      </w:r>
      <w:bookmarkEnd w:id="34"/>
      <w:r>
        <w:rPr>
          <w:smallCaps/>
          <w:spacing w:val="-2"/>
        </w:rPr>
        <w:t>Relationship</w:t>
      </w:r>
    </w:p>
    <w:p>
      <w:pPr>
        <w:pStyle w:val="BodyText"/>
        <w:spacing w:before="203"/>
        <w:ind w:left="500" w:right="137" w:firstLine="432"/>
        <w:jc w:val="both"/>
      </w:pPr>
      <w:r>
        <w:rPr/>
        <w:t>The </w:t>
      </w:r>
      <w:r>
        <w:rPr>
          <w:i/>
        </w:rPr>
        <w:t>Unchanged VPOC relationship </w:t>
      </w:r>
      <w:r>
        <w:rPr/>
        <w:t>can help forecast one of the most explosive breakout opportunities in the market.</w:t>
      </w:r>
      <w:r>
        <w:rPr/>
        <w:t> This relationship occurs</w:t>
      </w:r>
      <w:r>
        <w:rPr>
          <w:spacing w:val="40"/>
        </w:rPr>
        <w:t> </w:t>
      </w:r>
      <w:r>
        <w:rPr/>
        <w:t>when the volume point of control is virtually the same price for two or more days in a row. Basically, when this relationship develops, the market is currently in a virtual standstill, as market participants are trading quietly and happily within the boundaries of a clearly-defined range. Eventually, price will break free from the range, as market participants will look to seek new value, which usually sparks the beginning of a significant move. This unchanged relationship can deliver one of the biggest trending days of the month, especially when coupled with an open that occurs out of range and </w:t>
      </w:r>
      <w:r>
        <w:rPr>
          <w:spacing w:val="-2"/>
        </w:rPr>
        <w:t>value.</w:t>
      </w:r>
    </w:p>
    <w:p>
      <w:pPr>
        <w:pStyle w:val="BodyText"/>
        <w:ind w:left="500" w:right="136" w:firstLine="432"/>
        <w:jc w:val="both"/>
      </w:pPr>
      <w:r>
        <w:rPr/>
        <w:t>Take a look at Figure 4.23, which is a five-minute chart of First Solar, Inc (ticker: FSLR). First Solar developed a clear two-day Unchanged VPOC relationship, which is our first indication that a breakout opportunity may be seen. Typically, I look to trade an emphatic breakout via an opening print</w:t>
      </w:r>
      <w:r>
        <w:rPr>
          <w:spacing w:val="40"/>
        </w:rPr>
        <w:t> </w:t>
      </w:r>
      <w:r>
        <w:rPr/>
        <w:t>that occurs beyond the prior day’s range, but this criterion cannot always be satisfied.</w:t>
      </w:r>
      <w:r>
        <w:rPr>
          <w:spacing w:val="-1"/>
        </w:rPr>
        <w:t> </w:t>
      </w:r>
      <w:r>
        <w:rPr/>
        <w:t>In</w:t>
      </w:r>
      <w:r>
        <w:rPr>
          <w:spacing w:val="-1"/>
        </w:rPr>
        <w:t> </w:t>
      </w:r>
      <w:r>
        <w:rPr/>
        <w:t>this</w:t>
      </w:r>
      <w:r>
        <w:rPr>
          <w:spacing w:val="-1"/>
        </w:rPr>
        <w:t> </w:t>
      </w:r>
      <w:r>
        <w:rPr/>
        <w:t>case,</w:t>
      </w:r>
      <w:r>
        <w:rPr>
          <w:spacing w:val="-1"/>
        </w:rPr>
        <w:t> </w:t>
      </w:r>
      <w:r>
        <w:rPr/>
        <w:t>First</w:t>
      </w:r>
      <w:r>
        <w:rPr>
          <w:spacing w:val="-1"/>
        </w:rPr>
        <w:t> </w:t>
      </w:r>
      <w:r>
        <w:rPr/>
        <w:t>Solar</w:t>
      </w:r>
      <w:r>
        <w:rPr>
          <w:spacing w:val="-1"/>
        </w:rPr>
        <w:t> </w:t>
      </w:r>
      <w:r>
        <w:rPr/>
        <w:t>opened</w:t>
      </w:r>
      <w:r>
        <w:rPr>
          <w:spacing w:val="-2"/>
        </w:rPr>
        <w:t> </w:t>
      </w:r>
      <w:r>
        <w:rPr/>
        <w:t>the</w:t>
      </w:r>
      <w:r>
        <w:rPr>
          <w:spacing w:val="-1"/>
        </w:rPr>
        <w:t> </w:t>
      </w:r>
      <w:r>
        <w:rPr/>
        <w:t>day</w:t>
      </w:r>
      <w:r>
        <w:rPr>
          <w:spacing w:val="-1"/>
        </w:rPr>
        <w:t> </w:t>
      </w:r>
      <w:r>
        <w:rPr/>
        <w:t>within</w:t>
      </w:r>
      <w:r>
        <w:rPr>
          <w:spacing w:val="-1"/>
        </w:rPr>
        <w:t> </w:t>
      </w:r>
      <w:r>
        <w:rPr/>
        <w:t>the</w:t>
      </w:r>
      <w:r>
        <w:rPr>
          <w:spacing w:val="-1"/>
        </w:rPr>
        <w:t> </w:t>
      </w:r>
      <w:r>
        <w:rPr/>
        <w:t>prior</w:t>
      </w:r>
      <w:r>
        <w:rPr>
          <w:spacing w:val="-1"/>
        </w:rPr>
        <w:t> </w:t>
      </w:r>
      <w:r>
        <w:rPr/>
        <w:t>day’s</w:t>
      </w:r>
      <w:r>
        <w:rPr>
          <w:spacing w:val="-1"/>
        </w:rPr>
        <w:t> </w:t>
      </w:r>
      <w:r>
        <w:rPr/>
        <w:t>range, but immediately began to break two-day support, which essentially sparked</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9"/>
        <w:jc w:val="both"/>
      </w:pPr>
      <w:r>
        <w:rPr/>
        <w:t>heavy selling pressure in the stock. The first leg of the breakout generated a move of about $5, but the stock eventually reached the $110 level for a total range of $8 points on the day.</w:t>
      </w:r>
    </w:p>
    <w:p>
      <w:pPr>
        <w:pStyle w:val="BodyText"/>
        <w:spacing w:before="1"/>
        <w:rPr>
          <w:sz w:val="20"/>
        </w:rPr>
      </w:pPr>
      <w:r>
        <w:rPr/>
        <w:drawing>
          <wp:anchor distT="0" distB="0" distL="0" distR="0" allowOverlap="1" layoutInCell="1" locked="0" behindDoc="0" simplePos="0" relativeHeight="114">
            <wp:simplePos x="0" y="0"/>
            <wp:positionH relativeFrom="page">
              <wp:posOffset>457200</wp:posOffset>
            </wp:positionH>
            <wp:positionV relativeFrom="paragraph">
              <wp:posOffset>162337</wp:posOffset>
            </wp:positionV>
            <wp:extent cx="4342904" cy="3103054"/>
            <wp:effectExtent l="0" t="0" r="0" b="0"/>
            <wp:wrapTopAndBottom/>
            <wp:docPr id="107" name="image55.png"/>
            <wp:cNvGraphicFramePr>
              <a:graphicFrameLocks noChangeAspect="1"/>
            </wp:cNvGraphicFramePr>
            <a:graphic>
              <a:graphicData uri="http://schemas.openxmlformats.org/drawingml/2006/picture">
                <pic:pic>
                  <pic:nvPicPr>
                    <pic:cNvPr id="108" name="image55.png"/>
                    <pic:cNvPicPr/>
                  </pic:nvPicPr>
                  <pic:blipFill>
                    <a:blip r:embed="rId137"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4.23:</w:t>
      </w:r>
      <w:r>
        <w:rPr>
          <w:spacing w:val="1"/>
          <w:sz w:val="16"/>
        </w:rPr>
        <w:t> </w:t>
      </w:r>
      <w:r>
        <w:rPr>
          <w:sz w:val="16"/>
        </w:rPr>
        <w:t>An</w:t>
      </w:r>
      <w:r>
        <w:rPr>
          <w:spacing w:val="1"/>
          <w:sz w:val="16"/>
        </w:rPr>
        <w:t> </w:t>
      </w:r>
      <w:r>
        <w:rPr>
          <w:sz w:val="16"/>
        </w:rPr>
        <w:t>Unchanged</w:t>
      </w:r>
      <w:r>
        <w:rPr>
          <w:spacing w:val="1"/>
          <w:sz w:val="16"/>
        </w:rPr>
        <w:t> </w:t>
      </w:r>
      <w:r>
        <w:rPr>
          <w:sz w:val="16"/>
        </w:rPr>
        <w:t>VPOC</w:t>
      </w:r>
      <w:r>
        <w:rPr>
          <w:spacing w:val="1"/>
          <w:sz w:val="16"/>
        </w:rPr>
        <w:t> </w:t>
      </w:r>
      <w:r>
        <w:rPr>
          <w:sz w:val="16"/>
        </w:rPr>
        <w:t>relationship</w:t>
      </w:r>
      <w:r>
        <w:rPr>
          <w:spacing w:val="2"/>
          <w:sz w:val="16"/>
        </w:rPr>
        <w:t> </w:t>
      </w:r>
      <w:r>
        <w:rPr>
          <w:sz w:val="16"/>
        </w:rPr>
        <w:t>leads</w:t>
      </w:r>
      <w:r>
        <w:rPr>
          <w:spacing w:val="1"/>
          <w:sz w:val="16"/>
        </w:rPr>
        <w:t> </w:t>
      </w:r>
      <w:r>
        <w:rPr>
          <w:sz w:val="16"/>
        </w:rPr>
        <w:t>to</w:t>
      </w:r>
      <w:r>
        <w:rPr>
          <w:spacing w:val="1"/>
          <w:sz w:val="16"/>
        </w:rPr>
        <w:t> </w:t>
      </w:r>
      <w:r>
        <w:rPr>
          <w:sz w:val="16"/>
        </w:rPr>
        <w:t>a</w:t>
      </w:r>
      <w:r>
        <w:rPr>
          <w:spacing w:val="1"/>
          <w:sz w:val="16"/>
        </w:rPr>
        <w:t> </w:t>
      </w:r>
      <w:r>
        <w:rPr>
          <w:sz w:val="16"/>
        </w:rPr>
        <w:t>breakout</w:t>
      </w:r>
      <w:r>
        <w:rPr>
          <w:spacing w:val="1"/>
          <w:sz w:val="16"/>
        </w:rPr>
        <w:t> </w:t>
      </w:r>
      <w:r>
        <w:rPr>
          <w:sz w:val="16"/>
        </w:rPr>
        <w:t>in</w:t>
      </w:r>
      <w:r>
        <w:rPr>
          <w:spacing w:val="3"/>
          <w:sz w:val="16"/>
        </w:rPr>
        <w:t> </w:t>
      </w:r>
      <w:r>
        <w:rPr>
          <w:spacing w:val="-2"/>
          <w:sz w:val="16"/>
        </w:rPr>
        <w:t>FSLR.</w:t>
      </w:r>
    </w:p>
    <w:p>
      <w:pPr>
        <w:pStyle w:val="BodyText"/>
        <w:spacing w:before="8"/>
        <w:rPr>
          <w:sz w:val="21"/>
        </w:rPr>
      </w:pPr>
    </w:p>
    <w:p>
      <w:pPr>
        <w:pStyle w:val="Heading3"/>
        <w:spacing w:before="1"/>
        <w:jc w:val="both"/>
      </w:pPr>
      <w:r>
        <w:rPr/>
        <w:pict>
          <v:shape style="position:absolute;margin-left:36.779999pt;margin-top:18.280317pt;width:341pt;height:.1pt;mso-position-horizontal-relative:page;mso-position-vertical-relative:paragraph;z-index:-15669760;mso-wrap-distance-left:0;mso-wrap-distance-right:0" id="docshape402" coordorigin="736,366" coordsize="6820,0" path="m736,366l7555,366e" filled="false" stroked="true" strokeweight=".75pt" strokecolor="#000000">
            <v:path arrowok="t"/>
            <v:stroke dashstyle="solid"/>
            <w10:wrap type="topAndBottom"/>
          </v:shape>
        </w:pict>
      </w:r>
      <w:bookmarkStart w:name="_TOC_250056" w:id="35"/>
      <w:r>
        <w:rPr>
          <w:smallCaps/>
        </w:rPr>
        <w:t>The</w:t>
      </w:r>
      <w:r>
        <w:rPr>
          <w:smallCaps/>
          <w:spacing w:val="-9"/>
        </w:rPr>
        <w:t> </w:t>
      </w:r>
      <w:r>
        <w:rPr>
          <w:smallCaps/>
        </w:rPr>
        <w:t>Virgin</w:t>
      </w:r>
      <w:r>
        <w:rPr>
          <w:smallCaps/>
          <w:spacing w:val="-8"/>
        </w:rPr>
        <w:t> </w:t>
      </w:r>
      <w:r>
        <w:rPr>
          <w:smallCaps/>
        </w:rPr>
        <w:t>Volume</w:t>
      </w:r>
      <w:r>
        <w:rPr>
          <w:smallCaps/>
          <w:spacing w:val="-8"/>
        </w:rPr>
        <w:t> </w:t>
      </w:r>
      <w:r>
        <w:rPr>
          <w:smallCaps/>
        </w:rPr>
        <w:t>Point</w:t>
      </w:r>
      <w:r>
        <w:rPr>
          <w:smallCaps/>
          <w:spacing w:val="-12"/>
        </w:rPr>
        <w:t> </w:t>
      </w:r>
      <w:r>
        <w:rPr>
          <w:smallCaps/>
        </w:rPr>
        <w:t>of</w:t>
      </w:r>
      <w:r>
        <w:rPr>
          <w:smallCaps/>
          <w:spacing w:val="-8"/>
        </w:rPr>
        <w:t> </w:t>
      </w:r>
      <w:bookmarkEnd w:id="35"/>
      <w:r>
        <w:rPr>
          <w:smallCaps/>
          <w:spacing w:val="-2"/>
        </w:rPr>
        <w:t>Control</w:t>
      </w:r>
    </w:p>
    <w:p>
      <w:pPr>
        <w:pStyle w:val="BodyText"/>
        <w:spacing w:before="203"/>
        <w:ind w:left="139" w:right="495" w:firstLine="432"/>
        <w:jc w:val="both"/>
      </w:pPr>
      <w:r>
        <w:rPr/>
        <w:t>A VPOC that is not touched during its session of origin is called a</w:t>
      </w:r>
      <w:r>
        <w:rPr>
          <w:spacing w:val="40"/>
        </w:rPr>
        <w:t> </w:t>
      </w:r>
      <w:r>
        <w:rPr>
          <w:i/>
        </w:rPr>
        <w:t>Virgin Volume Point</w:t>
      </w:r>
      <w:r>
        <w:rPr>
          <w:i/>
          <w:spacing w:val="-1"/>
        </w:rPr>
        <w:t> </w:t>
      </w:r>
      <w:r>
        <w:rPr>
          <w:i/>
        </w:rPr>
        <w:t>of Control</w:t>
      </w:r>
      <w:r>
        <w:rPr/>
        <w:t>. Like</w:t>
      </w:r>
      <w:r>
        <w:rPr>
          <w:spacing w:val="-1"/>
        </w:rPr>
        <w:t> </w:t>
      </w:r>
      <w:r>
        <w:rPr/>
        <w:t>a</w:t>
      </w:r>
      <w:r>
        <w:rPr>
          <w:spacing w:val="-1"/>
        </w:rPr>
        <w:t> </w:t>
      </w:r>
      <w:r>
        <w:rPr/>
        <w:t>normal volume peak, a virgin VPOC, also called a naked VPOC, can attract price at a later date. However, virgin levels will usually have more gravitational pull, as the market will treat them like gaps that must be filled. On the whole, market participants do not like gaps to remain unfilled, as this usually leads to a feeling of unfinished business. As such, the market will usually return to a virgin VPOC and test it within a week of its creation. However, the farther price moves away from this level, or the longer price stays away from it, the less significance the level will carry in the future.</w:t>
      </w:r>
    </w:p>
    <w:p>
      <w:pPr>
        <w:pStyle w:val="BodyText"/>
        <w:ind w:left="139" w:right="496" w:firstLine="432"/>
        <w:jc w:val="both"/>
      </w:pPr>
      <w:r>
        <w:rPr/>
        <w:t>Let’s take a look at Figure 4.24, which is a fifteen-minute chart of Research in Motion, Ltd. This chart clearly shows the formation of two</w:t>
      </w:r>
      <w:r>
        <w:rPr>
          <w:spacing w:val="40"/>
        </w:rPr>
        <w:t> </w:t>
      </w:r>
      <w:r>
        <w:rPr/>
        <w:t>virgin</w:t>
      </w:r>
      <w:r>
        <w:rPr>
          <w:spacing w:val="-1"/>
        </w:rPr>
        <w:t> </w:t>
      </w:r>
      <w:r>
        <w:rPr/>
        <w:t>VPOCs</w:t>
      </w:r>
      <w:r>
        <w:rPr>
          <w:spacing w:val="-1"/>
        </w:rPr>
        <w:t> </w:t>
      </w:r>
      <w:r>
        <w:rPr/>
        <w:t>in</w:t>
      </w:r>
      <w:r>
        <w:rPr>
          <w:spacing w:val="-1"/>
        </w:rPr>
        <w:t> </w:t>
      </w:r>
      <w:r>
        <w:rPr/>
        <w:t>a</w:t>
      </w:r>
      <w:r>
        <w:rPr>
          <w:spacing w:val="-1"/>
        </w:rPr>
        <w:t> </w:t>
      </w:r>
      <w:r>
        <w:rPr/>
        <w:t>three-day</w:t>
      </w:r>
      <w:r>
        <w:rPr>
          <w:spacing w:val="-1"/>
        </w:rPr>
        <w:t> </w:t>
      </w:r>
      <w:r>
        <w:rPr/>
        <w:t>span.</w:t>
      </w:r>
      <w:r>
        <w:rPr>
          <w:spacing w:val="-2"/>
        </w:rPr>
        <w:t> </w:t>
      </w:r>
      <w:r>
        <w:rPr/>
        <w:t>In</w:t>
      </w:r>
      <w:r>
        <w:rPr>
          <w:spacing w:val="-2"/>
        </w:rPr>
        <w:t> </w:t>
      </w:r>
      <w:r>
        <w:rPr/>
        <w:t>the</w:t>
      </w:r>
      <w:r>
        <w:rPr>
          <w:spacing w:val="-1"/>
        </w:rPr>
        <w:t> </w:t>
      </w:r>
      <w:r>
        <w:rPr/>
        <w:t>days</w:t>
      </w:r>
      <w:r>
        <w:rPr>
          <w:spacing w:val="-1"/>
        </w:rPr>
        <w:t> </w:t>
      </w:r>
      <w:r>
        <w:rPr/>
        <w:t>that</w:t>
      </w:r>
      <w:r>
        <w:rPr>
          <w:spacing w:val="-1"/>
        </w:rPr>
        <w:t> </w:t>
      </w:r>
      <w:r>
        <w:rPr/>
        <w:t>followed,</w:t>
      </w:r>
      <w:r>
        <w:rPr>
          <w:spacing w:val="-1"/>
        </w:rPr>
        <w:t> </w:t>
      </w:r>
      <w:r>
        <w:rPr/>
        <w:t>price</w:t>
      </w:r>
      <w:r>
        <w:rPr>
          <w:spacing w:val="-2"/>
        </w:rPr>
        <w:t> </w:t>
      </w:r>
      <w:r>
        <w:rPr/>
        <w:t>rallied</w:t>
      </w:r>
      <w:r>
        <w:rPr>
          <w:spacing w:val="-1"/>
        </w:rPr>
        <w:t> </w:t>
      </w:r>
      <w:r>
        <w:rPr/>
        <w:t>and dropped</w:t>
      </w:r>
      <w:r>
        <w:rPr>
          <w:spacing w:val="9"/>
        </w:rPr>
        <w:t> </w:t>
      </w:r>
      <w:r>
        <w:rPr/>
        <w:t>to</w:t>
      </w:r>
      <w:r>
        <w:rPr>
          <w:spacing w:val="10"/>
        </w:rPr>
        <w:t> </w:t>
      </w:r>
      <w:r>
        <w:rPr/>
        <w:t>fill</w:t>
      </w:r>
      <w:r>
        <w:rPr>
          <w:spacing w:val="10"/>
        </w:rPr>
        <w:t> </w:t>
      </w:r>
      <w:r>
        <w:rPr/>
        <w:t>both</w:t>
      </w:r>
      <w:r>
        <w:rPr>
          <w:spacing w:val="9"/>
        </w:rPr>
        <w:t> </w:t>
      </w:r>
      <w:r>
        <w:rPr/>
        <w:t>of</w:t>
      </w:r>
      <w:r>
        <w:rPr>
          <w:spacing w:val="10"/>
        </w:rPr>
        <w:t> </w:t>
      </w:r>
      <w:r>
        <w:rPr/>
        <w:t>these</w:t>
      </w:r>
      <w:r>
        <w:rPr>
          <w:spacing w:val="10"/>
        </w:rPr>
        <w:t> </w:t>
      </w:r>
      <w:r>
        <w:rPr/>
        <w:t>important</w:t>
      </w:r>
      <w:r>
        <w:rPr>
          <w:spacing w:val="10"/>
        </w:rPr>
        <w:t> </w:t>
      </w:r>
      <w:r>
        <w:rPr/>
        <w:t>levels,</w:t>
      </w:r>
      <w:r>
        <w:rPr>
          <w:spacing w:val="10"/>
        </w:rPr>
        <w:t> </w:t>
      </w:r>
      <w:r>
        <w:rPr/>
        <w:t>as</w:t>
      </w:r>
      <w:r>
        <w:rPr>
          <w:spacing w:val="10"/>
        </w:rPr>
        <w:t> </w:t>
      </w:r>
      <w:r>
        <w:rPr/>
        <w:t>naked</w:t>
      </w:r>
      <w:r>
        <w:rPr>
          <w:spacing w:val="10"/>
        </w:rPr>
        <w:t> </w:t>
      </w:r>
      <w:r>
        <w:rPr/>
        <w:t>levels</w:t>
      </w:r>
      <w:r>
        <w:rPr>
          <w:spacing w:val="10"/>
        </w:rPr>
        <w:t> </w:t>
      </w:r>
      <w:r>
        <w:rPr/>
        <w:t>usually</w:t>
      </w:r>
      <w:r>
        <w:rPr>
          <w:spacing w:val="10"/>
        </w:rPr>
        <w:t> </w:t>
      </w:r>
      <w:r>
        <w:rPr>
          <w:spacing w:val="-2"/>
        </w:rPr>
        <w:t>attract</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8"/>
        <w:jc w:val="both"/>
      </w:pPr>
      <w:r>
        <w:rPr/>
        <w:t>price like a magnet. Once a virgin level is filled, market participants are</w:t>
      </w:r>
      <w:r>
        <w:rPr>
          <w:spacing w:val="40"/>
        </w:rPr>
        <w:t> </w:t>
      </w:r>
      <w:r>
        <w:rPr/>
        <w:t>likely to reverse price back in the direction of the original trend, unless more virgin levels lie ahead.</w:t>
      </w:r>
    </w:p>
    <w:p>
      <w:pPr>
        <w:pStyle w:val="BodyText"/>
        <w:spacing w:before="1"/>
        <w:rPr>
          <w:sz w:val="20"/>
        </w:rPr>
      </w:pPr>
      <w:r>
        <w:rPr/>
        <w:drawing>
          <wp:anchor distT="0" distB="0" distL="0" distR="0" allowOverlap="1" layoutInCell="1" locked="0" behindDoc="0" simplePos="0" relativeHeight="116">
            <wp:simplePos x="0" y="0"/>
            <wp:positionH relativeFrom="page">
              <wp:posOffset>685800</wp:posOffset>
            </wp:positionH>
            <wp:positionV relativeFrom="paragraph">
              <wp:posOffset>162288</wp:posOffset>
            </wp:positionV>
            <wp:extent cx="4342904" cy="3103054"/>
            <wp:effectExtent l="0" t="0" r="0" b="0"/>
            <wp:wrapTopAndBottom/>
            <wp:docPr id="109" name="image56.png"/>
            <wp:cNvGraphicFramePr>
              <a:graphicFrameLocks noChangeAspect="1"/>
            </wp:cNvGraphicFramePr>
            <a:graphic>
              <a:graphicData uri="http://schemas.openxmlformats.org/drawingml/2006/picture">
                <pic:pic>
                  <pic:nvPicPr>
                    <pic:cNvPr id="110" name="image56.png"/>
                    <pic:cNvPicPr/>
                  </pic:nvPicPr>
                  <pic:blipFill>
                    <a:blip r:embed="rId138"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 4.24: Two virgin VPOCs</w:t>
      </w:r>
      <w:r>
        <w:rPr>
          <w:spacing w:val="1"/>
          <w:sz w:val="16"/>
        </w:rPr>
        <w:t> </w:t>
      </w:r>
      <w:r>
        <w:rPr>
          <w:sz w:val="16"/>
        </w:rPr>
        <w:t>were filled within</w:t>
      </w:r>
      <w:r>
        <w:rPr>
          <w:spacing w:val="2"/>
          <w:sz w:val="16"/>
        </w:rPr>
        <w:t> </w:t>
      </w:r>
      <w:r>
        <w:rPr>
          <w:sz w:val="16"/>
        </w:rPr>
        <w:t>days of their formation in </w:t>
      </w:r>
      <w:r>
        <w:rPr>
          <w:spacing w:val="-2"/>
          <w:sz w:val="16"/>
        </w:rPr>
        <w:t>RIMM.</w:t>
      </w:r>
    </w:p>
    <w:p>
      <w:pPr>
        <w:pStyle w:val="BodyText"/>
        <w:spacing w:before="9"/>
        <w:rPr>
          <w:sz w:val="21"/>
        </w:rPr>
      </w:pPr>
    </w:p>
    <w:p>
      <w:pPr>
        <w:pStyle w:val="BodyText"/>
        <w:ind w:left="500" w:right="135" w:firstLine="432"/>
        <w:jc w:val="both"/>
      </w:pPr>
      <w:r>
        <w:rPr/>
        <w:t>Let’s turn our attention to Figure 4.25, which is a five-minute chart of Gold futures that illustrates the power of multiple virgin volume points of control. In this example, Gold futures created two virgin VPOC levels in a three-day span, which were both filled on the fourth day. The fact that virgin levels will usually be filled allows you to use these zones as potential targets for your trades. Gold futures began the day with heavy selling pressure via a breakaway gap against the current trend, indicating there was a good chance that the day would develop into a Trend Day scenario. As such, short positions taken in the first twenty minutes of the session could have used the virgin POCs as targets the rest of the day, incrementally scaling out of your position as the day progressed.</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49" cy="3068954"/>
            <wp:effectExtent l="0" t="0" r="0" b="0"/>
            <wp:docPr id="111" name="image57.png"/>
            <wp:cNvGraphicFramePr>
              <a:graphicFrameLocks noChangeAspect="1"/>
            </wp:cNvGraphicFramePr>
            <a:graphic>
              <a:graphicData uri="http://schemas.openxmlformats.org/drawingml/2006/picture">
                <pic:pic>
                  <pic:nvPicPr>
                    <pic:cNvPr id="112" name="image57.png"/>
                    <pic:cNvPicPr/>
                  </pic:nvPicPr>
                  <pic:blipFill>
                    <a:blip r:embed="rId139" cstate="print"/>
                    <a:stretch>
                      <a:fillRect/>
                    </a:stretch>
                  </pic:blipFill>
                  <pic:spPr>
                    <a:xfrm>
                      <a:off x="0" y="0"/>
                      <a:ext cx="4304849" cy="3068954"/>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5"/>
          <w:sz w:val="16"/>
        </w:rPr>
        <w:t> </w:t>
      </w:r>
      <w:r>
        <w:rPr>
          <w:sz w:val="16"/>
        </w:rPr>
        <w:t>4.25:</w:t>
      </w:r>
      <w:r>
        <w:rPr>
          <w:spacing w:val="6"/>
          <w:sz w:val="16"/>
        </w:rPr>
        <w:t> </w:t>
      </w:r>
      <w:r>
        <w:rPr>
          <w:sz w:val="16"/>
        </w:rPr>
        <w:t>Gold</w:t>
      </w:r>
      <w:r>
        <w:rPr>
          <w:spacing w:val="6"/>
          <w:sz w:val="16"/>
        </w:rPr>
        <w:t> </w:t>
      </w:r>
      <w:r>
        <w:rPr>
          <w:sz w:val="16"/>
        </w:rPr>
        <w:t>fills</w:t>
      </w:r>
      <w:r>
        <w:rPr>
          <w:spacing w:val="5"/>
          <w:sz w:val="16"/>
        </w:rPr>
        <w:t> </w:t>
      </w:r>
      <w:r>
        <w:rPr>
          <w:sz w:val="16"/>
        </w:rPr>
        <w:t>two</w:t>
      </w:r>
      <w:r>
        <w:rPr>
          <w:spacing w:val="6"/>
          <w:sz w:val="16"/>
        </w:rPr>
        <w:t> </w:t>
      </w:r>
      <w:r>
        <w:rPr>
          <w:sz w:val="16"/>
        </w:rPr>
        <w:t>virgin</w:t>
      </w:r>
      <w:r>
        <w:rPr>
          <w:spacing w:val="5"/>
          <w:sz w:val="16"/>
        </w:rPr>
        <w:t> </w:t>
      </w:r>
      <w:r>
        <w:rPr>
          <w:spacing w:val="-2"/>
          <w:sz w:val="16"/>
        </w:rPr>
        <w:t>VPOCs</w:t>
      </w:r>
    </w:p>
    <w:p>
      <w:pPr>
        <w:pStyle w:val="BodyText"/>
        <w:spacing w:before="1"/>
      </w:pPr>
    </w:p>
    <w:p>
      <w:pPr>
        <w:pStyle w:val="BodyText"/>
        <w:ind w:left="140" w:right="495" w:firstLine="432"/>
        <w:jc w:val="both"/>
      </w:pPr>
      <w:r>
        <w:rPr/>
        <w:t>Virgin POCs can also be used as major reversal points as well, as long</w:t>
      </w:r>
      <w:r>
        <w:rPr>
          <w:spacing w:val="40"/>
        </w:rPr>
        <w:t> </w:t>
      </w:r>
      <w:r>
        <w:rPr/>
        <w:t>as these levels are tested early in a session. For example, Figure 4.26 shows the Mini-Sized Dow futures contract responding to a virgin VPOC that was created four days earlier. The Dow broke out of a consolidation early in the session and raced to “fill” the naked level at around 10,235. Since the test happened early in the session, there was a chance that a reversal could be</w:t>
      </w:r>
      <w:r>
        <w:rPr>
          <w:spacing w:val="40"/>
        </w:rPr>
        <w:t> </w:t>
      </w:r>
      <w:r>
        <w:rPr/>
        <w:t>seen</w:t>
      </w:r>
      <w:r>
        <w:rPr>
          <w:spacing w:val="-2"/>
        </w:rPr>
        <w:t> </w:t>
      </w:r>
      <w:r>
        <w:rPr/>
        <w:t>in</w:t>
      </w:r>
      <w:r>
        <w:rPr>
          <w:spacing w:val="-2"/>
        </w:rPr>
        <w:t> </w:t>
      </w:r>
      <w:r>
        <w:rPr/>
        <w:t>the</w:t>
      </w:r>
      <w:r>
        <w:rPr>
          <w:spacing w:val="-2"/>
        </w:rPr>
        <w:t> </w:t>
      </w:r>
      <w:r>
        <w:rPr/>
        <w:t>Dow,</w:t>
      </w:r>
      <w:r>
        <w:rPr>
          <w:spacing w:val="-2"/>
        </w:rPr>
        <w:t> </w:t>
      </w:r>
      <w:r>
        <w:rPr/>
        <w:t>as</w:t>
      </w:r>
      <w:r>
        <w:rPr>
          <w:spacing w:val="-2"/>
        </w:rPr>
        <w:t> </w:t>
      </w:r>
      <w:r>
        <w:rPr/>
        <w:t>responsive</w:t>
      </w:r>
      <w:r>
        <w:rPr>
          <w:spacing w:val="-2"/>
        </w:rPr>
        <w:t> </w:t>
      </w:r>
      <w:r>
        <w:rPr/>
        <w:t>buyers</w:t>
      </w:r>
      <w:r>
        <w:rPr>
          <w:spacing w:val="-2"/>
        </w:rPr>
        <w:t> </w:t>
      </w:r>
      <w:r>
        <w:rPr/>
        <w:t>entered</w:t>
      </w:r>
      <w:r>
        <w:rPr>
          <w:spacing w:val="-2"/>
        </w:rPr>
        <w:t> </w:t>
      </w:r>
      <w:r>
        <w:rPr/>
        <w:t>the</w:t>
      </w:r>
      <w:r>
        <w:rPr>
          <w:spacing w:val="-2"/>
        </w:rPr>
        <w:t> </w:t>
      </w:r>
      <w:r>
        <w:rPr/>
        <w:t>market</w:t>
      </w:r>
      <w:r>
        <w:rPr>
          <w:spacing w:val="-2"/>
        </w:rPr>
        <w:t> </w:t>
      </w:r>
      <w:r>
        <w:rPr/>
        <w:t>en</w:t>
      </w:r>
      <w:r>
        <w:rPr>
          <w:spacing w:val="-2"/>
        </w:rPr>
        <w:t> </w:t>
      </w:r>
      <w:r>
        <w:rPr/>
        <w:t>masse</w:t>
      </w:r>
      <w:r>
        <w:rPr>
          <w:spacing w:val="-1"/>
        </w:rPr>
        <w:t> </w:t>
      </w:r>
      <w:r>
        <w:rPr/>
        <w:t>due</w:t>
      </w:r>
      <w:r>
        <w:rPr>
          <w:spacing w:val="-2"/>
        </w:rPr>
        <w:t> </w:t>
      </w:r>
      <w:r>
        <w:rPr/>
        <w:t>to</w:t>
      </w:r>
      <w:r>
        <w:rPr>
          <w:spacing w:val="-2"/>
        </w:rPr>
        <w:t> </w:t>
      </w:r>
      <w:r>
        <w:rPr/>
        <w:t>the short-term oversold conditions in the market. Responsive participants helped drive price quietly higher the remainder of the day, allowing the virgin</w:t>
      </w:r>
      <w:r>
        <w:rPr>
          <w:spacing w:val="40"/>
        </w:rPr>
        <w:t> </w:t>
      </w:r>
      <w:r>
        <w:rPr/>
        <w:t>VPOC to be used both as a target for morning short positions, and as a launching point for responsive long positions in the afternoon.</w:t>
      </w:r>
    </w:p>
    <w:p>
      <w:pPr>
        <w:pStyle w:val="BodyText"/>
        <w:ind w:left="140" w:right="495" w:firstLine="432"/>
        <w:jc w:val="both"/>
      </w:pPr>
      <w:r>
        <w:rPr/>
        <w:t>It is important to note that reversals at any virgin level usually occur early in a session, rather than late. First of all, a virgin level that sparks a reversal earlier in the day will likely coincide with the creation of the day’s initial</w:t>
      </w:r>
      <w:r>
        <w:rPr>
          <w:spacing w:val="-2"/>
        </w:rPr>
        <w:t> </w:t>
      </w:r>
      <w:r>
        <w:rPr/>
        <w:t>balance,</w:t>
      </w:r>
      <w:r>
        <w:rPr>
          <w:spacing w:val="-2"/>
        </w:rPr>
        <w:t> </w:t>
      </w:r>
      <w:r>
        <w:rPr/>
        <w:t>which</w:t>
      </w:r>
      <w:r>
        <w:rPr>
          <w:spacing w:val="-2"/>
        </w:rPr>
        <w:t> </w:t>
      </w:r>
      <w:r>
        <w:rPr/>
        <w:t>can</w:t>
      </w:r>
      <w:r>
        <w:rPr>
          <w:spacing w:val="-3"/>
        </w:rPr>
        <w:t> </w:t>
      </w:r>
      <w:r>
        <w:rPr/>
        <w:t>usually</w:t>
      </w:r>
      <w:r>
        <w:rPr>
          <w:spacing w:val="-3"/>
        </w:rPr>
        <w:t> </w:t>
      </w:r>
      <w:r>
        <w:rPr/>
        <w:t>set</w:t>
      </w:r>
      <w:r>
        <w:rPr>
          <w:spacing w:val="-2"/>
        </w:rPr>
        <w:t> </w:t>
      </w:r>
      <w:r>
        <w:rPr/>
        <w:t>the</w:t>
      </w:r>
      <w:r>
        <w:rPr>
          <w:spacing w:val="-2"/>
        </w:rPr>
        <w:t> </w:t>
      </w:r>
      <w:r>
        <w:rPr/>
        <w:t>extremes</w:t>
      </w:r>
      <w:r>
        <w:rPr>
          <w:spacing w:val="-2"/>
        </w:rPr>
        <w:t> </w:t>
      </w:r>
      <w:r>
        <w:rPr/>
        <w:t>of</w:t>
      </w:r>
      <w:r>
        <w:rPr>
          <w:spacing w:val="-2"/>
        </w:rPr>
        <w:t> </w:t>
      </w:r>
      <w:r>
        <w:rPr/>
        <w:t>the</w:t>
      </w:r>
      <w:r>
        <w:rPr>
          <w:spacing w:val="-2"/>
        </w:rPr>
        <w:t> </w:t>
      </w:r>
      <w:r>
        <w:rPr/>
        <w:t>day’s</w:t>
      </w:r>
      <w:r>
        <w:rPr>
          <w:spacing w:val="-2"/>
        </w:rPr>
        <w:t> </w:t>
      </w:r>
      <w:r>
        <w:rPr/>
        <w:t>trading</w:t>
      </w:r>
      <w:r>
        <w:rPr>
          <w:spacing w:val="-3"/>
        </w:rPr>
        <w:t> </w:t>
      </w:r>
      <w:r>
        <w:rPr/>
        <w:t>action. Therefore, a reversal at a virgin level that occurs within the first thirty to</w:t>
      </w:r>
      <w:r>
        <w:rPr>
          <w:spacing w:val="40"/>
        </w:rPr>
        <w:t> </w:t>
      </w:r>
      <w:r>
        <w:rPr/>
        <w:t>sixty minutes may have more help from responsive market participants looking to set the day’s trading extremes. Conversely, if a test at a virgin</w:t>
      </w:r>
      <w:r>
        <w:rPr>
          <w:spacing w:val="40"/>
        </w:rPr>
        <w:t> </w:t>
      </w:r>
      <w:r>
        <w:rPr/>
        <w:t>level occurs late the session, this level should be viewed more as a target, rather</w:t>
      </w:r>
      <w:r>
        <w:rPr>
          <w:spacing w:val="19"/>
        </w:rPr>
        <w:t> </w:t>
      </w:r>
      <w:r>
        <w:rPr/>
        <w:t>than</w:t>
      </w:r>
      <w:r>
        <w:rPr>
          <w:spacing w:val="19"/>
        </w:rPr>
        <w:t> </w:t>
      </w:r>
      <w:r>
        <w:rPr/>
        <w:t>as</w:t>
      </w:r>
      <w:r>
        <w:rPr>
          <w:spacing w:val="19"/>
        </w:rPr>
        <w:t> </w:t>
      </w:r>
      <w:r>
        <w:rPr/>
        <w:t>a</w:t>
      </w:r>
      <w:r>
        <w:rPr>
          <w:spacing w:val="20"/>
        </w:rPr>
        <w:t> </w:t>
      </w:r>
      <w:r>
        <w:rPr/>
        <w:t>reversal</w:t>
      </w:r>
      <w:r>
        <w:rPr>
          <w:spacing w:val="19"/>
        </w:rPr>
        <w:t> </w:t>
      </w:r>
      <w:r>
        <w:rPr/>
        <w:t>point.</w:t>
      </w:r>
      <w:r>
        <w:rPr>
          <w:spacing w:val="19"/>
        </w:rPr>
        <w:t> </w:t>
      </w:r>
      <w:r>
        <w:rPr/>
        <w:t>This</w:t>
      </w:r>
      <w:r>
        <w:rPr>
          <w:spacing w:val="19"/>
        </w:rPr>
        <w:t> </w:t>
      </w:r>
      <w:r>
        <w:rPr/>
        <w:t>is</w:t>
      </w:r>
      <w:r>
        <w:rPr>
          <w:spacing w:val="20"/>
        </w:rPr>
        <w:t> </w:t>
      </w:r>
      <w:r>
        <w:rPr/>
        <w:t>due,</w:t>
      </w:r>
      <w:r>
        <w:rPr>
          <w:spacing w:val="19"/>
        </w:rPr>
        <w:t> </w:t>
      </w:r>
      <w:r>
        <w:rPr/>
        <w:t>in</w:t>
      </w:r>
      <w:r>
        <w:rPr>
          <w:spacing w:val="19"/>
        </w:rPr>
        <w:t> </w:t>
      </w:r>
      <w:r>
        <w:rPr/>
        <w:t>part,</w:t>
      </w:r>
      <w:r>
        <w:rPr>
          <w:spacing w:val="19"/>
        </w:rPr>
        <w:t> </w:t>
      </w:r>
      <w:r>
        <w:rPr/>
        <w:t>to</w:t>
      </w:r>
      <w:r>
        <w:rPr>
          <w:spacing w:val="19"/>
        </w:rPr>
        <w:t> </w:t>
      </w:r>
      <w:r>
        <w:rPr/>
        <w:t>initiative</w:t>
      </w:r>
      <w:r>
        <w:rPr>
          <w:spacing w:val="19"/>
        </w:rPr>
        <w:t> </w:t>
      </w:r>
      <w:r>
        <w:rPr/>
        <w:t>participants</w:t>
      </w:r>
    </w:p>
    <w:p>
      <w:pPr>
        <w:spacing w:after="0"/>
        <w:jc w:val="both"/>
        <w:sectPr>
          <w:pgSz w:w="8640" w:h="12960"/>
          <w:pgMar w:header="579" w:footer="1060" w:top="760" w:bottom="1260" w:left="580" w:right="580"/>
        </w:sectPr>
      </w:pPr>
    </w:p>
    <w:p>
      <w:pPr>
        <w:pStyle w:val="BodyText"/>
        <w:spacing w:before="3"/>
      </w:pPr>
    </w:p>
    <w:p>
      <w:pPr>
        <w:pStyle w:val="BodyText"/>
        <w:spacing w:before="64"/>
        <w:ind w:left="500"/>
      </w:pPr>
      <w:r>
        <w:rPr/>
        <w:t>mainly ruling the afternoon’s trading activity, especially if range extension is occurring late in the day.</w:t>
      </w:r>
    </w:p>
    <w:p>
      <w:pPr>
        <w:pStyle w:val="BodyText"/>
        <w:spacing w:before="2"/>
        <w:rPr>
          <w:sz w:val="20"/>
        </w:rPr>
      </w:pPr>
      <w:r>
        <w:rPr/>
        <w:drawing>
          <wp:anchor distT="0" distB="0" distL="0" distR="0" allowOverlap="1" layoutInCell="1" locked="0" behindDoc="0" simplePos="0" relativeHeight="117">
            <wp:simplePos x="0" y="0"/>
            <wp:positionH relativeFrom="page">
              <wp:posOffset>685800</wp:posOffset>
            </wp:positionH>
            <wp:positionV relativeFrom="paragraph">
              <wp:posOffset>162909</wp:posOffset>
            </wp:positionV>
            <wp:extent cx="4342904" cy="3103054"/>
            <wp:effectExtent l="0" t="0" r="0" b="0"/>
            <wp:wrapTopAndBottom/>
            <wp:docPr id="113" name="image58.png"/>
            <wp:cNvGraphicFramePr>
              <a:graphicFrameLocks noChangeAspect="1"/>
            </wp:cNvGraphicFramePr>
            <a:graphic>
              <a:graphicData uri="http://schemas.openxmlformats.org/drawingml/2006/picture">
                <pic:pic>
                  <pic:nvPicPr>
                    <pic:cNvPr id="114" name="image58.png"/>
                    <pic:cNvPicPr/>
                  </pic:nvPicPr>
                  <pic:blipFill>
                    <a:blip r:embed="rId140" cstate="print"/>
                    <a:stretch>
                      <a:fillRect/>
                    </a:stretch>
                  </pic:blipFill>
                  <pic:spPr>
                    <a:xfrm>
                      <a:off x="0" y="0"/>
                      <a:ext cx="4342904" cy="3103054"/>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4.26: A</w:t>
      </w:r>
      <w:r>
        <w:rPr>
          <w:spacing w:val="3"/>
          <w:sz w:val="16"/>
        </w:rPr>
        <w:t> </w:t>
      </w:r>
      <w:r>
        <w:rPr>
          <w:sz w:val="16"/>
        </w:rPr>
        <w:t>virgin VPOC is used both as a target</w:t>
      </w:r>
      <w:r>
        <w:rPr>
          <w:spacing w:val="1"/>
          <w:sz w:val="16"/>
        </w:rPr>
        <w:t> </w:t>
      </w:r>
      <w:r>
        <w:rPr>
          <w:sz w:val="16"/>
        </w:rPr>
        <w:t>and reversal point</w:t>
      </w:r>
      <w:r>
        <w:rPr>
          <w:spacing w:val="1"/>
          <w:sz w:val="16"/>
        </w:rPr>
        <w:t> </w:t>
      </w:r>
      <w:r>
        <w:rPr>
          <w:sz w:val="16"/>
        </w:rPr>
        <w:t>in the </w:t>
      </w:r>
      <w:r>
        <w:rPr>
          <w:spacing w:val="-5"/>
          <w:sz w:val="16"/>
        </w:rPr>
        <w:t>YM.</w:t>
      </w:r>
    </w:p>
    <w:p>
      <w:pPr>
        <w:pStyle w:val="BodyText"/>
        <w:spacing w:before="7"/>
        <w:rPr>
          <w:sz w:val="21"/>
        </w:rPr>
      </w:pPr>
    </w:p>
    <w:p>
      <w:pPr>
        <w:pStyle w:val="Heading3"/>
        <w:ind w:left="500"/>
      </w:pPr>
      <w:r>
        <w:rPr/>
        <w:pict>
          <v:shape style="position:absolute;margin-left:54.779999pt;margin-top:18.230322pt;width:341pt;height:.1pt;mso-position-horizontal-relative:page;mso-position-vertical-relative:paragraph;z-index:-15668224;mso-wrap-distance-left:0;mso-wrap-distance-right:0" id="docshape403" coordorigin="1096,365" coordsize="6820,0" path="m1096,365l7915,365e" filled="false" stroked="true" strokeweight=".75pt" strokecolor="#000000">
            <v:path arrowok="t"/>
            <v:stroke dashstyle="solid"/>
            <w10:wrap type="topAndBottom"/>
          </v:shape>
        </w:pict>
      </w:r>
      <w:bookmarkStart w:name="_TOC_250055" w:id="36"/>
      <w:r>
        <w:rPr>
          <w:smallCaps/>
          <w:spacing w:val="-2"/>
        </w:rPr>
        <w:t>Using</w:t>
      </w:r>
      <w:r>
        <w:rPr>
          <w:smallCaps/>
          <w:spacing w:val="-12"/>
        </w:rPr>
        <w:t> </w:t>
      </w:r>
      <w:r>
        <w:rPr>
          <w:smallCaps/>
          <w:spacing w:val="-2"/>
        </w:rPr>
        <w:t>Volume</w:t>
      </w:r>
      <w:r>
        <w:rPr>
          <w:smallCaps/>
          <w:spacing w:val="-12"/>
        </w:rPr>
        <w:t> </w:t>
      </w:r>
      <w:r>
        <w:rPr>
          <w:smallCaps/>
          <w:spacing w:val="-2"/>
        </w:rPr>
        <w:t>at</w:t>
      </w:r>
      <w:r>
        <w:rPr>
          <w:smallCaps/>
          <w:spacing w:val="-6"/>
        </w:rPr>
        <w:t> </w:t>
      </w:r>
      <w:r>
        <w:rPr>
          <w:smallCaps/>
          <w:spacing w:val="-2"/>
        </w:rPr>
        <w:t>Price</w:t>
      </w:r>
      <w:r>
        <w:rPr>
          <w:smallCaps/>
          <w:spacing w:val="-3"/>
        </w:rPr>
        <w:t> </w:t>
      </w:r>
      <w:r>
        <w:rPr>
          <w:smallCaps/>
          <w:spacing w:val="-2"/>
        </w:rPr>
        <w:t>in</w:t>
      </w:r>
      <w:r>
        <w:rPr>
          <w:smallCaps/>
          <w:spacing w:val="-13"/>
        </w:rPr>
        <w:t> </w:t>
      </w:r>
      <w:r>
        <w:rPr>
          <w:smallCaps/>
          <w:spacing w:val="-2"/>
        </w:rPr>
        <w:t>a</w:t>
      </w:r>
      <w:r>
        <w:rPr>
          <w:smallCaps/>
          <w:spacing w:val="-13"/>
        </w:rPr>
        <w:t> </w:t>
      </w:r>
      <w:bookmarkEnd w:id="36"/>
      <w:r>
        <w:rPr>
          <w:smallCaps/>
          <w:spacing w:val="-2"/>
        </w:rPr>
        <w:t>Trend</w:t>
      </w:r>
    </w:p>
    <w:p>
      <w:pPr>
        <w:pStyle w:val="BodyText"/>
        <w:spacing w:before="203"/>
        <w:ind w:left="500" w:right="135" w:firstLine="432"/>
        <w:jc w:val="both"/>
      </w:pPr>
      <w:r>
        <w:rPr/>
        <w:t>While we have already covered several methods for using the volume at price</w:t>
      </w:r>
      <w:r>
        <w:rPr>
          <w:spacing w:val="-2"/>
        </w:rPr>
        <w:t> </w:t>
      </w:r>
      <w:r>
        <w:rPr/>
        <w:t>indicator,</w:t>
      </w:r>
      <w:r>
        <w:rPr>
          <w:spacing w:val="-2"/>
        </w:rPr>
        <w:t> </w:t>
      </w:r>
      <w:r>
        <w:rPr/>
        <w:t>probably</w:t>
      </w:r>
      <w:r>
        <w:rPr>
          <w:spacing w:val="-3"/>
        </w:rPr>
        <w:t> </w:t>
      </w:r>
      <w:r>
        <w:rPr/>
        <w:t>the</w:t>
      </w:r>
      <w:r>
        <w:rPr>
          <w:spacing w:val="-2"/>
        </w:rPr>
        <w:t> </w:t>
      </w:r>
      <w:r>
        <w:rPr/>
        <w:t>easiest</w:t>
      </w:r>
      <w:r>
        <w:rPr>
          <w:spacing w:val="-1"/>
        </w:rPr>
        <w:t> </w:t>
      </w:r>
      <w:r>
        <w:rPr/>
        <w:t>method</w:t>
      </w:r>
      <w:r>
        <w:rPr>
          <w:spacing w:val="-2"/>
        </w:rPr>
        <w:t> </w:t>
      </w:r>
      <w:r>
        <w:rPr/>
        <w:t>is</w:t>
      </w:r>
      <w:r>
        <w:rPr>
          <w:spacing w:val="-2"/>
        </w:rPr>
        <w:t> </w:t>
      </w:r>
      <w:r>
        <w:rPr/>
        <w:t>using</w:t>
      </w:r>
      <w:r>
        <w:rPr>
          <w:spacing w:val="-2"/>
        </w:rPr>
        <w:t> </w:t>
      </w:r>
      <w:r>
        <w:rPr/>
        <w:t>it</w:t>
      </w:r>
      <w:r>
        <w:rPr>
          <w:spacing w:val="-2"/>
        </w:rPr>
        <w:t> </w:t>
      </w:r>
      <w:r>
        <w:rPr/>
        <w:t>in</w:t>
      </w:r>
      <w:r>
        <w:rPr>
          <w:spacing w:val="-2"/>
        </w:rPr>
        <w:t> </w:t>
      </w:r>
      <w:r>
        <w:rPr/>
        <w:t>a</w:t>
      </w:r>
      <w:r>
        <w:rPr>
          <w:spacing w:val="-2"/>
        </w:rPr>
        <w:t> </w:t>
      </w:r>
      <w:r>
        <w:rPr/>
        <w:t>clearly</w:t>
      </w:r>
      <w:r>
        <w:rPr>
          <w:spacing w:val="-3"/>
        </w:rPr>
        <w:t> </w:t>
      </w:r>
      <w:r>
        <w:rPr/>
        <w:t>established trend. A trending market truly offers one of the best trading opportunities around. This type of market environment offers clear directional conviction, highlights when price is a bargain or overvalued, and packs enormous profit- making potential. It’s no wonder so many trading strategies and approaches fixate on trend determination.</w:t>
      </w:r>
    </w:p>
    <w:p>
      <w:pPr>
        <w:pStyle w:val="BodyText"/>
        <w:spacing w:before="1"/>
        <w:ind w:left="500" w:right="135" w:firstLine="432"/>
        <w:jc w:val="both"/>
      </w:pPr>
      <w:r>
        <w:rPr/>
        <w:t>When the market is trading within a clearly established trend, the Volume at Price indicator becomes a great “bargain shopping” tool that allows you to buy the dips and sell the rips alongside the market’s elite traders. That is, professional traders will usually wait for a pull-back before entering an established trend. Professionals wait to buy when price at or below</w:t>
      </w:r>
      <w:r>
        <w:rPr>
          <w:spacing w:val="-1"/>
        </w:rPr>
        <w:t> </w:t>
      </w:r>
      <w:r>
        <w:rPr/>
        <w:t>value,</w:t>
      </w:r>
      <w:r>
        <w:rPr>
          <w:spacing w:val="-1"/>
        </w:rPr>
        <w:t> </w:t>
      </w:r>
      <w:r>
        <w:rPr/>
        <w:t>and</w:t>
      </w:r>
      <w:r>
        <w:rPr>
          <w:spacing w:val="-1"/>
        </w:rPr>
        <w:t> </w:t>
      </w:r>
      <w:r>
        <w:rPr/>
        <w:t>will</w:t>
      </w:r>
      <w:r>
        <w:rPr>
          <w:spacing w:val="-1"/>
        </w:rPr>
        <w:t> </w:t>
      </w:r>
      <w:r>
        <w:rPr/>
        <w:t>sell</w:t>
      </w:r>
      <w:r>
        <w:rPr>
          <w:spacing w:val="-1"/>
        </w:rPr>
        <w:t> </w:t>
      </w:r>
      <w:r>
        <w:rPr/>
        <w:t>when</w:t>
      </w:r>
      <w:r>
        <w:rPr>
          <w:spacing w:val="-1"/>
        </w:rPr>
        <w:t> </w:t>
      </w:r>
      <w:r>
        <w:rPr/>
        <w:t>price</w:t>
      </w:r>
      <w:r>
        <w:rPr>
          <w:spacing w:val="-1"/>
        </w:rPr>
        <w:t> </w:t>
      </w:r>
      <w:r>
        <w:rPr/>
        <w:t>is</w:t>
      </w:r>
      <w:r>
        <w:rPr>
          <w:spacing w:val="-1"/>
        </w:rPr>
        <w:t> </w:t>
      </w:r>
      <w:r>
        <w:rPr/>
        <w:t>at</w:t>
      </w:r>
      <w:r>
        <w:rPr>
          <w:spacing w:val="-1"/>
        </w:rPr>
        <w:t> </w:t>
      </w:r>
      <w:r>
        <w:rPr/>
        <w:t>or</w:t>
      </w:r>
      <w:r>
        <w:rPr>
          <w:spacing w:val="-1"/>
        </w:rPr>
        <w:t> </w:t>
      </w:r>
      <w:r>
        <w:rPr/>
        <w:t>above</w:t>
      </w:r>
      <w:r>
        <w:rPr>
          <w:spacing w:val="-1"/>
        </w:rPr>
        <w:t> </w:t>
      </w:r>
      <w:r>
        <w:rPr/>
        <w:t>value.</w:t>
      </w:r>
      <w:r>
        <w:rPr>
          <w:spacing w:val="-1"/>
        </w:rPr>
        <w:t> </w:t>
      </w:r>
      <w:r>
        <w:rPr/>
        <w:t>Unlike</w:t>
      </w:r>
      <w:r>
        <w:rPr>
          <w:spacing w:val="-1"/>
        </w:rPr>
        <w:t> </w:t>
      </w:r>
      <w:r>
        <w:rPr/>
        <w:t>many</w:t>
      </w:r>
      <w:r>
        <w:rPr>
          <w:spacing w:val="-1"/>
        </w:rPr>
        <w:t> </w:t>
      </w:r>
      <w:r>
        <w:rPr/>
        <w:t>other indicators,</w:t>
      </w:r>
      <w:r>
        <w:rPr>
          <w:spacing w:val="2"/>
        </w:rPr>
        <w:t> </w:t>
      </w:r>
      <w:r>
        <w:rPr/>
        <w:t>volume</w:t>
      </w:r>
      <w:r>
        <w:rPr>
          <w:spacing w:val="2"/>
        </w:rPr>
        <w:t> </w:t>
      </w:r>
      <w:r>
        <w:rPr/>
        <w:t>at</w:t>
      </w:r>
      <w:r>
        <w:rPr>
          <w:spacing w:val="3"/>
        </w:rPr>
        <w:t> </w:t>
      </w:r>
      <w:r>
        <w:rPr/>
        <w:t>price</w:t>
      </w:r>
      <w:r>
        <w:rPr>
          <w:spacing w:val="3"/>
        </w:rPr>
        <w:t> </w:t>
      </w:r>
      <w:r>
        <w:rPr/>
        <w:t>illustrates</w:t>
      </w:r>
      <w:r>
        <w:rPr>
          <w:spacing w:val="3"/>
        </w:rPr>
        <w:t> </w:t>
      </w:r>
      <w:r>
        <w:rPr/>
        <w:t>real</w:t>
      </w:r>
      <w:r>
        <w:rPr>
          <w:spacing w:val="3"/>
        </w:rPr>
        <w:t> </w:t>
      </w:r>
      <w:r>
        <w:rPr/>
        <w:t>market</w:t>
      </w:r>
      <w:r>
        <w:rPr>
          <w:spacing w:val="4"/>
        </w:rPr>
        <w:t> </w:t>
      </w:r>
      <w:r>
        <w:rPr/>
        <w:t>activity</w:t>
      </w:r>
      <w:r>
        <w:rPr>
          <w:spacing w:val="2"/>
        </w:rPr>
        <w:t> </w:t>
      </w:r>
      <w:r>
        <w:rPr/>
        <w:t>at</w:t>
      </w:r>
      <w:r>
        <w:rPr>
          <w:spacing w:val="2"/>
        </w:rPr>
        <w:t> </w:t>
      </w:r>
      <w:r>
        <w:rPr/>
        <w:t>every</w:t>
      </w:r>
      <w:r>
        <w:rPr>
          <w:spacing w:val="3"/>
        </w:rPr>
        <w:t> </w:t>
      </w:r>
      <w:r>
        <w:rPr/>
        <w:t>price</w:t>
      </w:r>
      <w:r>
        <w:rPr>
          <w:spacing w:val="2"/>
        </w:rPr>
        <w:t> </w:t>
      </w:r>
      <w:r>
        <w:rPr>
          <w:spacing w:val="-2"/>
        </w:rPr>
        <w:t>level</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8"/>
        <w:jc w:val="both"/>
      </w:pPr>
      <w:r>
        <w:rPr/>
        <w:t>during the course of a day. When these days are connected in a trend, price levels that are at, below, or above value jump right off the chart.</w:t>
      </w:r>
    </w:p>
    <w:p>
      <w:pPr>
        <w:pStyle w:val="BodyText"/>
        <w:spacing w:before="1"/>
        <w:ind w:left="139" w:right="495" w:firstLine="432"/>
        <w:jc w:val="both"/>
      </w:pPr>
      <w:r>
        <w:rPr/>
        <w:t>Let’s use Figure 4.27 as an example. This chart shows a fifteen-minute chart of the E-Mini NASDAQ 100 futures contract during a trend in mid- February 2010. Notice that when the market is in the midst of an uptrend, each pull-back to the volume point of control, or a HVA, becomes a buying opportunity. In a trend, these areas depict clear zones where price is at or below value, therefore, illustrating the best areas to buy within the current price advance. If price opens the day above the session’s volume point of control, any pull-back should be seen as a buying opportunity, with targets</w:t>
      </w:r>
      <w:r>
        <w:rPr>
          <w:spacing w:val="40"/>
        </w:rPr>
        <w:t> </w:t>
      </w:r>
      <w:r>
        <w:rPr/>
        <w:t>set to new highs within the uptrend. In each of the three days shown below, price opened the session above the day’s volume point of control, making every pull-back an opportunity to buy at a cheaper price. I call this visual setup</w:t>
      </w:r>
      <w:r>
        <w:rPr>
          <w:spacing w:val="-1"/>
        </w:rPr>
        <w:t> </w:t>
      </w:r>
      <w:r>
        <w:rPr/>
        <w:t>the</w:t>
      </w:r>
      <w:r>
        <w:rPr>
          <w:spacing w:val="-1"/>
        </w:rPr>
        <w:t> </w:t>
      </w:r>
      <w:r>
        <w:rPr>
          <w:i/>
        </w:rPr>
        <w:t>Escalator</w:t>
      </w:r>
      <w:r>
        <w:rPr>
          <w:i/>
          <w:spacing w:val="-1"/>
        </w:rPr>
        <w:t> </w:t>
      </w:r>
      <w:r>
        <w:rPr>
          <w:i/>
        </w:rPr>
        <w:t>Effect</w:t>
      </w:r>
      <w:r>
        <w:rPr/>
        <w:t>,</w:t>
      </w:r>
      <w:r>
        <w:rPr>
          <w:spacing w:val="-2"/>
        </w:rPr>
        <w:t> </w:t>
      </w:r>
      <w:r>
        <w:rPr/>
        <w:t>since</w:t>
      </w:r>
      <w:r>
        <w:rPr>
          <w:spacing w:val="-1"/>
        </w:rPr>
        <w:t> </w:t>
      </w:r>
      <w:r>
        <w:rPr/>
        <w:t>price</w:t>
      </w:r>
      <w:r>
        <w:rPr>
          <w:spacing w:val="-1"/>
        </w:rPr>
        <w:t> </w:t>
      </w:r>
      <w:r>
        <w:rPr/>
        <w:t>uses</w:t>
      </w:r>
      <w:r>
        <w:rPr>
          <w:spacing w:val="-1"/>
        </w:rPr>
        <w:t> </w:t>
      </w:r>
      <w:r>
        <w:rPr/>
        <w:t>volume</w:t>
      </w:r>
      <w:r>
        <w:rPr>
          <w:spacing w:val="-1"/>
        </w:rPr>
        <w:t> </w:t>
      </w:r>
      <w:r>
        <w:rPr/>
        <w:t>at price</w:t>
      </w:r>
      <w:r>
        <w:rPr>
          <w:spacing w:val="-1"/>
        </w:rPr>
        <w:t> </w:t>
      </w:r>
      <w:r>
        <w:rPr/>
        <w:t>as</w:t>
      </w:r>
      <w:r>
        <w:rPr>
          <w:spacing w:val="-1"/>
        </w:rPr>
        <w:t> </w:t>
      </w:r>
      <w:r>
        <w:rPr/>
        <w:t>an</w:t>
      </w:r>
      <w:r>
        <w:rPr>
          <w:spacing w:val="-1"/>
        </w:rPr>
        <w:t> </w:t>
      </w:r>
      <w:r>
        <w:rPr/>
        <w:t>escalator,</w:t>
      </w:r>
      <w:r>
        <w:rPr>
          <w:spacing w:val="-1"/>
        </w:rPr>
        <w:t> </w:t>
      </w:r>
      <w:r>
        <w:rPr/>
        <w:t>or staircase, to push to new highs.</w:t>
      </w:r>
    </w:p>
    <w:p>
      <w:pPr>
        <w:pStyle w:val="BodyText"/>
        <w:rPr>
          <w:sz w:val="20"/>
        </w:rPr>
      </w:pPr>
      <w:r>
        <w:rPr/>
        <w:drawing>
          <wp:anchor distT="0" distB="0" distL="0" distR="0" allowOverlap="1" layoutInCell="1" locked="0" behindDoc="0" simplePos="0" relativeHeight="119">
            <wp:simplePos x="0" y="0"/>
            <wp:positionH relativeFrom="page">
              <wp:posOffset>457200</wp:posOffset>
            </wp:positionH>
            <wp:positionV relativeFrom="paragraph">
              <wp:posOffset>161866</wp:posOffset>
            </wp:positionV>
            <wp:extent cx="4342904" cy="3103054"/>
            <wp:effectExtent l="0" t="0" r="0" b="0"/>
            <wp:wrapTopAndBottom/>
            <wp:docPr id="115" name="image59.png"/>
            <wp:cNvGraphicFramePr>
              <a:graphicFrameLocks noChangeAspect="1"/>
            </wp:cNvGraphicFramePr>
            <a:graphic>
              <a:graphicData uri="http://schemas.openxmlformats.org/drawingml/2006/picture">
                <pic:pic>
                  <pic:nvPicPr>
                    <pic:cNvPr id="116" name="image59.png"/>
                    <pic:cNvPicPr/>
                  </pic:nvPicPr>
                  <pic:blipFill>
                    <a:blip r:embed="rId145"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4.27:</w:t>
      </w:r>
      <w:r>
        <w:rPr>
          <w:spacing w:val="2"/>
          <w:sz w:val="16"/>
        </w:rPr>
        <w:t> </w:t>
      </w:r>
      <w:r>
        <w:rPr>
          <w:sz w:val="16"/>
        </w:rPr>
        <w:t>Buying</w:t>
      </w:r>
      <w:r>
        <w:rPr>
          <w:spacing w:val="1"/>
          <w:sz w:val="16"/>
        </w:rPr>
        <w:t> </w:t>
      </w:r>
      <w:r>
        <w:rPr>
          <w:sz w:val="16"/>
        </w:rPr>
        <w:t>the</w:t>
      </w:r>
      <w:r>
        <w:rPr>
          <w:spacing w:val="1"/>
          <w:sz w:val="16"/>
        </w:rPr>
        <w:t> </w:t>
      </w:r>
      <w:r>
        <w:rPr>
          <w:sz w:val="16"/>
        </w:rPr>
        <w:t>dips</w:t>
      </w:r>
      <w:r>
        <w:rPr>
          <w:spacing w:val="2"/>
          <w:sz w:val="16"/>
        </w:rPr>
        <w:t> </w:t>
      </w:r>
      <w:r>
        <w:rPr>
          <w:sz w:val="16"/>
        </w:rPr>
        <w:t>in</w:t>
      </w:r>
      <w:r>
        <w:rPr>
          <w:spacing w:val="1"/>
          <w:sz w:val="16"/>
        </w:rPr>
        <w:t> </w:t>
      </w:r>
      <w:r>
        <w:rPr>
          <w:sz w:val="16"/>
        </w:rPr>
        <w:t>an</w:t>
      </w:r>
      <w:r>
        <w:rPr>
          <w:spacing w:val="2"/>
          <w:sz w:val="16"/>
        </w:rPr>
        <w:t> </w:t>
      </w:r>
      <w:r>
        <w:rPr>
          <w:sz w:val="16"/>
        </w:rPr>
        <w:t>uptrend</w:t>
      </w:r>
      <w:r>
        <w:rPr>
          <w:spacing w:val="1"/>
          <w:sz w:val="16"/>
        </w:rPr>
        <w:t> </w:t>
      </w:r>
      <w:r>
        <w:rPr>
          <w:sz w:val="16"/>
        </w:rPr>
        <w:t>using</w:t>
      </w:r>
      <w:r>
        <w:rPr>
          <w:spacing w:val="2"/>
          <w:sz w:val="16"/>
        </w:rPr>
        <w:t> </w:t>
      </w:r>
      <w:r>
        <w:rPr>
          <w:sz w:val="16"/>
        </w:rPr>
        <w:t>VAP</w:t>
      </w:r>
      <w:r>
        <w:rPr>
          <w:spacing w:val="1"/>
          <w:sz w:val="16"/>
        </w:rPr>
        <w:t> </w:t>
      </w:r>
      <w:r>
        <w:rPr>
          <w:sz w:val="16"/>
        </w:rPr>
        <w:t>in</w:t>
      </w:r>
      <w:r>
        <w:rPr>
          <w:spacing w:val="2"/>
          <w:sz w:val="16"/>
        </w:rPr>
        <w:t> </w:t>
      </w:r>
      <w:r>
        <w:rPr>
          <w:sz w:val="16"/>
        </w:rPr>
        <w:t>the</w:t>
      </w:r>
      <w:r>
        <w:rPr>
          <w:spacing w:val="1"/>
          <w:sz w:val="16"/>
        </w:rPr>
        <w:t> </w:t>
      </w:r>
      <w:r>
        <w:rPr>
          <w:spacing w:val="-5"/>
          <w:sz w:val="16"/>
        </w:rPr>
        <w:t>NQ</w:t>
      </w:r>
    </w:p>
    <w:p>
      <w:pPr>
        <w:pStyle w:val="BodyText"/>
        <w:spacing w:before="9"/>
        <w:rPr>
          <w:sz w:val="21"/>
        </w:rPr>
      </w:pPr>
    </w:p>
    <w:p>
      <w:pPr>
        <w:pStyle w:val="BodyText"/>
        <w:spacing w:line="252" w:lineRule="exact"/>
        <w:ind w:left="571"/>
        <w:jc w:val="both"/>
      </w:pPr>
      <w:r>
        <w:rPr/>
        <w:t>Let’s</w:t>
      </w:r>
      <w:r>
        <w:rPr>
          <w:spacing w:val="24"/>
        </w:rPr>
        <w:t> </w:t>
      </w:r>
      <w:r>
        <w:rPr/>
        <w:t>take</w:t>
      </w:r>
      <w:r>
        <w:rPr>
          <w:spacing w:val="25"/>
        </w:rPr>
        <w:t> </w:t>
      </w:r>
      <w:r>
        <w:rPr/>
        <w:t>a</w:t>
      </w:r>
      <w:r>
        <w:rPr>
          <w:spacing w:val="28"/>
        </w:rPr>
        <w:t> </w:t>
      </w:r>
      <w:r>
        <w:rPr/>
        <w:t>look</w:t>
      </w:r>
      <w:r>
        <w:rPr>
          <w:spacing w:val="25"/>
        </w:rPr>
        <w:t> </w:t>
      </w:r>
      <w:r>
        <w:rPr/>
        <w:t>at</w:t>
      </w:r>
      <w:r>
        <w:rPr>
          <w:spacing w:val="25"/>
        </w:rPr>
        <w:t> </w:t>
      </w:r>
      <w:r>
        <w:rPr/>
        <w:t>an</w:t>
      </w:r>
      <w:r>
        <w:rPr>
          <w:spacing w:val="25"/>
        </w:rPr>
        <w:t> </w:t>
      </w:r>
      <w:r>
        <w:rPr/>
        <w:t>example</w:t>
      </w:r>
      <w:r>
        <w:rPr>
          <w:spacing w:val="27"/>
        </w:rPr>
        <w:t> </w:t>
      </w:r>
      <w:r>
        <w:rPr/>
        <w:t>where</w:t>
      </w:r>
      <w:r>
        <w:rPr>
          <w:spacing w:val="26"/>
        </w:rPr>
        <w:t> </w:t>
      </w:r>
      <w:r>
        <w:rPr/>
        <w:t>price</w:t>
      </w:r>
      <w:r>
        <w:rPr>
          <w:spacing w:val="25"/>
        </w:rPr>
        <w:t> </w:t>
      </w:r>
      <w:r>
        <w:rPr/>
        <w:t>is</w:t>
      </w:r>
      <w:r>
        <w:rPr>
          <w:spacing w:val="27"/>
        </w:rPr>
        <w:t> </w:t>
      </w:r>
      <w:r>
        <w:rPr/>
        <w:t>trending</w:t>
      </w:r>
      <w:r>
        <w:rPr>
          <w:spacing w:val="25"/>
        </w:rPr>
        <w:t> </w:t>
      </w:r>
      <w:r>
        <w:rPr/>
        <w:t>down.</w:t>
      </w:r>
      <w:r>
        <w:rPr>
          <w:spacing w:val="25"/>
        </w:rPr>
        <w:t> </w:t>
      </w:r>
      <w:r>
        <w:rPr>
          <w:spacing w:val="-2"/>
        </w:rPr>
        <w:t>Figure</w:t>
      </w:r>
    </w:p>
    <w:p>
      <w:pPr>
        <w:pStyle w:val="BodyText"/>
        <w:ind w:left="140" w:right="496"/>
        <w:jc w:val="both"/>
      </w:pPr>
      <w:r>
        <w:rPr/>
        <w:t>4.28</w:t>
      </w:r>
      <w:r>
        <w:rPr>
          <w:spacing w:val="-2"/>
        </w:rPr>
        <w:t> </w:t>
      </w:r>
      <w:r>
        <w:rPr/>
        <w:t>shows</w:t>
      </w:r>
      <w:r>
        <w:rPr>
          <w:spacing w:val="-2"/>
        </w:rPr>
        <w:t> </w:t>
      </w:r>
      <w:r>
        <w:rPr/>
        <w:t>a</w:t>
      </w:r>
      <w:r>
        <w:rPr>
          <w:spacing w:val="-2"/>
        </w:rPr>
        <w:t> </w:t>
      </w:r>
      <w:r>
        <w:rPr/>
        <w:t>three-day</w:t>
      </w:r>
      <w:r>
        <w:rPr>
          <w:spacing w:val="-2"/>
        </w:rPr>
        <w:t> </w:t>
      </w:r>
      <w:r>
        <w:rPr/>
        <w:t>view</w:t>
      </w:r>
      <w:r>
        <w:rPr>
          <w:spacing w:val="-2"/>
        </w:rPr>
        <w:t> </w:t>
      </w:r>
      <w:r>
        <w:rPr/>
        <w:t>of</w:t>
      </w:r>
      <w:r>
        <w:rPr>
          <w:spacing w:val="-2"/>
        </w:rPr>
        <w:t> </w:t>
      </w:r>
      <w:r>
        <w:rPr/>
        <w:t>a</w:t>
      </w:r>
      <w:r>
        <w:rPr>
          <w:spacing w:val="-2"/>
        </w:rPr>
        <w:t> </w:t>
      </w:r>
      <w:r>
        <w:rPr/>
        <w:t>fifteen-minute</w:t>
      </w:r>
      <w:r>
        <w:rPr>
          <w:spacing w:val="-2"/>
        </w:rPr>
        <w:t> </w:t>
      </w:r>
      <w:r>
        <w:rPr/>
        <w:t>chart</w:t>
      </w:r>
      <w:r>
        <w:rPr>
          <w:spacing w:val="-1"/>
        </w:rPr>
        <w:t> </w:t>
      </w:r>
      <w:r>
        <w:rPr/>
        <w:t>of</w:t>
      </w:r>
      <w:r>
        <w:rPr>
          <w:spacing w:val="-2"/>
        </w:rPr>
        <w:t> </w:t>
      </w:r>
      <w:r>
        <w:rPr/>
        <w:t>Silver</w:t>
      </w:r>
      <w:r>
        <w:rPr>
          <w:spacing w:val="-2"/>
        </w:rPr>
        <w:t> </w:t>
      </w:r>
      <w:r>
        <w:rPr/>
        <w:t>futures</w:t>
      </w:r>
      <w:r>
        <w:rPr>
          <w:spacing w:val="-2"/>
        </w:rPr>
        <w:t> </w:t>
      </w:r>
      <w:r>
        <w:rPr/>
        <w:t>during mid-January of 2010. Notice that every pull-back to the volume point of control</w:t>
      </w:r>
      <w:r>
        <w:rPr>
          <w:spacing w:val="20"/>
        </w:rPr>
        <w:t> </w:t>
      </w:r>
      <w:r>
        <w:rPr/>
        <w:t>is</w:t>
      </w:r>
      <w:r>
        <w:rPr>
          <w:spacing w:val="21"/>
        </w:rPr>
        <w:t> </w:t>
      </w:r>
      <w:r>
        <w:rPr/>
        <w:t>a</w:t>
      </w:r>
      <w:r>
        <w:rPr>
          <w:spacing w:val="21"/>
        </w:rPr>
        <w:t> </w:t>
      </w:r>
      <w:r>
        <w:rPr/>
        <w:t>selling</w:t>
      </w:r>
      <w:r>
        <w:rPr>
          <w:spacing w:val="21"/>
        </w:rPr>
        <w:t> </w:t>
      </w:r>
      <w:r>
        <w:rPr/>
        <w:t>opportunity</w:t>
      </w:r>
      <w:r>
        <w:rPr>
          <w:spacing w:val="19"/>
        </w:rPr>
        <w:t> </w:t>
      </w:r>
      <w:r>
        <w:rPr/>
        <w:t>within</w:t>
      </w:r>
      <w:r>
        <w:rPr>
          <w:spacing w:val="18"/>
        </w:rPr>
        <w:t> </w:t>
      </w:r>
      <w:r>
        <w:rPr/>
        <w:t>the</w:t>
      </w:r>
      <w:r>
        <w:rPr>
          <w:spacing w:val="20"/>
        </w:rPr>
        <w:t> </w:t>
      </w:r>
      <w:r>
        <w:rPr/>
        <w:t>current</w:t>
      </w:r>
      <w:r>
        <w:rPr>
          <w:spacing w:val="21"/>
        </w:rPr>
        <w:t> </w:t>
      </w:r>
      <w:r>
        <w:rPr/>
        <w:t>down</w:t>
      </w:r>
      <w:r>
        <w:rPr>
          <w:spacing w:val="20"/>
        </w:rPr>
        <w:t> </w:t>
      </w:r>
      <w:r>
        <w:rPr/>
        <w:t>move,</w:t>
      </w:r>
      <w:r>
        <w:rPr>
          <w:spacing w:val="21"/>
        </w:rPr>
        <w:t> </w:t>
      </w:r>
      <w:r>
        <w:rPr/>
        <w:t>as</w:t>
      </w:r>
      <w:r>
        <w:rPr>
          <w:spacing w:val="21"/>
        </w:rPr>
        <w:t> </w:t>
      </w:r>
      <w:r>
        <w:rPr/>
        <w:t>this</w:t>
      </w:r>
      <w:r>
        <w:rPr>
          <w:spacing w:val="20"/>
        </w:rPr>
        <w:t> </w:t>
      </w:r>
      <w:r>
        <w:rPr>
          <w:spacing w:val="-2"/>
        </w:rPr>
        <w:t>level</w:t>
      </w:r>
    </w:p>
    <w:p>
      <w:pPr>
        <w:pStyle w:val="BodyText"/>
        <w:spacing w:before="1"/>
        <w:ind w:left="110"/>
        <w:jc w:val="both"/>
      </w:pPr>
      <w:r>
        <w:rPr>
          <w:spacing w:val="-26"/>
          <w:u w:val="single"/>
        </w:rPr>
        <w:t> </w:t>
      </w:r>
      <w:r>
        <w:rPr>
          <w:u w:val="single"/>
        </w:rPr>
        <w:t>clearly</w:t>
      </w:r>
      <w:r>
        <w:rPr>
          <w:spacing w:val="48"/>
          <w:u w:val="single"/>
        </w:rPr>
        <w:t> </w:t>
      </w:r>
      <w:r>
        <w:rPr>
          <w:u w:val="single"/>
        </w:rPr>
        <w:t>illustrates</w:t>
      </w:r>
      <w:r>
        <w:rPr>
          <w:spacing w:val="50"/>
          <w:u w:val="single"/>
        </w:rPr>
        <w:t> </w:t>
      </w:r>
      <w:r>
        <w:rPr>
          <w:u w:val="single"/>
        </w:rPr>
        <w:t>an</w:t>
      </w:r>
      <w:r>
        <w:rPr>
          <w:spacing w:val="51"/>
          <w:u w:val="single"/>
        </w:rPr>
        <w:t> </w:t>
      </w:r>
      <w:r>
        <w:rPr>
          <w:u w:val="single"/>
        </w:rPr>
        <w:t>area</w:t>
      </w:r>
      <w:r>
        <w:rPr>
          <w:spacing w:val="51"/>
          <w:u w:val="single"/>
        </w:rPr>
        <w:t> </w:t>
      </w:r>
      <w:r>
        <w:rPr>
          <w:u w:val="single"/>
        </w:rPr>
        <w:t>where</w:t>
      </w:r>
      <w:r>
        <w:rPr>
          <w:spacing w:val="49"/>
          <w:u w:val="single"/>
        </w:rPr>
        <w:t> </w:t>
      </w:r>
      <w:r>
        <w:rPr>
          <w:u w:val="single"/>
        </w:rPr>
        <w:t>price</w:t>
      </w:r>
      <w:r>
        <w:rPr>
          <w:spacing w:val="51"/>
          <w:u w:val="single"/>
        </w:rPr>
        <w:t> </w:t>
      </w:r>
      <w:r>
        <w:rPr>
          <w:u w:val="single"/>
        </w:rPr>
        <w:t>is</w:t>
      </w:r>
      <w:r>
        <w:rPr>
          <w:spacing w:val="50"/>
          <w:u w:val="single"/>
        </w:rPr>
        <w:t> </w:t>
      </w:r>
      <w:r>
        <w:rPr>
          <w:u w:val="single"/>
        </w:rPr>
        <w:t>at</w:t>
      </w:r>
      <w:r>
        <w:rPr>
          <w:spacing w:val="50"/>
          <w:u w:val="single"/>
        </w:rPr>
        <w:t> </w:t>
      </w:r>
      <w:r>
        <w:rPr>
          <w:u w:val="single"/>
        </w:rPr>
        <w:t>or</w:t>
      </w:r>
      <w:r>
        <w:rPr>
          <w:spacing w:val="50"/>
          <w:u w:val="single"/>
        </w:rPr>
        <w:t> </w:t>
      </w:r>
      <w:r>
        <w:rPr>
          <w:u w:val="single"/>
        </w:rPr>
        <w:t>above</w:t>
      </w:r>
      <w:r>
        <w:rPr>
          <w:spacing w:val="50"/>
          <w:u w:val="single"/>
        </w:rPr>
        <w:t> </w:t>
      </w:r>
      <w:r>
        <w:rPr>
          <w:u w:val="single"/>
        </w:rPr>
        <w:t>value.</w:t>
      </w:r>
      <w:r>
        <w:rPr>
          <w:spacing w:val="50"/>
          <w:u w:val="single"/>
        </w:rPr>
        <w:t> </w:t>
      </w:r>
      <w:r>
        <w:rPr>
          <w:spacing w:val="-2"/>
          <w:u w:val="single"/>
        </w:rPr>
        <w:t>Professional</w:t>
      </w:r>
    </w:p>
    <w:p>
      <w:pPr>
        <w:spacing w:after="0"/>
        <w:jc w:val="both"/>
        <w:sectPr>
          <w:headerReference w:type="even" r:id="rId141"/>
          <w:headerReference w:type="default" r:id="rId142"/>
          <w:footerReference w:type="even" r:id="rId143"/>
          <w:footerReference w:type="default" r:id="rId144"/>
          <w:pgSz w:w="8640" w:h="12960"/>
          <w:pgMar w:header="579" w:footer="985" w:top="760" w:bottom="1180" w:left="580" w:right="580"/>
          <w:pgNumType w:start="108"/>
        </w:sectPr>
      </w:pPr>
    </w:p>
    <w:p>
      <w:pPr>
        <w:pStyle w:val="BodyText"/>
        <w:spacing w:before="3"/>
      </w:pPr>
    </w:p>
    <w:p>
      <w:pPr>
        <w:pStyle w:val="BodyText"/>
        <w:spacing w:before="64"/>
        <w:ind w:left="500" w:right="137"/>
        <w:jc w:val="both"/>
      </w:pPr>
      <w:r>
        <w:rPr/>
        <w:t>traders will wait for a pull-back in price before entering into a trend, essentially</w:t>
      </w:r>
      <w:r>
        <w:rPr>
          <w:spacing w:val="-4"/>
        </w:rPr>
        <w:t> </w:t>
      </w:r>
      <w:r>
        <w:rPr/>
        <w:t>profiting</w:t>
      </w:r>
      <w:r>
        <w:rPr>
          <w:spacing w:val="-4"/>
        </w:rPr>
        <w:t> </w:t>
      </w:r>
      <w:r>
        <w:rPr/>
        <w:t>from</w:t>
      </w:r>
      <w:r>
        <w:rPr>
          <w:spacing w:val="-5"/>
        </w:rPr>
        <w:t> </w:t>
      </w:r>
      <w:r>
        <w:rPr/>
        <w:t>the</w:t>
      </w:r>
      <w:r>
        <w:rPr>
          <w:spacing w:val="-4"/>
        </w:rPr>
        <w:t> </w:t>
      </w:r>
      <w:r>
        <w:rPr/>
        <w:t>reverse</w:t>
      </w:r>
      <w:r>
        <w:rPr>
          <w:spacing w:val="-3"/>
        </w:rPr>
        <w:t> </w:t>
      </w:r>
      <w:r>
        <w:rPr/>
        <w:t>Escalator</w:t>
      </w:r>
      <w:r>
        <w:rPr>
          <w:spacing w:val="-4"/>
        </w:rPr>
        <w:t> </w:t>
      </w:r>
      <w:r>
        <w:rPr/>
        <w:t>Effect,</w:t>
      </w:r>
      <w:r>
        <w:rPr>
          <w:spacing w:val="-5"/>
        </w:rPr>
        <w:t> </w:t>
      </w:r>
      <w:r>
        <w:rPr/>
        <w:t>as</w:t>
      </w:r>
      <w:r>
        <w:rPr>
          <w:spacing w:val="-4"/>
        </w:rPr>
        <w:t> </w:t>
      </w:r>
      <w:r>
        <w:rPr/>
        <w:t>price</w:t>
      </w:r>
      <w:r>
        <w:rPr>
          <w:spacing w:val="-3"/>
        </w:rPr>
        <w:t> </w:t>
      </w:r>
      <w:r>
        <w:rPr/>
        <w:t>bounces</w:t>
      </w:r>
      <w:r>
        <w:rPr>
          <w:spacing w:val="-4"/>
        </w:rPr>
        <w:t> </w:t>
      </w:r>
      <w:r>
        <w:rPr/>
        <w:t>lower off the VAP indicator. By waiting to sell a pull-back in the commodity at or above value, you are improving your position by choosing a better trade location before price returns lower in search of lower valuation. This is one</w:t>
      </w:r>
      <w:r>
        <w:rPr>
          <w:spacing w:val="40"/>
        </w:rPr>
        <w:t> </w:t>
      </w:r>
      <w:r>
        <w:rPr/>
        <w:t>of the oldest, yet simplest lessons of the market.</w:t>
      </w:r>
    </w:p>
    <w:p>
      <w:pPr>
        <w:pStyle w:val="BodyText"/>
        <w:spacing w:before="2"/>
        <w:rPr>
          <w:sz w:val="20"/>
        </w:rPr>
      </w:pPr>
      <w:r>
        <w:rPr/>
        <w:drawing>
          <wp:anchor distT="0" distB="0" distL="0" distR="0" allowOverlap="1" layoutInCell="1" locked="0" behindDoc="0" simplePos="0" relativeHeight="120">
            <wp:simplePos x="0" y="0"/>
            <wp:positionH relativeFrom="page">
              <wp:posOffset>685800</wp:posOffset>
            </wp:positionH>
            <wp:positionV relativeFrom="paragraph">
              <wp:posOffset>162710</wp:posOffset>
            </wp:positionV>
            <wp:extent cx="4342904" cy="3103054"/>
            <wp:effectExtent l="0" t="0" r="0" b="0"/>
            <wp:wrapTopAndBottom/>
            <wp:docPr id="117" name="image60.png"/>
            <wp:cNvGraphicFramePr>
              <a:graphicFrameLocks noChangeAspect="1"/>
            </wp:cNvGraphicFramePr>
            <a:graphic>
              <a:graphicData uri="http://schemas.openxmlformats.org/drawingml/2006/picture">
                <pic:pic>
                  <pic:nvPicPr>
                    <pic:cNvPr id="118" name="image60.png"/>
                    <pic:cNvPicPr/>
                  </pic:nvPicPr>
                  <pic:blipFill>
                    <a:blip r:embed="rId146"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w:t>
      </w:r>
      <w:r>
        <w:rPr>
          <w:spacing w:val="1"/>
          <w:sz w:val="16"/>
        </w:rPr>
        <w:t> </w:t>
      </w:r>
      <w:r>
        <w:rPr>
          <w:sz w:val="16"/>
        </w:rPr>
        <w:t>4.28:</w:t>
      </w:r>
      <w:r>
        <w:rPr>
          <w:spacing w:val="1"/>
          <w:sz w:val="16"/>
        </w:rPr>
        <w:t> </w:t>
      </w:r>
      <w:r>
        <w:rPr>
          <w:sz w:val="16"/>
        </w:rPr>
        <w:t>Selling</w:t>
      </w:r>
      <w:r>
        <w:rPr>
          <w:spacing w:val="1"/>
          <w:sz w:val="16"/>
        </w:rPr>
        <w:t> </w:t>
      </w:r>
      <w:r>
        <w:rPr>
          <w:sz w:val="16"/>
        </w:rPr>
        <w:t>the</w:t>
      </w:r>
      <w:r>
        <w:rPr>
          <w:spacing w:val="1"/>
          <w:sz w:val="16"/>
        </w:rPr>
        <w:t> </w:t>
      </w:r>
      <w:r>
        <w:rPr>
          <w:sz w:val="16"/>
        </w:rPr>
        <w:t>rips</w:t>
      </w:r>
      <w:r>
        <w:rPr>
          <w:spacing w:val="1"/>
          <w:sz w:val="16"/>
        </w:rPr>
        <w:t> </w:t>
      </w:r>
      <w:r>
        <w:rPr>
          <w:sz w:val="16"/>
        </w:rPr>
        <w:t>in</w:t>
      </w:r>
      <w:r>
        <w:rPr>
          <w:spacing w:val="1"/>
          <w:sz w:val="16"/>
        </w:rPr>
        <w:t> </w:t>
      </w:r>
      <w:r>
        <w:rPr>
          <w:sz w:val="16"/>
        </w:rPr>
        <w:t>a</w:t>
      </w:r>
      <w:r>
        <w:rPr>
          <w:spacing w:val="2"/>
          <w:sz w:val="16"/>
        </w:rPr>
        <w:t> </w:t>
      </w:r>
      <w:r>
        <w:rPr>
          <w:sz w:val="16"/>
        </w:rPr>
        <w:t>downtrend</w:t>
      </w:r>
      <w:r>
        <w:rPr>
          <w:spacing w:val="1"/>
          <w:sz w:val="16"/>
        </w:rPr>
        <w:t> </w:t>
      </w:r>
      <w:r>
        <w:rPr>
          <w:sz w:val="16"/>
        </w:rPr>
        <w:t>using</w:t>
      </w:r>
      <w:r>
        <w:rPr>
          <w:spacing w:val="1"/>
          <w:sz w:val="16"/>
        </w:rPr>
        <w:t> </w:t>
      </w:r>
      <w:r>
        <w:rPr>
          <w:sz w:val="16"/>
        </w:rPr>
        <w:t>VAP</w:t>
      </w:r>
      <w:r>
        <w:rPr>
          <w:spacing w:val="1"/>
          <w:sz w:val="16"/>
        </w:rPr>
        <w:t> </w:t>
      </w:r>
      <w:r>
        <w:rPr>
          <w:sz w:val="16"/>
        </w:rPr>
        <w:t>in</w:t>
      </w:r>
      <w:r>
        <w:rPr>
          <w:spacing w:val="1"/>
          <w:sz w:val="16"/>
        </w:rPr>
        <w:t> </w:t>
      </w:r>
      <w:r>
        <w:rPr>
          <w:sz w:val="16"/>
        </w:rPr>
        <w:t>Silver</w:t>
      </w:r>
      <w:r>
        <w:rPr>
          <w:spacing w:val="2"/>
          <w:sz w:val="16"/>
        </w:rPr>
        <w:t> </w:t>
      </w:r>
      <w:r>
        <w:rPr>
          <w:spacing w:val="-2"/>
          <w:sz w:val="16"/>
        </w:rPr>
        <w:t>futures</w:t>
      </w:r>
    </w:p>
    <w:p>
      <w:pPr>
        <w:pStyle w:val="BodyText"/>
        <w:spacing w:before="8"/>
        <w:rPr>
          <w:sz w:val="21"/>
        </w:rPr>
      </w:pPr>
    </w:p>
    <w:p>
      <w:pPr>
        <w:pStyle w:val="BodyText"/>
        <w:ind w:left="500" w:right="134" w:firstLine="432"/>
        <w:jc w:val="both"/>
      </w:pPr>
      <w:r>
        <w:rPr/>
        <w:t>Keep in mind there are several factors that contribute to the success rate of this setup. First, the market must be in an established trend. Second, the market must open in the direction of the existing trend: </w:t>
      </w:r>
      <w:r>
        <w:rPr>
          <w:i/>
        </w:rPr>
        <w:t>above </w:t>
      </w:r>
      <w:r>
        <w:rPr/>
        <w:t>the VPOC in</w:t>
      </w:r>
      <w:r>
        <w:rPr>
          <w:spacing w:val="40"/>
        </w:rPr>
        <w:t> </w:t>
      </w:r>
      <w:r>
        <w:rPr/>
        <w:t>an uptrend, and </w:t>
      </w:r>
      <w:r>
        <w:rPr>
          <w:i/>
        </w:rPr>
        <w:t>below </w:t>
      </w:r>
      <w:r>
        <w:rPr/>
        <w:t>the VPOC in a downtrend. Third, the day’s closing price must be in the direction of the existing trend: </w:t>
      </w:r>
      <w:r>
        <w:rPr>
          <w:i/>
        </w:rPr>
        <w:t>above </w:t>
      </w:r>
      <w:r>
        <w:rPr/>
        <w:t>the VPOC in an uptrend, and </w:t>
      </w:r>
      <w:r>
        <w:rPr>
          <w:i/>
        </w:rPr>
        <w:t>below </w:t>
      </w:r>
      <w:r>
        <w:rPr/>
        <w:t>the VPOC in a downtrend. If these three factors are in agreement, the chances for successful bounces within the trend increase significantly. Otherwise, one simple stray can change the tide of the trend</w:t>
      </w:r>
      <w:r>
        <w:rPr>
          <w:spacing w:val="40"/>
        </w:rPr>
        <w:t> </w:t>
      </w:r>
      <w:r>
        <w:rPr/>
        <w:t>and the setup completely. An opening or closing price that occurs against the trend (beyond the VPOC) is usually enough to kill the validity of this setup.</w:t>
      </w:r>
    </w:p>
    <w:p>
      <w:pPr>
        <w:spacing w:after="0"/>
        <w:jc w:val="both"/>
        <w:sectPr>
          <w:pgSz w:w="8640" w:h="12960"/>
          <w:pgMar w:header="536" w:footer="1060" w:top="720" w:bottom="1260" w:left="580" w:right="580"/>
        </w:sectPr>
      </w:pPr>
    </w:p>
    <w:p>
      <w:pPr>
        <w:pStyle w:val="BodyText"/>
        <w:spacing w:before="1"/>
        <w:rPr>
          <w:sz w:val="14"/>
        </w:rPr>
      </w:pPr>
    </w:p>
    <w:p>
      <w:pPr>
        <w:pStyle w:val="Heading3"/>
        <w:spacing w:before="113"/>
      </w:pPr>
      <w:r>
        <w:rPr/>
        <w:pict>
          <v:shape style="position:absolute;margin-left:36.779999pt;margin-top:23.880304pt;width:341pt;height:.1pt;mso-position-horizontal-relative:page;mso-position-vertical-relative:paragraph;z-index:-15666688;mso-wrap-distance-left:0;mso-wrap-distance-right:0" id="docshape414" coordorigin="736,478" coordsize="6820,0" path="m736,478l7555,478e" filled="false" stroked="true" strokeweight=".75pt" strokecolor="#000000">
            <v:path arrowok="t"/>
            <v:stroke dashstyle="solid"/>
            <w10:wrap type="topAndBottom"/>
          </v:shape>
        </w:pict>
      </w:r>
      <w:bookmarkStart w:name="_TOC_250054" w:id="37"/>
      <w:r>
        <w:rPr>
          <w:smallCaps/>
        </w:rPr>
        <w:t>The</w:t>
      </w:r>
      <w:r>
        <w:rPr>
          <w:smallCaps/>
          <w:spacing w:val="-9"/>
        </w:rPr>
        <w:t> </w:t>
      </w:r>
      <w:r>
        <w:rPr>
          <w:smallCaps/>
        </w:rPr>
        <w:t>Money</w:t>
      </w:r>
      <w:r>
        <w:rPr>
          <w:smallCaps/>
          <w:spacing w:val="-14"/>
        </w:rPr>
        <w:t> </w:t>
      </w:r>
      <w:r>
        <w:rPr>
          <w:smallCaps/>
        </w:rPr>
        <w:t>Zone</w:t>
      </w:r>
      <w:r>
        <w:rPr>
          <w:smallCaps/>
          <w:spacing w:val="-7"/>
        </w:rPr>
        <w:t> </w:t>
      </w:r>
      <w:bookmarkEnd w:id="37"/>
      <w:r>
        <w:rPr>
          <w:smallCaps/>
          <w:spacing w:val="-2"/>
        </w:rPr>
        <w:t>Revolution</w:t>
      </w:r>
    </w:p>
    <w:p>
      <w:pPr>
        <w:pStyle w:val="BodyText"/>
        <w:spacing w:before="203"/>
        <w:ind w:left="140" w:right="494" w:firstLine="432"/>
        <w:jc w:val="both"/>
      </w:pPr>
      <w:r>
        <w:rPr/>
        <w:t>The Money Zone offers an ultra powerful view of the market that</w:t>
      </w:r>
      <w:r>
        <w:rPr>
          <w:spacing w:val="80"/>
        </w:rPr>
        <w:t> </w:t>
      </w:r>
      <w:r>
        <w:rPr/>
        <w:t>allows you to analyze and trade the market in a much more informed</w:t>
      </w:r>
      <w:r>
        <w:rPr>
          <w:spacing w:val="80"/>
        </w:rPr>
        <w:t> </w:t>
      </w:r>
      <w:r>
        <w:rPr/>
        <w:t>manner. The Money Zone is much more than just a collection of lines on a chart. These levels offer important market-generated information that goes</w:t>
      </w:r>
      <w:r>
        <w:rPr>
          <w:spacing w:val="40"/>
        </w:rPr>
        <w:t> </w:t>
      </w:r>
      <w:r>
        <w:rPr/>
        <w:t>far</w:t>
      </w:r>
      <w:r>
        <w:rPr>
          <w:spacing w:val="38"/>
        </w:rPr>
        <w:t> </w:t>
      </w:r>
      <w:r>
        <w:rPr/>
        <w:t>beyond</w:t>
      </w:r>
      <w:r>
        <w:rPr>
          <w:spacing w:val="37"/>
        </w:rPr>
        <w:t> </w:t>
      </w:r>
      <w:r>
        <w:rPr/>
        <w:t>your</w:t>
      </w:r>
      <w:r>
        <w:rPr>
          <w:spacing w:val="40"/>
        </w:rPr>
        <w:t> </w:t>
      </w:r>
      <w:r>
        <w:rPr/>
        <w:t>typical</w:t>
      </w:r>
      <w:r>
        <w:rPr>
          <w:spacing w:val="40"/>
        </w:rPr>
        <w:t> </w:t>
      </w:r>
      <w:r>
        <w:rPr/>
        <w:t>collection</w:t>
      </w:r>
      <w:r>
        <w:rPr>
          <w:spacing w:val="39"/>
        </w:rPr>
        <w:t> </w:t>
      </w:r>
      <w:r>
        <w:rPr/>
        <w:t>of</w:t>
      </w:r>
      <w:r>
        <w:rPr>
          <w:spacing w:val="39"/>
        </w:rPr>
        <w:t> </w:t>
      </w:r>
      <w:r>
        <w:rPr/>
        <w:t>indicators.</w:t>
      </w:r>
      <w:r>
        <w:rPr>
          <w:spacing w:val="39"/>
        </w:rPr>
        <w:t> </w:t>
      </w:r>
      <w:r>
        <w:rPr/>
        <w:t>Judging</w:t>
      </w:r>
      <w:r>
        <w:rPr>
          <w:spacing w:val="39"/>
        </w:rPr>
        <w:t> </w:t>
      </w:r>
      <w:r>
        <w:rPr/>
        <w:t>the</w:t>
      </w:r>
      <w:r>
        <w:rPr>
          <w:spacing w:val="40"/>
        </w:rPr>
        <w:t> </w:t>
      </w:r>
      <w:r>
        <w:rPr/>
        <w:t>relationships of these levels reveals another realm of information about the market that is very hard to come by when using standard forms of analysis. There is no doubt</w:t>
      </w:r>
      <w:r>
        <w:rPr>
          <w:spacing w:val="40"/>
        </w:rPr>
        <w:t> </w:t>
      </w:r>
      <w:r>
        <w:rPr/>
        <w:t>the</w:t>
      </w:r>
      <w:r>
        <w:rPr>
          <w:spacing w:val="40"/>
        </w:rPr>
        <w:t> </w:t>
      </w:r>
      <w:r>
        <w:rPr/>
        <w:t>Money</w:t>
      </w:r>
      <w:r>
        <w:rPr>
          <w:spacing w:val="40"/>
        </w:rPr>
        <w:t> </w:t>
      </w:r>
      <w:r>
        <w:rPr/>
        <w:t>Zone</w:t>
      </w:r>
      <w:r>
        <w:rPr>
          <w:spacing w:val="40"/>
        </w:rPr>
        <w:t> </w:t>
      </w:r>
      <w:r>
        <w:rPr/>
        <w:t>has</w:t>
      </w:r>
      <w:r>
        <w:rPr>
          <w:spacing w:val="40"/>
        </w:rPr>
        <w:t> </w:t>
      </w:r>
      <w:r>
        <w:rPr/>
        <w:t>revolutionized</w:t>
      </w:r>
      <w:r>
        <w:rPr>
          <w:spacing w:val="40"/>
        </w:rPr>
        <w:t> </w:t>
      </w:r>
      <w:r>
        <w:rPr/>
        <w:t>my</w:t>
      </w:r>
      <w:r>
        <w:rPr>
          <w:spacing w:val="40"/>
        </w:rPr>
        <w:t> </w:t>
      </w:r>
      <w:r>
        <w:rPr/>
        <w:t>trading.</w:t>
      </w:r>
      <w:r>
        <w:rPr>
          <w:spacing w:val="40"/>
        </w:rPr>
        <w:t> </w:t>
      </w:r>
      <w:r>
        <w:rPr/>
        <w:t>And</w:t>
      </w:r>
      <w:r>
        <w:rPr>
          <w:spacing w:val="40"/>
        </w:rPr>
        <w:t> </w:t>
      </w:r>
      <w:r>
        <w:rPr/>
        <w:t>while</w:t>
      </w:r>
      <w:r>
        <w:rPr>
          <w:spacing w:val="40"/>
        </w:rPr>
        <w:t> </w:t>
      </w:r>
      <w:r>
        <w:rPr/>
        <w:t>the Money Zone method has certainly boosted all areas of my trading, from analysis</w:t>
      </w:r>
      <w:r>
        <w:rPr>
          <w:spacing w:val="40"/>
        </w:rPr>
        <w:t> </w:t>
      </w:r>
      <w:r>
        <w:rPr/>
        <w:t>to</w:t>
      </w:r>
      <w:r>
        <w:rPr>
          <w:spacing w:val="40"/>
        </w:rPr>
        <w:t> </w:t>
      </w:r>
      <w:r>
        <w:rPr/>
        <w:t>profit</w:t>
      </w:r>
      <w:r>
        <w:rPr>
          <w:spacing w:val="40"/>
        </w:rPr>
        <w:t> </w:t>
      </w:r>
      <w:r>
        <w:rPr/>
        <w:t>making,</w:t>
      </w:r>
      <w:r>
        <w:rPr>
          <w:spacing w:val="40"/>
        </w:rPr>
        <w:t> </w:t>
      </w:r>
      <w:r>
        <w:rPr/>
        <w:t>including</w:t>
      </w:r>
      <w:r>
        <w:rPr>
          <w:spacing w:val="40"/>
        </w:rPr>
        <w:t> </w:t>
      </w:r>
      <w:r>
        <w:rPr/>
        <w:t>this</w:t>
      </w:r>
      <w:r>
        <w:rPr>
          <w:spacing w:val="40"/>
        </w:rPr>
        <w:t> </w:t>
      </w:r>
      <w:r>
        <w:rPr/>
        <w:t>analysis</w:t>
      </w:r>
      <w:r>
        <w:rPr>
          <w:spacing w:val="40"/>
        </w:rPr>
        <w:t> </w:t>
      </w:r>
      <w:r>
        <w:rPr/>
        <w:t>with</w:t>
      </w:r>
      <w:r>
        <w:rPr>
          <w:spacing w:val="40"/>
        </w:rPr>
        <w:t> </w:t>
      </w:r>
      <w:r>
        <w:rPr/>
        <w:t>the</w:t>
      </w:r>
      <w:r>
        <w:rPr>
          <w:spacing w:val="40"/>
        </w:rPr>
        <w:t> </w:t>
      </w:r>
      <w:r>
        <w:rPr/>
        <w:t>information</w:t>
      </w:r>
      <w:r>
        <w:rPr>
          <w:spacing w:val="40"/>
        </w:rPr>
        <w:t> </w:t>
      </w:r>
      <w:r>
        <w:rPr/>
        <w:t>in the</w:t>
      </w:r>
      <w:r>
        <w:rPr>
          <w:spacing w:val="34"/>
        </w:rPr>
        <w:t> </w:t>
      </w:r>
      <w:r>
        <w:rPr/>
        <w:t>chapters</w:t>
      </w:r>
      <w:r>
        <w:rPr>
          <w:spacing w:val="32"/>
        </w:rPr>
        <w:t> </w:t>
      </w:r>
      <w:r>
        <w:rPr/>
        <w:t>to</w:t>
      </w:r>
      <w:r>
        <w:rPr>
          <w:spacing w:val="35"/>
        </w:rPr>
        <w:t> </w:t>
      </w:r>
      <w:r>
        <w:rPr/>
        <w:t>come</w:t>
      </w:r>
      <w:r>
        <w:rPr>
          <w:spacing w:val="34"/>
        </w:rPr>
        <w:t> </w:t>
      </w:r>
      <w:r>
        <w:rPr/>
        <w:t>will</w:t>
      </w:r>
      <w:r>
        <w:rPr>
          <w:spacing w:val="33"/>
        </w:rPr>
        <w:t> </w:t>
      </w:r>
      <w:r>
        <w:rPr/>
        <w:t>truly</w:t>
      </w:r>
      <w:r>
        <w:rPr>
          <w:spacing w:val="35"/>
        </w:rPr>
        <w:t> </w:t>
      </w:r>
      <w:r>
        <w:rPr/>
        <w:t>advance</w:t>
      </w:r>
      <w:r>
        <w:rPr>
          <w:spacing w:val="34"/>
        </w:rPr>
        <w:t> </w:t>
      </w:r>
      <w:r>
        <w:rPr/>
        <w:t>the</w:t>
      </w:r>
      <w:r>
        <w:rPr>
          <w:spacing w:val="35"/>
        </w:rPr>
        <w:t> </w:t>
      </w:r>
      <w:r>
        <w:rPr/>
        <w:t>state</w:t>
      </w:r>
      <w:r>
        <w:rPr>
          <w:spacing w:val="34"/>
        </w:rPr>
        <w:t> </w:t>
      </w:r>
      <w:r>
        <w:rPr/>
        <w:t>of</w:t>
      </w:r>
      <w:r>
        <w:rPr>
          <w:spacing w:val="31"/>
        </w:rPr>
        <w:t> </w:t>
      </w:r>
      <w:r>
        <w:rPr/>
        <w:t>your</w:t>
      </w:r>
      <w:r>
        <w:rPr>
          <w:spacing w:val="33"/>
        </w:rPr>
        <w:t> </w:t>
      </w:r>
      <w:r>
        <w:rPr/>
        <w:t>trading</w:t>
      </w:r>
      <w:r>
        <w:rPr>
          <w:spacing w:val="32"/>
        </w:rPr>
        <w:t> </w:t>
      </w:r>
      <w:r>
        <w:rPr>
          <w:spacing w:val="-2"/>
        </w:rPr>
        <w:t>success.</w:t>
      </w:r>
    </w:p>
    <w:p>
      <w:pPr>
        <w:spacing w:after="0"/>
        <w:jc w:val="both"/>
        <w:sectPr>
          <w:headerReference w:type="even" r:id="rId147"/>
          <w:footerReference w:type="even" r:id="rId148"/>
          <w:footerReference w:type="default" r:id="rId149"/>
          <w:pgSz w:w="8640" w:h="12960"/>
          <w:pgMar w:header="579" w:footer="1060" w:top="760" w:bottom="1260" w:left="580" w:right="580"/>
          <w:pgNumType w:start="11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2"/>
        <w:rPr>
          <w:sz w:val="180"/>
        </w:rPr>
      </w:pPr>
      <w:r>
        <w:rPr/>
        <w:pict>
          <v:line style="position:absolute;mso-position-horizontal-relative:page;mso-position-vertical-relative:paragraph;z-index:-19624448" from="53.279999pt,104.083656pt" to="387.719999pt,104.083656pt" stroked="true" strokeweight=".75pt" strokecolor="#000000">
            <v:stroke dashstyle="solid"/>
            <w10:wrap type="none"/>
          </v:line>
        </w:pict>
      </w:r>
      <w:bookmarkStart w:name="_TOC_250053" w:id="38"/>
      <w:r>
        <w:rPr>
          <w:w w:val="105"/>
        </w:rPr>
        <w:t>C H A P T E R</w:t>
      </w:r>
      <w:r>
        <w:rPr>
          <w:spacing w:val="-1"/>
          <w:w w:val="105"/>
        </w:rPr>
        <w:t> </w:t>
      </w:r>
      <w:bookmarkEnd w:id="38"/>
      <w:r>
        <w:rPr>
          <w:spacing w:val="-12"/>
          <w:w w:val="105"/>
          <w:sz w:val="180"/>
        </w:rPr>
        <w:t>5</w:t>
      </w:r>
    </w:p>
    <w:p>
      <w:pPr>
        <w:pStyle w:val="Heading1"/>
        <w:spacing w:line="276" w:lineRule="auto"/>
        <w:ind w:left="3462" w:firstLine="200"/>
      </w:pPr>
      <w:bookmarkStart w:name="_TOC_250052" w:id="39"/>
      <w:r>
        <w:rPr>
          <w:smallCaps/>
          <w:spacing w:val="-2"/>
          <w:w w:val="90"/>
        </w:rPr>
        <w:t>Introducing </w:t>
      </w:r>
      <w:r>
        <w:rPr>
          <w:smallCaps/>
          <w:w w:val="90"/>
        </w:rPr>
        <w:t>Floor</w:t>
      </w:r>
      <w:r>
        <w:rPr>
          <w:smallCaps/>
          <w:spacing w:val="7"/>
        </w:rPr>
        <w:t> </w:t>
      </w:r>
      <w:bookmarkEnd w:id="39"/>
      <w:r>
        <w:rPr>
          <w:smallCaps/>
          <w:spacing w:val="-2"/>
          <w:w w:val="90"/>
        </w:rPr>
        <w:t>Pivots</w:t>
      </w:r>
    </w:p>
    <w:p>
      <w:pPr>
        <w:spacing w:before="289"/>
        <w:ind w:left="1219" w:right="0" w:firstLine="0"/>
        <w:jc w:val="left"/>
        <w:rPr>
          <w:i/>
          <w:sz w:val="22"/>
        </w:rPr>
      </w:pPr>
      <w:r>
        <w:rPr>
          <w:i/>
          <w:sz w:val="22"/>
        </w:rPr>
        <w:t>“I</w:t>
      </w:r>
      <w:r>
        <w:rPr>
          <w:i/>
          <w:spacing w:val="-3"/>
          <w:sz w:val="22"/>
        </w:rPr>
        <w:t> </w:t>
      </w:r>
      <w:r>
        <w:rPr>
          <w:i/>
          <w:sz w:val="22"/>
        </w:rPr>
        <w:t>do</w:t>
      </w:r>
      <w:r>
        <w:rPr>
          <w:i/>
          <w:spacing w:val="-3"/>
          <w:sz w:val="22"/>
        </w:rPr>
        <w:t> </w:t>
      </w:r>
      <w:r>
        <w:rPr>
          <w:i/>
          <w:sz w:val="22"/>
        </w:rPr>
        <w:t>not</w:t>
      </w:r>
      <w:r>
        <w:rPr>
          <w:i/>
          <w:spacing w:val="-3"/>
          <w:sz w:val="22"/>
        </w:rPr>
        <w:t> </w:t>
      </w:r>
      <w:r>
        <w:rPr>
          <w:i/>
          <w:sz w:val="22"/>
        </w:rPr>
        <w:t>undertake</w:t>
      </w:r>
      <w:r>
        <w:rPr>
          <w:i/>
          <w:spacing w:val="-3"/>
          <w:sz w:val="22"/>
        </w:rPr>
        <w:t> </w:t>
      </w:r>
      <w:r>
        <w:rPr>
          <w:i/>
          <w:sz w:val="22"/>
        </w:rPr>
        <w:t>the</w:t>
      </w:r>
      <w:r>
        <w:rPr>
          <w:i/>
          <w:spacing w:val="-3"/>
          <w:sz w:val="22"/>
        </w:rPr>
        <w:t> </w:t>
      </w:r>
      <w:r>
        <w:rPr>
          <w:i/>
          <w:sz w:val="22"/>
        </w:rPr>
        <w:t>work</w:t>
      </w:r>
      <w:r>
        <w:rPr>
          <w:i/>
          <w:spacing w:val="-4"/>
          <w:sz w:val="22"/>
        </w:rPr>
        <w:t> </w:t>
      </w:r>
      <w:r>
        <w:rPr>
          <w:i/>
          <w:sz w:val="22"/>
        </w:rPr>
        <w:t>unless</w:t>
      </w:r>
      <w:r>
        <w:rPr>
          <w:i/>
          <w:spacing w:val="-3"/>
          <w:sz w:val="22"/>
        </w:rPr>
        <w:t> </w:t>
      </w:r>
      <w:r>
        <w:rPr>
          <w:i/>
          <w:sz w:val="22"/>
        </w:rPr>
        <w:t>I</w:t>
      </w:r>
      <w:r>
        <w:rPr>
          <w:i/>
          <w:spacing w:val="-3"/>
          <w:sz w:val="22"/>
        </w:rPr>
        <w:t> </w:t>
      </w:r>
      <w:r>
        <w:rPr>
          <w:i/>
          <w:sz w:val="22"/>
        </w:rPr>
        <w:t>see</w:t>
      </w:r>
      <w:r>
        <w:rPr>
          <w:i/>
          <w:spacing w:val="-3"/>
          <w:sz w:val="22"/>
        </w:rPr>
        <w:t> </w:t>
      </w:r>
      <w:r>
        <w:rPr>
          <w:i/>
          <w:sz w:val="22"/>
        </w:rPr>
        <w:t>my</w:t>
      </w:r>
      <w:r>
        <w:rPr>
          <w:i/>
          <w:spacing w:val="-4"/>
          <w:sz w:val="22"/>
        </w:rPr>
        <w:t> </w:t>
      </w:r>
      <w:r>
        <w:rPr>
          <w:i/>
          <w:sz w:val="22"/>
        </w:rPr>
        <w:t>way</w:t>
      </w:r>
      <w:r>
        <w:rPr>
          <w:i/>
          <w:spacing w:val="-3"/>
          <w:sz w:val="22"/>
        </w:rPr>
        <w:t> </w:t>
      </w:r>
      <w:r>
        <w:rPr>
          <w:i/>
          <w:sz w:val="22"/>
        </w:rPr>
        <w:t>clear</w:t>
      </w:r>
      <w:r>
        <w:rPr>
          <w:i/>
          <w:spacing w:val="-3"/>
          <w:sz w:val="22"/>
        </w:rPr>
        <w:t> </w:t>
      </w:r>
      <w:r>
        <w:rPr>
          <w:i/>
          <w:sz w:val="22"/>
        </w:rPr>
        <w:t>to</w:t>
      </w:r>
      <w:r>
        <w:rPr>
          <w:i/>
          <w:spacing w:val="-3"/>
          <w:sz w:val="22"/>
        </w:rPr>
        <w:t> </w:t>
      </w:r>
      <w:r>
        <w:rPr>
          <w:i/>
          <w:sz w:val="22"/>
        </w:rPr>
        <w:t>a</w:t>
      </w:r>
      <w:r>
        <w:rPr>
          <w:i/>
          <w:spacing w:val="-5"/>
          <w:sz w:val="22"/>
        </w:rPr>
        <w:t> </w:t>
      </w:r>
      <w:r>
        <w:rPr>
          <w:i/>
          <w:spacing w:val="-2"/>
          <w:sz w:val="22"/>
        </w:rPr>
        <w:t>profit.”</w:t>
      </w:r>
    </w:p>
    <w:p>
      <w:pPr>
        <w:pStyle w:val="BodyText"/>
        <w:spacing w:before="39"/>
        <w:ind w:left="5683"/>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pStyle w:val="BodyText"/>
        <w:ind w:left="499" w:right="135" w:firstLine="432"/>
        <w:jc w:val="both"/>
      </w:pPr>
      <w:r>
        <w:rPr/>
        <w:t>The first significant awakening of my trading career occurred when I first</w:t>
      </w:r>
      <w:r>
        <w:rPr>
          <w:spacing w:val="-1"/>
        </w:rPr>
        <w:t> </w:t>
      </w:r>
      <w:r>
        <w:rPr/>
        <w:t>discovered</w:t>
      </w:r>
      <w:r>
        <w:rPr>
          <w:spacing w:val="-1"/>
        </w:rPr>
        <w:t> </w:t>
      </w:r>
      <w:r>
        <w:rPr/>
        <w:t>the</w:t>
      </w:r>
      <w:r>
        <w:rPr>
          <w:spacing w:val="-1"/>
        </w:rPr>
        <w:t> </w:t>
      </w:r>
      <w:r>
        <w:rPr/>
        <w:t>power</w:t>
      </w:r>
      <w:r>
        <w:rPr>
          <w:spacing w:val="-1"/>
        </w:rPr>
        <w:t> </w:t>
      </w:r>
      <w:r>
        <w:rPr/>
        <w:t>of</w:t>
      </w:r>
      <w:r>
        <w:rPr>
          <w:spacing w:val="-1"/>
        </w:rPr>
        <w:t> </w:t>
      </w:r>
      <w:r>
        <w:rPr/>
        <w:t>Floor</w:t>
      </w:r>
      <w:r>
        <w:rPr>
          <w:spacing w:val="-2"/>
        </w:rPr>
        <w:t> </w:t>
      </w:r>
      <w:r>
        <w:rPr/>
        <w:t>Pivots.</w:t>
      </w:r>
      <w:r>
        <w:rPr>
          <w:spacing w:val="-1"/>
        </w:rPr>
        <w:t> </w:t>
      </w:r>
      <w:r>
        <w:rPr/>
        <w:t>Until</w:t>
      </w:r>
      <w:r>
        <w:rPr>
          <w:spacing w:val="-1"/>
        </w:rPr>
        <w:t> </w:t>
      </w:r>
      <w:r>
        <w:rPr/>
        <w:t>then,</w:t>
      </w:r>
      <w:r>
        <w:rPr>
          <w:spacing w:val="-2"/>
        </w:rPr>
        <w:t> </w:t>
      </w:r>
      <w:r>
        <w:rPr/>
        <w:t>I</w:t>
      </w:r>
      <w:r>
        <w:rPr>
          <w:spacing w:val="-1"/>
        </w:rPr>
        <w:t> </w:t>
      </w:r>
      <w:r>
        <w:rPr/>
        <w:t>was</w:t>
      </w:r>
      <w:r>
        <w:rPr>
          <w:spacing w:val="-1"/>
        </w:rPr>
        <w:t> </w:t>
      </w:r>
      <w:r>
        <w:rPr/>
        <w:t>trading</w:t>
      </w:r>
      <w:r>
        <w:rPr>
          <w:spacing w:val="-2"/>
        </w:rPr>
        <w:t> </w:t>
      </w:r>
      <w:r>
        <w:rPr/>
        <w:t>solely</w:t>
      </w:r>
      <w:r>
        <w:rPr>
          <w:spacing w:val="-1"/>
        </w:rPr>
        <w:t> </w:t>
      </w:r>
      <w:r>
        <w:rPr/>
        <w:t>off chart patterns and candlestick combinations and never knew there was an underlying road map to each chart I traded. Once the Floor Pivots were revealed me, however, a completely different gear was reached in my trading and</w:t>
      </w:r>
      <w:r>
        <w:rPr>
          <w:spacing w:val="31"/>
        </w:rPr>
        <w:t> </w:t>
      </w:r>
      <w:r>
        <w:rPr/>
        <w:t>market</w:t>
      </w:r>
      <w:r>
        <w:rPr>
          <w:spacing w:val="31"/>
        </w:rPr>
        <w:t> </w:t>
      </w:r>
      <w:r>
        <w:rPr/>
        <w:t>analysis.</w:t>
      </w:r>
      <w:r>
        <w:rPr>
          <w:spacing w:val="30"/>
        </w:rPr>
        <w:t> </w:t>
      </w:r>
      <w:r>
        <w:rPr/>
        <w:t>I</w:t>
      </w:r>
      <w:r>
        <w:rPr>
          <w:spacing w:val="30"/>
        </w:rPr>
        <w:t> </w:t>
      </w:r>
      <w:r>
        <w:rPr/>
        <w:t>felt</w:t>
      </w:r>
      <w:r>
        <w:rPr>
          <w:spacing w:val="30"/>
        </w:rPr>
        <w:t> </w:t>
      </w:r>
      <w:r>
        <w:rPr/>
        <w:t>as</w:t>
      </w:r>
      <w:r>
        <w:rPr>
          <w:spacing w:val="31"/>
        </w:rPr>
        <w:t> </w:t>
      </w:r>
      <w:r>
        <w:rPr/>
        <w:t>though</w:t>
      </w:r>
      <w:r>
        <w:rPr>
          <w:spacing w:val="30"/>
        </w:rPr>
        <w:t> </w:t>
      </w:r>
      <w:r>
        <w:rPr/>
        <w:t>I</w:t>
      </w:r>
      <w:r>
        <w:rPr>
          <w:spacing w:val="30"/>
        </w:rPr>
        <w:t> </w:t>
      </w:r>
      <w:r>
        <w:rPr/>
        <w:t>had</w:t>
      </w:r>
      <w:r>
        <w:rPr>
          <w:spacing w:val="30"/>
        </w:rPr>
        <w:t> </w:t>
      </w:r>
      <w:r>
        <w:rPr/>
        <w:t>finally</w:t>
      </w:r>
      <w:r>
        <w:rPr>
          <w:spacing w:val="30"/>
        </w:rPr>
        <w:t> </w:t>
      </w:r>
      <w:r>
        <w:rPr/>
        <w:t>joined</w:t>
      </w:r>
      <w:r>
        <w:rPr>
          <w:spacing w:val="30"/>
        </w:rPr>
        <w:t> </w:t>
      </w:r>
      <w:r>
        <w:rPr/>
        <w:t>the</w:t>
      </w:r>
      <w:r>
        <w:rPr>
          <w:spacing w:val="30"/>
        </w:rPr>
        <w:t> </w:t>
      </w:r>
      <w:r>
        <w:rPr/>
        <w:t>trading</w:t>
      </w:r>
      <w:r>
        <w:rPr>
          <w:spacing w:val="30"/>
        </w:rPr>
        <w:t> </w:t>
      </w:r>
      <w:r>
        <w:rPr/>
        <w:t>elite.</w:t>
      </w:r>
    </w:p>
    <w:p>
      <w:pPr>
        <w:spacing w:after="0"/>
        <w:jc w:val="both"/>
        <w:sectPr>
          <w:headerReference w:type="default" r:id="rId150"/>
          <w:pgSz w:w="8640" w:h="12960"/>
          <w:pgMar w:header="0" w:footer="1060" w:top="1480" w:bottom="1260" w:left="580" w:right="580"/>
        </w:sectPr>
      </w:pPr>
    </w:p>
    <w:p>
      <w:pPr>
        <w:pStyle w:val="BodyText"/>
        <w:spacing w:before="5"/>
        <w:rPr>
          <w:sz w:val="18"/>
        </w:rPr>
      </w:pPr>
    </w:p>
    <w:p>
      <w:pPr>
        <w:pStyle w:val="BodyText"/>
        <w:spacing w:before="64"/>
        <w:ind w:left="140" w:right="496" w:firstLine="432"/>
        <w:jc w:val="both"/>
      </w:pPr>
      <w:r>
        <w:rPr/>
        <w:t>Floor Pivots have been around for a long time and many traders have used these pivots to master the market for decades. Larry Williams re- popularized</w:t>
      </w:r>
      <w:r>
        <w:rPr>
          <w:spacing w:val="-1"/>
        </w:rPr>
        <w:t> </w:t>
      </w:r>
      <w:r>
        <w:rPr/>
        <w:t>the</w:t>
      </w:r>
      <w:r>
        <w:rPr>
          <w:spacing w:val="-2"/>
        </w:rPr>
        <w:t> </w:t>
      </w:r>
      <w:r>
        <w:rPr/>
        <w:t>formula</w:t>
      </w:r>
      <w:r>
        <w:rPr>
          <w:spacing w:val="-1"/>
        </w:rPr>
        <w:t> </w:t>
      </w:r>
      <w:r>
        <w:rPr/>
        <w:t>by</w:t>
      </w:r>
      <w:r>
        <w:rPr>
          <w:spacing w:val="-2"/>
        </w:rPr>
        <w:t> </w:t>
      </w:r>
      <w:r>
        <w:rPr/>
        <w:t>including</w:t>
      </w:r>
      <w:r>
        <w:rPr>
          <w:spacing w:val="-1"/>
        </w:rPr>
        <w:t> </w:t>
      </w:r>
      <w:r>
        <w:rPr/>
        <w:t>it</w:t>
      </w:r>
      <w:r>
        <w:rPr>
          <w:spacing w:val="-2"/>
        </w:rPr>
        <w:t> </w:t>
      </w:r>
      <w:r>
        <w:rPr/>
        <w:t>in</w:t>
      </w:r>
      <w:r>
        <w:rPr>
          <w:spacing w:val="-1"/>
        </w:rPr>
        <w:t> </w:t>
      </w:r>
      <w:r>
        <w:rPr/>
        <w:t>his</w:t>
      </w:r>
      <w:r>
        <w:rPr>
          <w:spacing w:val="-2"/>
        </w:rPr>
        <w:t> </w:t>
      </w:r>
      <w:r>
        <w:rPr/>
        <w:t>book,</w:t>
      </w:r>
      <w:r>
        <w:rPr>
          <w:spacing w:val="-3"/>
        </w:rPr>
        <w:t> </w:t>
      </w:r>
      <w:r>
        <w:rPr>
          <w:i/>
        </w:rPr>
        <w:t>How</w:t>
      </w:r>
      <w:r>
        <w:rPr>
          <w:i/>
          <w:spacing w:val="-1"/>
        </w:rPr>
        <w:t> </w:t>
      </w:r>
      <w:r>
        <w:rPr>
          <w:i/>
        </w:rPr>
        <w:t>I</w:t>
      </w:r>
      <w:r>
        <w:rPr>
          <w:i/>
          <w:spacing w:val="-2"/>
        </w:rPr>
        <w:t> </w:t>
      </w:r>
      <w:r>
        <w:rPr>
          <w:i/>
        </w:rPr>
        <w:t>Made</w:t>
      </w:r>
      <w:r>
        <w:rPr>
          <w:i/>
          <w:spacing w:val="-1"/>
        </w:rPr>
        <w:t> </w:t>
      </w:r>
      <w:r>
        <w:rPr>
          <w:i/>
        </w:rPr>
        <w:t>One</w:t>
      </w:r>
      <w:r>
        <w:rPr>
          <w:i/>
          <w:spacing w:val="-1"/>
        </w:rPr>
        <w:t> </w:t>
      </w:r>
      <w:r>
        <w:rPr>
          <w:i/>
        </w:rPr>
        <w:t>Million</w:t>
      </w:r>
      <w:r>
        <w:rPr>
          <w:i/>
        </w:rPr>
        <w:t> Dollars Last Year Trading Commodities</w:t>
      </w:r>
      <w:r>
        <w:rPr/>
        <w:t>, in 1979. He described the “Pivot Price Formula” that he used to arrive at the next day’s probable high or low. Many great traders have adopted the pivots and have even incorporated them into many indicators that you may know today.</w:t>
      </w:r>
    </w:p>
    <w:p>
      <w:pPr>
        <w:pStyle w:val="BodyText"/>
        <w:ind w:left="140" w:right="494" w:firstLine="432"/>
        <w:jc w:val="both"/>
      </w:pPr>
      <w:r>
        <w:rPr/>
        <w:t>While these pivots can go by many names, including Pivot Points, Floors, or just pivots, I typically call them the Floor Pivots since they really became popular once traders on the floors of the exchanges began to use them. The pivots were a simple way for floor traders to forecast the day’s potential support and resistance levels, since they didn’t have sophisticated computers on the floors of the exchanges at the time. This name also helps to distinguish them from other types of pivot points, since there are other types that are unrelated to the ones we will discuss in this book.</w:t>
      </w:r>
    </w:p>
    <w:p>
      <w:pPr>
        <w:pStyle w:val="BodyText"/>
        <w:spacing w:before="1"/>
        <w:rPr>
          <w:sz w:val="20"/>
        </w:rPr>
      </w:pPr>
    </w:p>
    <w:p>
      <w:pPr>
        <w:spacing w:before="0"/>
        <w:ind w:left="516" w:right="519" w:hanging="135"/>
        <w:jc w:val="left"/>
        <w:rPr>
          <w:i/>
          <w:sz w:val="22"/>
        </w:rPr>
      </w:pPr>
      <w:r>
        <w:rPr>
          <w:i/>
          <w:sz w:val="22"/>
        </w:rPr>
        <w:t>Floor</w:t>
      </w:r>
      <w:r>
        <w:rPr>
          <w:i/>
          <w:spacing w:val="-5"/>
          <w:sz w:val="22"/>
        </w:rPr>
        <w:t> </w:t>
      </w:r>
      <w:r>
        <w:rPr>
          <w:i/>
          <w:sz w:val="22"/>
        </w:rPr>
        <w:t>Pivots</w:t>
      </w:r>
      <w:r>
        <w:rPr>
          <w:i/>
          <w:spacing w:val="-7"/>
          <w:sz w:val="22"/>
        </w:rPr>
        <w:t> </w:t>
      </w:r>
      <w:r>
        <w:rPr>
          <w:i/>
          <w:sz w:val="22"/>
        </w:rPr>
        <w:t>are</w:t>
      </w:r>
      <w:r>
        <w:rPr>
          <w:i/>
          <w:spacing w:val="-5"/>
          <w:sz w:val="22"/>
        </w:rPr>
        <w:t> </w:t>
      </w:r>
      <w:r>
        <w:rPr>
          <w:i/>
          <w:sz w:val="22"/>
        </w:rPr>
        <w:t>extremely</w:t>
      </w:r>
      <w:r>
        <w:rPr>
          <w:i/>
          <w:spacing w:val="-4"/>
          <w:sz w:val="22"/>
        </w:rPr>
        <w:t> </w:t>
      </w:r>
      <w:r>
        <w:rPr>
          <w:i/>
          <w:sz w:val="22"/>
        </w:rPr>
        <w:t>powerful</w:t>
      </w:r>
      <w:r>
        <w:rPr>
          <w:i/>
          <w:spacing w:val="-5"/>
          <w:sz w:val="22"/>
        </w:rPr>
        <w:t> </w:t>
      </w:r>
      <w:r>
        <w:rPr>
          <w:i/>
          <w:sz w:val="22"/>
        </w:rPr>
        <w:t>price-based</w:t>
      </w:r>
      <w:r>
        <w:rPr>
          <w:i/>
          <w:spacing w:val="-5"/>
          <w:sz w:val="22"/>
        </w:rPr>
        <w:t> </w:t>
      </w:r>
      <w:r>
        <w:rPr>
          <w:i/>
          <w:sz w:val="22"/>
        </w:rPr>
        <w:t>support</w:t>
      </w:r>
      <w:r>
        <w:rPr>
          <w:i/>
          <w:spacing w:val="-6"/>
          <w:sz w:val="22"/>
        </w:rPr>
        <w:t> </w:t>
      </w:r>
      <w:r>
        <w:rPr>
          <w:i/>
          <w:sz w:val="22"/>
        </w:rPr>
        <w:t>and</w:t>
      </w:r>
      <w:r>
        <w:rPr>
          <w:i/>
          <w:spacing w:val="-5"/>
          <w:sz w:val="22"/>
        </w:rPr>
        <w:t> </w:t>
      </w:r>
      <w:r>
        <w:rPr>
          <w:i/>
          <w:sz w:val="22"/>
        </w:rPr>
        <w:t>resistance</w:t>
      </w:r>
      <w:r>
        <w:rPr>
          <w:i/>
          <w:sz w:val="22"/>
        </w:rPr>
        <w:t> levels that are calculated using a prior period’s high, low, and close.</w:t>
      </w:r>
    </w:p>
    <w:p>
      <w:pPr>
        <w:pStyle w:val="BodyText"/>
        <w:spacing w:before="10"/>
        <w:rPr>
          <w:i/>
          <w:sz w:val="19"/>
        </w:rPr>
      </w:pPr>
    </w:p>
    <w:p>
      <w:pPr>
        <w:pStyle w:val="BodyText"/>
        <w:ind w:left="140" w:right="495" w:firstLine="432"/>
        <w:jc w:val="both"/>
      </w:pPr>
      <w:r>
        <w:rPr/>
        <w:t>Floor Pivots offer an amazing way to view the market. They are like night-vision goggles, illuminating the moves of the market even in the most uncertain of times. As you begin to study the pivots on a deeper level, you will begin to see the correlated nature between the Floor Pivots and price behavior.</w:t>
      </w:r>
      <w:r>
        <w:rPr>
          <w:spacing w:val="-2"/>
        </w:rPr>
        <w:t> </w:t>
      </w:r>
      <w:r>
        <w:rPr/>
        <w:t>The</w:t>
      </w:r>
      <w:r>
        <w:rPr>
          <w:spacing w:val="-2"/>
        </w:rPr>
        <w:t> </w:t>
      </w:r>
      <w:r>
        <w:rPr/>
        <w:t>main</w:t>
      </w:r>
      <w:r>
        <w:rPr>
          <w:spacing w:val="-2"/>
        </w:rPr>
        <w:t> </w:t>
      </w:r>
      <w:r>
        <w:rPr/>
        <w:t>reason</w:t>
      </w:r>
      <w:r>
        <w:rPr>
          <w:spacing w:val="-2"/>
        </w:rPr>
        <w:t> </w:t>
      </w:r>
      <w:r>
        <w:rPr/>
        <w:t>these</w:t>
      </w:r>
      <w:r>
        <w:rPr>
          <w:spacing w:val="-2"/>
        </w:rPr>
        <w:t> </w:t>
      </w:r>
      <w:r>
        <w:rPr/>
        <w:t>pivots</w:t>
      </w:r>
      <w:r>
        <w:rPr>
          <w:spacing w:val="-2"/>
        </w:rPr>
        <w:t> </w:t>
      </w:r>
      <w:r>
        <w:rPr/>
        <w:t>can</w:t>
      </w:r>
      <w:r>
        <w:rPr>
          <w:spacing w:val="-2"/>
        </w:rPr>
        <w:t> </w:t>
      </w:r>
      <w:r>
        <w:rPr/>
        <w:t>be</w:t>
      </w:r>
      <w:r>
        <w:rPr>
          <w:spacing w:val="-2"/>
        </w:rPr>
        <w:t> </w:t>
      </w:r>
      <w:r>
        <w:rPr/>
        <w:t>so</w:t>
      </w:r>
      <w:r>
        <w:rPr>
          <w:spacing w:val="-2"/>
        </w:rPr>
        <w:t> </w:t>
      </w:r>
      <w:r>
        <w:rPr/>
        <w:t>unbelievably</w:t>
      </w:r>
      <w:r>
        <w:rPr>
          <w:spacing w:val="-3"/>
        </w:rPr>
        <w:t> </w:t>
      </w:r>
      <w:r>
        <w:rPr/>
        <w:t>accurate</w:t>
      </w:r>
      <w:r>
        <w:rPr>
          <w:spacing w:val="-2"/>
        </w:rPr>
        <w:t> </w:t>
      </w:r>
      <w:r>
        <w:rPr/>
        <w:t>is</w:t>
      </w:r>
      <w:r>
        <w:rPr>
          <w:spacing w:val="-2"/>
        </w:rPr>
        <w:t> </w:t>
      </w:r>
      <w:r>
        <w:rPr/>
        <w:t>the simple fact that market participants are watching and trading these key</w:t>
      </w:r>
      <w:r>
        <w:rPr>
          <w:spacing w:val="80"/>
        </w:rPr>
        <w:t> </w:t>
      </w:r>
      <w:r>
        <w:rPr/>
        <w:t>levels. Trader psychology, and human nature for that matter, has remained</w:t>
      </w:r>
      <w:r>
        <w:rPr>
          <w:spacing w:val="40"/>
        </w:rPr>
        <w:t> </w:t>
      </w:r>
      <w:r>
        <w:rPr/>
        <w:t>the</w:t>
      </w:r>
      <w:r>
        <w:rPr>
          <w:spacing w:val="-2"/>
        </w:rPr>
        <w:t> </w:t>
      </w:r>
      <w:r>
        <w:rPr/>
        <w:t>same</w:t>
      </w:r>
      <w:r>
        <w:rPr>
          <w:spacing w:val="-2"/>
        </w:rPr>
        <w:t> </w:t>
      </w:r>
      <w:r>
        <w:rPr/>
        <w:t>for</w:t>
      </w:r>
      <w:r>
        <w:rPr>
          <w:spacing w:val="-2"/>
        </w:rPr>
        <w:t> </w:t>
      </w:r>
      <w:r>
        <w:rPr/>
        <w:t>centuries</w:t>
      </w:r>
      <w:r>
        <w:rPr>
          <w:spacing w:val="-2"/>
        </w:rPr>
        <w:t> </w:t>
      </w:r>
      <w:r>
        <w:rPr/>
        <w:t>due</w:t>
      </w:r>
      <w:r>
        <w:rPr>
          <w:spacing w:val="-2"/>
        </w:rPr>
        <w:t> </w:t>
      </w:r>
      <w:r>
        <w:rPr/>
        <w:t>to</w:t>
      </w:r>
      <w:r>
        <w:rPr>
          <w:spacing w:val="-2"/>
        </w:rPr>
        <w:t> </w:t>
      </w:r>
      <w:r>
        <w:rPr/>
        <w:t>fear,</w:t>
      </w:r>
      <w:r>
        <w:rPr>
          <w:spacing w:val="-2"/>
        </w:rPr>
        <w:t> </w:t>
      </w:r>
      <w:r>
        <w:rPr/>
        <w:t>greed,</w:t>
      </w:r>
      <w:r>
        <w:rPr>
          <w:spacing w:val="-2"/>
        </w:rPr>
        <w:t> </w:t>
      </w:r>
      <w:r>
        <w:rPr/>
        <w:t>hope,</w:t>
      </w:r>
      <w:r>
        <w:rPr>
          <w:spacing w:val="-2"/>
        </w:rPr>
        <w:t> </w:t>
      </w:r>
      <w:r>
        <w:rPr/>
        <w:t>and</w:t>
      </w:r>
      <w:r>
        <w:rPr>
          <w:spacing w:val="-3"/>
        </w:rPr>
        <w:t> </w:t>
      </w:r>
      <w:r>
        <w:rPr/>
        <w:t>uncertainty.</w:t>
      </w:r>
      <w:r>
        <w:rPr>
          <w:spacing w:val="-2"/>
        </w:rPr>
        <w:t> </w:t>
      </w:r>
      <w:r>
        <w:rPr/>
        <w:t>These</w:t>
      </w:r>
      <w:r>
        <w:rPr>
          <w:spacing w:val="-2"/>
        </w:rPr>
        <w:t> </w:t>
      </w:r>
      <w:r>
        <w:rPr/>
        <w:t>are</w:t>
      </w:r>
      <w:r>
        <w:rPr>
          <w:spacing w:val="-2"/>
        </w:rPr>
        <w:t> </w:t>
      </w:r>
      <w:r>
        <w:rPr/>
        <w:t>the reasons</w:t>
      </w:r>
      <w:r>
        <w:rPr>
          <w:spacing w:val="-1"/>
        </w:rPr>
        <w:t> </w:t>
      </w:r>
      <w:r>
        <w:rPr/>
        <w:t>why</w:t>
      </w:r>
      <w:r>
        <w:rPr>
          <w:spacing w:val="-1"/>
        </w:rPr>
        <w:t> </w:t>
      </w:r>
      <w:r>
        <w:rPr/>
        <w:t>traders</w:t>
      </w:r>
      <w:r>
        <w:rPr>
          <w:spacing w:val="-1"/>
        </w:rPr>
        <w:t> </w:t>
      </w:r>
      <w:r>
        <w:rPr/>
        <w:t>continue</w:t>
      </w:r>
      <w:r>
        <w:rPr>
          <w:spacing w:val="-1"/>
        </w:rPr>
        <w:t> </w:t>
      </w:r>
      <w:r>
        <w:rPr/>
        <w:t>to</w:t>
      </w:r>
      <w:r>
        <w:rPr>
          <w:spacing w:val="-1"/>
        </w:rPr>
        <w:t> </w:t>
      </w:r>
      <w:r>
        <w:rPr/>
        <w:t>react</w:t>
      </w:r>
      <w:r>
        <w:rPr>
          <w:spacing w:val="-1"/>
        </w:rPr>
        <w:t> </w:t>
      </w:r>
      <w:r>
        <w:rPr/>
        <w:t>to</w:t>
      </w:r>
      <w:r>
        <w:rPr>
          <w:spacing w:val="-1"/>
        </w:rPr>
        <w:t> </w:t>
      </w:r>
      <w:r>
        <w:rPr/>
        <w:t>key</w:t>
      </w:r>
      <w:r>
        <w:rPr>
          <w:spacing w:val="-1"/>
        </w:rPr>
        <w:t> </w:t>
      </w:r>
      <w:r>
        <w:rPr/>
        <w:t>levels</w:t>
      </w:r>
      <w:r>
        <w:rPr>
          <w:spacing w:val="-1"/>
        </w:rPr>
        <w:t> </w:t>
      </w:r>
      <w:r>
        <w:rPr/>
        <w:t>in</w:t>
      </w:r>
      <w:r>
        <w:rPr>
          <w:spacing w:val="-2"/>
        </w:rPr>
        <w:t> </w:t>
      </w:r>
      <w:r>
        <w:rPr/>
        <w:t>the</w:t>
      </w:r>
      <w:r>
        <w:rPr>
          <w:spacing w:val="-1"/>
        </w:rPr>
        <w:t> </w:t>
      </w:r>
      <w:r>
        <w:rPr/>
        <w:t>charts</w:t>
      </w:r>
      <w:r>
        <w:rPr>
          <w:spacing w:val="-1"/>
        </w:rPr>
        <w:t> </w:t>
      </w:r>
      <w:r>
        <w:rPr/>
        <w:t>the</w:t>
      </w:r>
      <w:r>
        <w:rPr>
          <w:spacing w:val="-1"/>
        </w:rPr>
        <w:t> </w:t>
      </w:r>
      <w:r>
        <w:rPr/>
        <w:t>same</w:t>
      </w:r>
      <w:r>
        <w:rPr>
          <w:spacing w:val="-1"/>
        </w:rPr>
        <w:t> </w:t>
      </w:r>
      <w:r>
        <w:rPr/>
        <w:t>way over and over again. This is also the reason why these pivots have stood the test of time and will continue to work into the future. We will delve deeper into</w:t>
      </w:r>
      <w:r>
        <w:rPr>
          <w:spacing w:val="-1"/>
        </w:rPr>
        <w:t> </w:t>
      </w:r>
      <w:r>
        <w:rPr/>
        <w:t>Floor</w:t>
      </w:r>
      <w:r>
        <w:rPr>
          <w:spacing w:val="-1"/>
        </w:rPr>
        <w:t> </w:t>
      </w:r>
      <w:r>
        <w:rPr/>
        <w:t>Pivots</w:t>
      </w:r>
      <w:r>
        <w:rPr>
          <w:spacing w:val="-1"/>
        </w:rPr>
        <w:t> </w:t>
      </w:r>
      <w:r>
        <w:rPr/>
        <w:t>in</w:t>
      </w:r>
      <w:r>
        <w:rPr>
          <w:spacing w:val="-1"/>
        </w:rPr>
        <w:t> </w:t>
      </w:r>
      <w:r>
        <w:rPr/>
        <w:t>this</w:t>
      </w:r>
      <w:r>
        <w:rPr>
          <w:spacing w:val="-1"/>
        </w:rPr>
        <w:t> </w:t>
      </w:r>
      <w:r>
        <w:rPr/>
        <w:t>chapter</w:t>
      </w:r>
      <w:r>
        <w:rPr>
          <w:spacing w:val="-1"/>
        </w:rPr>
        <w:t> </w:t>
      </w:r>
      <w:r>
        <w:rPr/>
        <w:t>and</w:t>
      </w:r>
      <w:r>
        <w:rPr>
          <w:spacing w:val="-1"/>
        </w:rPr>
        <w:t> </w:t>
      </w:r>
      <w:r>
        <w:rPr/>
        <w:t>will</w:t>
      </w:r>
      <w:r>
        <w:rPr>
          <w:spacing w:val="-1"/>
        </w:rPr>
        <w:t> </w:t>
      </w:r>
      <w:r>
        <w:rPr/>
        <w:t>unlock</w:t>
      </w:r>
      <w:r>
        <w:rPr>
          <w:spacing w:val="-1"/>
        </w:rPr>
        <w:t> </w:t>
      </w:r>
      <w:r>
        <w:rPr/>
        <w:t>extremely</w:t>
      </w:r>
      <w:r>
        <w:rPr>
          <w:spacing w:val="-1"/>
        </w:rPr>
        <w:t> </w:t>
      </w:r>
      <w:r>
        <w:rPr/>
        <w:t>powerful</w:t>
      </w:r>
      <w:r>
        <w:rPr>
          <w:spacing w:val="-1"/>
        </w:rPr>
        <w:t> </w:t>
      </w:r>
      <w:r>
        <w:rPr/>
        <w:t>concepts that run deep in the market.</w:t>
      </w:r>
    </w:p>
    <w:p>
      <w:pPr>
        <w:pStyle w:val="BodyText"/>
      </w:pPr>
    </w:p>
    <w:p>
      <w:pPr>
        <w:pStyle w:val="Heading3"/>
      </w:pPr>
      <w:r>
        <w:rPr/>
        <w:pict>
          <v:shape style="position:absolute;margin-left:36.779999pt;margin-top:18.230307pt;width:341pt;height:.1pt;mso-position-horizontal-relative:page;mso-position-vertical-relative:paragraph;z-index:-15665664;mso-wrap-distance-left:0;mso-wrap-distance-right:0" id="docshape421" coordorigin="736,365" coordsize="6820,0" path="m736,365l7555,365e" filled="false" stroked="true" strokeweight=".75pt" strokecolor="#000000">
            <v:path arrowok="t"/>
            <v:stroke dashstyle="solid"/>
            <w10:wrap type="topAndBottom"/>
          </v:shape>
        </w:pict>
      </w:r>
      <w:bookmarkStart w:name="_TOC_250051" w:id="40"/>
      <w:r>
        <w:rPr>
          <w:smallCaps/>
        </w:rPr>
        <w:t>The</w:t>
      </w:r>
      <w:r>
        <w:rPr>
          <w:smallCaps/>
          <w:spacing w:val="-14"/>
        </w:rPr>
        <w:t> </w:t>
      </w:r>
      <w:r>
        <w:rPr>
          <w:smallCaps/>
        </w:rPr>
        <w:t>Standard</w:t>
      </w:r>
      <w:r>
        <w:rPr>
          <w:smallCaps/>
          <w:spacing w:val="-14"/>
        </w:rPr>
        <w:t> </w:t>
      </w:r>
      <w:r>
        <w:rPr>
          <w:smallCaps/>
        </w:rPr>
        <w:t>Floor</w:t>
      </w:r>
      <w:r>
        <w:rPr>
          <w:smallCaps/>
          <w:spacing w:val="-13"/>
        </w:rPr>
        <w:t> </w:t>
      </w:r>
      <w:r>
        <w:rPr>
          <w:smallCaps/>
        </w:rPr>
        <w:t>Pivots</w:t>
      </w:r>
      <w:r>
        <w:rPr>
          <w:smallCaps/>
          <w:spacing w:val="-12"/>
        </w:rPr>
        <w:t> </w:t>
      </w:r>
      <w:bookmarkEnd w:id="40"/>
      <w:r>
        <w:rPr>
          <w:smallCaps/>
          <w:spacing w:val="-2"/>
        </w:rPr>
        <w:t>Formula</w:t>
      </w:r>
    </w:p>
    <w:p>
      <w:pPr>
        <w:pStyle w:val="BodyText"/>
        <w:spacing w:before="203"/>
        <w:ind w:left="139" w:right="497" w:firstLine="432"/>
        <w:jc w:val="both"/>
      </w:pPr>
      <w:r>
        <w:rPr/>
        <w:t>While Floor Pivots have been around for decades, they can still cause confusion due to the fact that several variations of the formula can be found. However, there is one formula that is widely considered to be the standard, which I will divulge in a moment. Once you plug in the high, low, and close of the prior day (or week, month, and year), the formula will automatically calculate</w:t>
      </w:r>
      <w:r>
        <w:rPr>
          <w:spacing w:val="51"/>
        </w:rPr>
        <w:t> </w:t>
      </w:r>
      <w:r>
        <w:rPr/>
        <w:t>the</w:t>
      </w:r>
      <w:r>
        <w:rPr>
          <w:spacing w:val="51"/>
        </w:rPr>
        <w:t> </w:t>
      </w:r>
      <w:r>
        <w:rPr/>
        <w:t>central</w:t>
      </w:r>
      <w:r>
        <w:rPr>
          <w:spacing w:val="51"/>
        </w:rPr>
        <w:t> </w:t>
      </w:r>
      <w:r>
        <w:rPr/>
        <w:t>pivot,</w:t>
      </w:r>
      <w:r>
        <w:rPr>
          <w:spacing w:val="50"/>
        </w:rPr>
        <w:t> </w:t>
      </w:r>
      <w:r>
        <w:rPr/>
        <w:t>three</w:t>
      </w:r>
      <w:r>
        <w:rPr>
          <w:spacing w:val="51"/>
        </w:rPr>
        <w:t> </w:t>
      </w:r>
      <w:r>
        <w:rPr/>
        <w:t>resistance</w:t>
      </w:r>
      <w:r>
        <w:rPr>
          <w:spacing w:val="50"/>
        </w:rPr>
        <w:t> </w:t>
      </w:r>
      <w:r>
        <w:rPr/>
        <w:t>levels</w:t>
      </w:r>
      <w:r>
        <w:rPr>
          <w:spacing w:val="51"/>
        </w:rPr>
        <w:t> </w:t>
      </w:r>
      <w:r>
        <w:rPr/>
        <w:t>(R1</w:t>
      </w:r>
      <w:r>
        <w:rPr>
          <w:spacing w:val="50"/>
        </w:rPr>
        <w:t> </w:t>
      </w:r>
      <w:r>
        <w:rPr/>
        <w:t>to</w:t>
      </w:r>
      <w:r>
        <w:rPr>
          <w:spacing w:val="51"/>
        </w:rPr>
        <w:t> </w:t>
      </w:r>
      <w:r>
        <w:rPr/>
        <w:t>R3),</w:t>
      </w:r>
      <w:r>
        <w:rPr>
          <w:spacing w:val="51"/>
        </w:rPr>
        <w:t> </w:t>
      </w:r>
      <w:r>
        <w:rPr/>
        <w:t>and</w:t>
      </w:r>
      <w:r>
        <w:rPr>
          <w:spacing w:val="50"/>
        </w:rPr>
        <w:t> </w:t>
      </w:r>
      <w:r>
        <w:rPr>
          <w:spacing w:val="-2"/>
        </w:rPr>
        <w:t>three</w:t>
      </w:r>
    </w:p>
    <w:p>
      <w:pPr>
        <w:spacing w:after="0"/>
        <w:jc w:val="both"/>
        <w:sectPr>
          <w:headerReference w:type="even" r:id="rId151"/>
          <w:headerReference w:type="default" r:id="rId152"/>
          <w:footerReference w:type="even" r:id="rId153"/>
          <w:footerReference w:type="default" r:id="rId154"/>
          <w:pgSz w:w="8640" w:h="12960"/>
          <w:pgMar w:header="579" w:footer="1060" w:top="760" w:bottom="1260" w:left="580" w:right="580"/>
          <w:pgNumType w:start="112"/>
        </w:sectPr>
      </w:pPr>
    </w:p>
    <w:p>
      <w:pPr>
        <w:pStyle w:val="BodyText"/>
        <w:spacing w:before="3"/>
      </w:pPr>
    </w:p>
    <w:p>
      <w:pPr>
        <w:pStyle w:val="BodyText"/>
        <w:spacing w:before="64"/>
        <w:ind w:left="500" w:right="136"/>
        <w:jc w:val="both"/>
      </w:pPr>
      <w:r>
        <w:rPr/>
        <w:t>support levels (S1 to S3) that are to be used for the current day’s trading activity. That is, seven pivot levels are plotted on your chart. The high, low, and close are used for the equation because they are the most important values for any given time period, whether it be a single bar or an entire day</w:t>
      </w:r>
      <w:r>
        <w:rPr>
          <w:spacing w:val="40"/>
        </w:rPr>
        <w:t> </w:t>
      </w:r>
      <w:r>
        <w:rPr/>
        <w:t>or month. The high and low represent the most bullish and bearish of expectations for the market for that period of time, thus making these values important reference points. Likewise, where the market closes can give insight into the collective minds of the market heading into the following period of time. Without further delay, the standard Floor Pivots formula is as </w:t>
      </w:r>
      <w:r>
        <w:rPr>
          <w:spacing w:val="-2"/>
        </w:rPr>
        <w:t>follows:</w:t>
      </w:r>
    </w:p>
    <w:p>
      <w:pPr>
        <w:pStyle w:val="BodyText"/>
        <w:spacing w:before="1"/>
        <w:rPr>
          <w:sz w:val="20"/>
        </w:rPr>
      </w:pPr>
      <w:r>
        <w:rPr/>
        <w:pict>
          <v:group style="position:absolute;margin-left:78.480003pt;margin-top:12.796121pt;width:293pt;height:18pt;mso-position-horizontal-relative:page;mso-position-vertical-relative:paragraph;z-index:-15665152;mso-wrap-distance-left:0;mso-wrap-distance-right:0" id="docshapegroup422" coordorigin="1570,256" coordsize="5860,360">
            <v:rect style="position:absolute;left:1588;top:276;width:5822;height:340" id="docshape423" filled="true" fillcolor="#000000" stroked="false">
              <v:fill type="solid"/>
            </v:rect>
            <v:shape style="position:absolute;left:1569;top:255;width:5841;height:21" id="docshape424" coordorigin="1570,256" coordsize="5841,21" path="m7410,256l1589,256,1570,256,1570,275,1570,276,1589,276,1589,275,7410,275,7410,256xe" filled="true" fillcolor="#3f3f3f" stroked="false">
              <v:path arrowok="t"/>
              <v:fill type="solid"/>
            </v:shape>
            <v:rect style="position:absolute;left:1588;top:275;width:5822;height:2" id="docshape425" filled="true" fillcolor="#000000" stroked="false">
              <v:fill type="solid"/>
            </v:rect>
            <v:shape style="position:absolute;left:1569;top:255;width:5860;height:360" id="docshape426" coordorigin="1570,256" coordsize="5860,360" path="m1589,276l1570,276,1570,616,1589,616,1589,276xm7429,256l7410,256,7410,275,7410,276,7410,616,7429,616,7429,276,7429,275,7429,256xe" filled="true" fillcolor="#3f3f3f" stroked="false">
              <v:path arrowok="t"/>
              <v:fill type="solid"/>
            </v:shape>
            <v:shape style="position:absolute;left:1588;top:275;width:5822;height:341" type="#_x0000_t202" id="docshape427" filled="false" stroked="false">
              <v:textbox inset="0,0,0,0">
                <w:txbxContent>
                  <w:p>
                    <w:pPr>
                      <w:spacing w:before="25"/>
                      <w:ind w:left="1084" w:right="0" w:firstLine="0"/>
                      <w:jc w:val="left"/>
                      <w:rPr>
                        <w:rFonts w:ascii="Verdana"/>
                        <w:sz w:val="24"/>
                      </w:rPr>
                    </w:pPr>
                    <w:r>
                      <w:rPr>
                        <w:rFonts w:ascii="Verdana"/>
                        <w:color w:val="FFFFFF"/>
                        <w:sz w:val="24"/>
                      </w:rPr>
                      <w:t>Standard</w:t>
                    </w:r>
                    <w:r>
                      <w:rPr>
                        <w:rFonts w:ascii="Verdana"/>
                        <w:color w:val="FFFFFF"/>
                        <w:spacing w:val="-10"/>
                        <w:sz w:val="24"/>
                      </w:rPr>
                      <w:t> </w:t>
                    </w:r>
                    <w:r>
                      <w:rPr>
                        <w:rFonts w:ascii="Verdana"/>
                        <w:color w:val="FFFFFF"/>
                        <w:sz w:val="24"/>
                      </w:rPr>
                      <w:t>Floor</w:t>
                    </w:r>
                    <w:r>
                      <w:rPr>
                        <w:rFonts w:ascii="Verdana"/>
                        <w:color w:val="FFFFFF"/>
                        <w:spacing w:val="-10"/>
                        <w:sz w:val="24"/>
                      </w:rPr>
                      <w:t> </w:t>
                    </w:r>
                    <w:r>
                      <w:rPr>
                        <w:rFonts w:ascii="Verdana"/>
                        <w:color w:val="FFFFFF"/>
                        <w:sz w:val="24"/>
                      </w:rPr>
                      <w:t>Pivots</w:t>
                    </w:r>
                    <w:r>
                      <w:rPr>
                        <w:rFonts w:ascii="Verdana"/>
                        <w:color w:val="FFFFFF"/>
                        <w:spacing w:val="-9"/>
                        <w:sz w:val="24"/>
                      </w:rPr>
                      <w:t> </w:t>
                    </w:r>
                    <w:r>
                      <w:rPr>
                        <w:rFonts w:ascii="Verdana"/>
                        <w:color w:val="FFFFFF"/>
                        <w:spacing w:val="-2"/>
                        <w:sz w:val="24"/>
                      </w:rPr>
                      <w:t>Formula</w:t>
                    </w:r>
                  </w:p>
                </w:txbxContent>
              </v:textbox>
              <w10:wrap type="none"/>
            </v:shape>
            <w10:wrap type="topAndBottom"/>
          </v:group>
        </w:pict>
      </w:r>
    </w:p>
    <w:p>
      <w:pPr>
        <w:pStyle w:val="BodyText"/>
        <w:spacing w:line="316" w:lineRule="auto" w:before="28"/>
        <w:ind w:left="1107" w:right="3806"/>
        <w:rPr>
          <w:rFonts w:ascii="Tahoma" w:hAnsi="Tahoma"/>
        </w:rPr>
      </w:pPr>
      <w:r>
        <w:rPr>
          <w:rFonts w:ascii="Tahoma" w:hAnsi="Tahoma"/>
        </w:rPr>
        <w:t>R3 = R1 + (High - Low) R2</w:t>
      </w:r>
      <w:r>
        <w:rPr>
          <w:rFonts w:ascii="Tahoma" w:hAnsi="Tahoma"/>
          <w:spacing w:val="-7"/>
        </w:rPr>
        <w:t> </w:t>
      </w:r>
      <w:r>
        <w:rPr>
          <w:rFonts w:ascii="Tahoma" w:hAnsi="Tahoma"/>
        </w:rPr>
        <w:t>=</w:t>
      </w:r>
      <w:r>
        <w:rPr>
          <w:rFonts w:ascii="Tahoma" w:hAnsi="Tahoma"/>
          <w:spacing w:val="-7"/>
        </w:rPr>
        <w:t> </w:t>
      </w:r>
      <w:r>
        <w:rPr>
          <w:rFonts w:ascii="Tahoma" w:hAnsi="Tahoma"/>
        </w:rPr>
        <w:t>Pivot</w:t>
      </w:r>
      <w:r>
        <w:rPr>
          <w:rFonts w:ascii="Tahoma" w:hAnsi="Tahoma"/>
          <w:spacing w:val="-6"/>
        </w:rPr>
        <w:t> </w:t>
      </w:r>
      <w:r>
        <w:rPr>
          <w:rFonts w:ascii="Tahoma" w:hAnsi="Tahoma"/>
        </w:rPr>
        <w:t>+</w:t>
      </w:r>
      <w:r>
        <w:rPr>
          <w:rFonts w:ascii="Tahoma" w:hAnsi="Tahoma"/>
          <w:spacing w:val="-7"/>
        </w:rPr>
        <w:t> </w:t>
      </w:r>
      <w:r>
        <w:rPr>
          <w:rFonts w:ascii="Tahoma" w:hAnsi="Tahoma"/>
        </w:rPr>
        <w:t>(High</w:t>
      </w:r>
      <w:r>
        <w:rPr>
          <w:rFonts w:ascii="Tahoma" w:hAnsi="Tahoma"/>
          <w:spacing w:val="-6"/>
        </w:rPr>
        <w:t> </w:t>
      </w:r>
      <w:r>
        <w:rPr>
          <w:rFonts w:ascii="Tahoma" w:hAnsi="Tahoma"/>
        </w:rPr>
        <w:t>-</w:t>
      </w:r>
      <w:r>
        <w:rPr>
          <w:rFonts w:ascii="Tahoma" w:hAnsi="Tahoma"/>
          <w:spacing w:val="-7"/>
        </w:rPr>
        <w:t> </w:t>
      </w:r>
      <w:r>
        <w:rPr>
          <w:rFonts w:ascii="Tahoma" w:hAnsi="Tahoma"/>
        </w:rPr>
        <w:t>Low) R1 = 2 </w:t>
      </w:r>
      <w:r>
        <w:rPr>
          <w:rFonts w:ascii="Century Gothic" w:hAnsi="Century Gothic"/>
        </w:rPr>
        <w:t>× </w:t>
      </w:r>
      <w:r>
        <w:rPr>
          <w:rFonts w:ascii="Tahoma" w:hAnsi="Tahoma"/>
        </w:rPr>
        <w:t>Pivot - Low</w:t>
      </w:r>
    </w:p>
    <w:p>
      <w:pPr>
        <w:pStyle w:val="BodyText"/>
        <w:spacing w:line="316" w:lineRule="auto" w:before="11"/>
        <w:ind w:left="1107" w:right="3102"/>
        <w:rPr>
          <w:rFonts w:ascii="Tahoma" w:hAnsi="Tahoma"/>
        </w:rPr>
      </w:pPr>
      <w:r>
        <w:rPr/>
        <w:pict>
          <v:rect style="position:absolute;margin-left:78.959999pt;margin-top:-38.064644pt;width:292.02pt;height:.48001pt;mso-position-horizontal-relative:page;mso-position-vertical-relative:paragraph;z-index:15794176" id="docshape428" filled="true" fillcolor="#000000" stroked="false">
            <v:fill type="solid"/>
            <w10:wrap type="none"/>
          </v:rect>
        </w:pict>
      </w:r>
      <w:r>
        <w:rPr/>
        <w:pict>
          <v:rect style="position:absolute;margin-left:78.959999pt;margin-top:-20.064644pt;width:292.02pt;height:.48001pt;mso-position-horizontal-relative:page;mso-position-vertical-relative:paragraph;z-index:15794688" id="docshape429" filled="true" fillcolor="#000000" stroked="false">
            <v:fill type="solid"/>
            <w10:wrap type="none"/>
          </v:rect>
        </w:pict>
      </w:r>
      <w:r>
        <w:rPr/>
        <w:pict>
          <v:rect style="position:absolute;margin-left:78.959999pt;margin-top:-2.064614pt;width:292.02pt;height:.47998pt;mso-position-horizontal-relative:page;mso-position-vertical-relative:paragraph;z-index:15795200" id="docshape430" filled="true" fillcolor="#000000" stroked="false">
            <v:fill type="solid"/>
            <w10:wrap type="none"/>
          </v:rect>
        </w:pict>
      </w:r>
      <w:r>
        <w:rPr/>
        <w:pict>
          <v:rect style="position:absolute;margin-left:78.959999pt;margin-top:15.935387pt;width:292.02pt;height:.47998pt;mso-position-horizontal-relative:page;mso-position-vertical-relative:paragraph;z-index:15795712" id="docshape431" filled="true" fillcolor="#000000" stroked="false">
            <v:fill type="solid"/>
            <w10:wrap type="none"/>
          </v:rect>
        </w:pict>
      </w:r>
      <w:r>
        <w:rPr/>
        <w:pict>
          <v:rect style="position:absolute;margin-left:78.959999pt;margin-top:33.935387pt;width:292.02pt;height:.47998pt;mso-position-horizontal-relative:page;mso-position-vertical-relative:paragraph;z-index:15796224" id="docshape432" filled="true" fillcolor="#000000" stroked="false">
            <v:fill type="solid"/>
            <w10:wrap type="none"/>
          </v:rect>
        </w:pict>
      </w:r>
      <w:r>
        <w:rPr>
          <w:rFonts w:ascii="Tahoma" w:hAnsi="Tahoma"/>
        </w:rPr>
        <w:t>Pivot</w:t>
      </w:r>
      <w:r>
        <w:rPr>
          <w:rFonts w:ascii="Tahoma" w:hAnsi="Tahoma"/>
          <w:spacing w:val="-6"/>
        </w:rPr>
        <w:t> </w:t>
      </w:r>
      <w:r>
        <w:rPr>
          <w:rFonts w:ascii="Tahoma" w:hAnsi="Tahoma"/>
        </w:rPr>
        <w:t>=</w:t>
      </w:r>
      <w:r>
        <w:rPr>
          <w:rFonts w:ascii="Tahoma" w:hAnsi="Tahoma"/>
          <w:spacing w:val="-8"/>
        </w:rPr>
        <w:t> </w:t>
      </w:r>
      <w:r>
        <w:rPr>
          <w:rFonts w:ascii="Tahoma" w:hAnsi="Tahoma"/>
        </w:rPr>
        <w:t>(High</w:t>
      </w:r>
      <w:r>
        <w:rPr>
          <w:rFonts w:ascii="Tahoma" w:hAnsi="Tahoma"/>
          <w:spacing w:val="-8"/>
        </w:rPr>
        <w:t> </w:t>
      </w:r>
      <w:r>
        <w:rPr>
          <w:rFonts w:ascii="Tahoma" w:hAnsi="Tahoma"/>
        </w:rPr>
        <w:t>+</w:t>
      </w:r>
      <w:r>
        <w:rPr>
          <w:rFonts w:ascii="Tahoma" w:hAnsi="Tahoma"/>
          <w:spacing w:val="-8"/>
        </w:rPr>
        <w:t> </w:t>
      </w:r>
      <w:r>
        <w:rPr>
          <w:rFonts w:ascii="Tahoma" w:hAnsi="Tahoma"/>
        </w:rPr>
        <w:t>Low</w:t>
      </w:r>
      <w:r>
        <w:rPr>
          <w:rFonts w:ascii="Tahoma" w:hAnsi="Tahoma"/>
          <w:spacing w:val="-7"/>
        </w:rPr>
        <w:t> </w:t>
      </w:r>
      <w:r>
        <w:rPr>
          <w:rFonts w:ascii="Tahoma" w:hAnsi="Tahoma"/>
        </w:rPr>
        <w:t>+</w:t>
      </w:r>
      <w:r>
        <w:rPr>
          <w:rFonts w:ascii="Tahoma" w:hAnsi="Tahoma"/>
          <w:spacing w:val="-6"/>
        </w:rPr>
        <w:t> </w:t>
      </w:r>
      <w:r>
        <w:rPr>
          <w:rFonts w:ascii="Tahoma" w:hAnsi="Tahoma"/>
        </w:rPr>
        <w:t>Close)/3 S1 = 2 </w:t>
      </w:r>
      <w:r>
        <w:rPr>
          <w:rFonts w:ascii="Century Gothic" w:hAnsi="Century Gothic"/>
        </w:rPr>
        <w:t>× </w:t>
      </w:r>
      <w:r>
        <w:rPr>
          <w:rFonts w:ascii="Tahoma" w:hAnsi="Tahoma"/>
        </w:rPr>
        <w:t>Pivot - High</w:t>
      </w:r>
    </w:p>
    <w:p>
      <w:pPr>
        <w:pStyle w:val="BodyText"/>
        <w:spacing w:before="13"/>
        <w:ind w:left="1107"/>
        <w:rPr>
          <w:rFonts w:ascii="Tahoma"/>
        </w:rPr>
      </w:pPr>
      <w:r>
        <w:rPr/>
        <w:pict>
          <v:rect style="position:absolute;margin-left:78.959999pt;margin-top:16.035387pt;width:292.02pt;height:.47998pt;mso-position-horizontal-relative:page;mso-position-vertical-relative:paragraph;z-index:-15664640;mso-wrap-distance-left:0;mso-wrap-distance-right:0" id="docshape433" filled="true" fillcolor="#000000" stroked="false">
            <v:fill type="solid"/>
            <w10:wrap type="topAndBottom"/>
          </v:rect>
        </w:pict>
      </w:r>
      <w:r>
        <w:rPr>
          <w:rFonts w:ascii="Tahoma"/>
        </w:rPr>
        <w:t>S2</w:t>
      </w:r>
      <w:r>
        <w:rPr>
          <w:rFonts w:ascii="Tahoma"/>
          <w:spacing w:val="-5"/>
        </w:rPr>
        <w:t> </w:t>
      </w:r>
      <w:r>
        <w:rPr>
          <w:rFonts w:ascii="Tahoma"/>
        </w:rPr>
        <w:t>=</w:t>
      </w:r>
      <w:r>
        <w:rPr>
          <w:rFonts w:ascii="Tahoma"/>
          <w:spacing w:val="-4"/>
        </w:rPr>
        <w:t> </w:t>
      </w:r>
      <w:r>
        <w:rPr>
          <w:rFonts w:ascii="Tahoma"/>
        </w:rPr>
        <w:t>Pivot</w:t>
      </w:r>
      <w:r>
        <w:rPr>
          <w:rFonts w:ascii="Tahoma"/>
          <w:spacing w:val="-3"/>
        </w:rPr>
        <w:t> </w:t>
      </w:r>
      <w:r>
        <w:rPr>
          <w:rFonts w:ascii="Tahoma"/>
        </w:rPr>
        <w:t>-</w:t>
      </w:r>
      <w:r>
        <w:rPr>
          <w:rFonts w:ascii="Tahoma"/>
          <w:spacing w:val="-3"/>
        </w:rPr>
        <w:t> </w:t>
      </w:r>
      <w:r>
        <w:rPr>
          <w:rFonts w:ascii="Tahoma"/>
        </w:rPr>
        <w:t>(High</w:t>
      </w:r>
      <w:r>
        <w:rPr>
          <w:rFonts w:ascii="Tahoma"/>
          <w:spacing w:val="-5"/>
        </w:rPr>
        <w:t> </w:t>
      </w:r>
      <w:r>
        <w:rPr>
          <w:rFonts w:ascii="Tahoma"/>
        </w:rPr>
        <w:t>+</w:t>
      </w:r>
      <w:r>
        <w:rPr>
          <w:rFonts w:ascii="Tahoma"/>
          <w:spacing w:val="-2"/>
        </w:rPr>
        <w:t> </w:t>
      </w:r>
      <w:r>
        <w:rPr>
          <w:rFonts w:ascii="Tahoma"/>
          <w:spacing w:val="-4"/>
        </w:rPr>
        <w:t>Low)</w:t>
      </w:r>
    </w:p>
    <w:p>
      <w:pPr>
        <w:pStyle w:val="BodyText"/>
        <w:spacing w:before="42" w:after="43"/>
        <w:ind w:left="1107"/>
        <w:rPr>
          <w:rFonts w:ascii="Tahoma"/>
        </w:rPr>
      </w:pPr>
      <w:r>
        <w:rPr>
          <w:rFonts w:ascii="Tahoma"/>
        </w:rPr>
        <w:t>S3</w:t>
      </w:r>
      <w:r>
        <w:rPr>
          <w:rFonts w:ascii="Tahoma"/>
          <w:spacing w:val="-4"/>
        </w:rPr>
        <w:t> </w:t>
      </w:r>
      <w:r>
        <w:rPr>
          <w:rFonts w:ascii="Tahoma"/>
        </w:rPr>
        <w:t>=</w:t>
      </w:r>
      <w:r>
        <w:rPr>
          <w:rFonts w:ascii="Tahoma"/>
          <w:spacing w:val="-3"/>
        </w:rPr>
        <w:t> </w:t>
      </w:r>
      <w:r>
        <w:rPr>
          <w:rFonts w:ascii="Tahoma"/>
        </w:rPr>
        <w:t>S1</w:t>
      </w:r>
      <w:r>
        <w:rPr>
          <w:rFonts w:ascii="Tahoma"/>
          <w:spacing w:val="-1"/>
        </w:rPr>
        <w:t> </w:t>
      </w:r>
      <w:r>
        <w:rPr>
          <w:rFonts w:ascii="Tahoma"/>
        </w:rPr>
        <w:t>-</w:t>
      </w:r>
      <w:r>
        <w:rPr>
          <w:rFonts w:ascii="Tahoma"/>
          <w:spacing w:val="-2"/>
        </w:rPr>
        <w:t> </w:t>
      </w:r>
      <w:r>
        <w:rPr>
          <w:rFonts w:ascii="Tahoma"/>
        </w:rPr>
        <w:t>(High</w:t>
      </w:r>
      <w:r>
        <w:rPr>
          <w:rFonts w:ascii="Tahoma"/>
          <w:spacing w:val="-3"/>
        </w:rPr>
        <w:t> </w:t>
      </w:r>
      <w:r>
        <w:rPr>
          <w:rFonts w:ascii="Tahoma"/>
        </w:rPr>
        <w:t>-</w:t>
      </w:r>
      <w:r>
        <w:rPr>
          <w:rFonts w:ascii="Tahoma"/>
          <w:spacing w:val="-1"/>
        </w:rPr>
        <w:t> </w:t>
      </w:r>
      <w:r>
        <w:rPr>
          <w:rFonts w:ascii="Tahoma"/>
          <w:spacing w:val="-4"/>
        </w:rPr>
        <w:t>Low)</w:t>
      </w:r>
    </w:p>
    <w:p>
      <w:pPr>
        <w:pStyle w:val="BodyText"/>
        <w:spacing w:line="20" w:lineRule="exact"/>
        <w:ind w:left="984"/>
        <w:rPr>
          <w:rFonts w:ascii="Tahoma"/>
          <w:sz w:val="2"/>
        </w:rPr>
      </w:pPr>
      <w:r>
        <w:rPr>
          <w:rFonts w:ascii="Tahoma"/>
          <w:sz w:val="2"/>
        </w:rPr>
        <w:pict>
          <v:group style="width:292.75pt;height:.5pt;mso-position-horizontal-relative:char;mso-position-vertical-relative:line" id="docshapegroup434" coordorigin="0,0" coordsize="5855,10">
            <v:rect style="position:absolute;left:0;top:0;width:5855;height:10" id="docshape435" filled="true" fillcolor="#000000" stroked="false">
              <v:fill type="solid"/>
            </v:rect>
          </v:group>
        </w:pict>
      </w:r>
      <w:r>
        <w:rPr>
          <w:rFonts w:ascii="Tahoma"/>
          <w:sz w:val="2"/>
        </w:rPr>
      </w:r>
    </w:p>
    <w:p>
      <w:pPr>
        <w:spacing w:before="0"/>
        <w:ind w:left="931" w:right="0" w:firstLine="0"/>
        <w:jc w:val="left"/>
        <w:rPr>
          <w:sz w:val="16"/>
        </w:rPr>
      </w:pPr>
      <w:r>
        <w:rPr>
          <w:sz w:val="16"/>
        </w:rPr>
        <w:t>TABLE</w:t>
      </w:r>
      <w:r>
        <w:rPr>
          <w:spacing w:val="10"/>
          <w:sz w:val="16"/>
        </w:rPr>
        <w:t> </w:t>
      </w:r>
      <w:r>
        <w:rPr>
          <w:sz w:val="16"/>
        </w:rPr>
        <w:t>5.1:</w:t>
      </w:r>
      <w:r>
        <w:rPr>
          <w:spacing w:val="10"/>
          <w:sz w:val="16"/>
        </w:rPr>
        <w:t> </w:t>
      </w:r>
      <w:r>
        <w:rPr>
          <w:sz w:val="16"/>
        </w:rPr>
        <w:t>Standard</w:t>
      </w:r>
      <w:r>
        <w:rPr>
          <w:spacing w:val="11"/>
          <w:sz w:val="16"/>
        </w:rPr>
        <w:t> </w:t>
      </w:r>
      <w:r>
        <w:rPr>
          <w:spacing w:val="-2"/>
          <w:sz w:val="16"/>
        </w:rPr>
        <w:t>Formula</w:t>
      </w:r>
    </w:p>
    <w:p>
      <w:pPr>
        <w:pStyle w:val="BodyText"/>
        <w:rPr>
          <w:sz w:val="19"/>
        </w:rPr>
      </w:pPr>
      <w:r>
        <w:rPr/>
        <w:pict>
          <v:group style="position:absolute;margin-left:79.785004pt;margin-top:12.165761pt;width:290.7pt;height:209.8pt;mso-position-horizontal-relative:page;mso-position-vertical-relative:paragraph;z-index:-15663616;mso-wrap-distance-left:0;mso-wrap-distance-right:0" id="docshapegroup436" coordorigin="1596,243" coordsize="5814,4196">
            <v:shape style="position:absolute;left:1603;top:250;width:5799;height:4181" id="docshape437" coordorigin="1603,251" coordsize="5799,4181" path="m7397,251l1603,251,1603,4432,7397,4432,7397,251xm7402,257l1608,257,1608,804,7402,804,7402,257xe" filled="false" stroked="true" strokeweight=".75pt" strokecolor="#000000">
              <v:path arrowok="t"/>
              <v:stroke dashstyle="solid"/>
            </v:shape>
            <v:line style="position:absolute" from="3542,1021" to="6042,1021" stroked="true" strokeweight=".75pt" strokecolor="#000000">
              <v:stroke dashstyle="solid"/>
            </v:line>
            <v:line style="position:absolute" from="3542,1448" to="6042,1448" stroked="true" strokeweight=".75pt" strokecolor="#000000">
              <v:stroke dashstyle="solid"/>
            </v:line>
            <v:line style="position:absolute" from="3542,4174" to="6042,4175" stroked="true" strokeweight=".75pt" strokecolor="#000000">
              <v:stroke dashstyle="solid"/>
            </v:line>
            <v:line style="position:absolute" from="3542,3727" to="6042,3727" stroked="true" strokeweight=".75pt" strokecolor="#000000">
              <v:stroke dashstyle="solid"/>
            </v:line>
            <v:line style="position:absolute" from="3542,1908" to="6042,1908" stroked="true" strokeweight=".75pt" strokecolor="#000000">
              <v:stroke dashstyle="solid"/>
            </v:line>
            <v:line style="position:absolute" from="3542,3296" to="6042,3296" stroked="true" strokeweight=".75pt" strokecolor="#000000">
              <v:stroke dashstyle="solid"/>
            </v:line>
            <v:line style="position:absolute" from="3542,2610" to="6042,2610" stroked="true" strokeweight=".75pt" strokecolor="#000000">
              <v:stroke dashstyle="solid"/>
            </v:line>
            <v:shape style="position:absolute;left:3079;top:3222;width:241;height:1080" type="#_x0000_t202" id="docshape438" filled="false" stroked="false">
              <v:textbox inset="0,0,0,0">
                <w:txbxContent>
                  <w:p>
                    <w:pPr>
                      <w:spacing w:line="199" w:lineRule="exact" w:before="0"/>
                      <w:ind w:left="0" w:right="0" w:firstLine="0"/>
                      <w:jc w:val="left"/>
                      <w:rPr>
                        <w:rFonts w:ascii="Tahoma"/>
                        <w:sz w:val="20"/>
                      </w:rPr>
                    </w:pPr>
                    <w:r>
                      <w:rPr>
                        <w:rFonts w:ascii="Tahoma"/>
                        <w:spacing w:val="-5"/>
                        <w:sz w:val="20"/>
                      </w:rPr>
                      <w:t>S1</w:t>
                    </w:r>
                  </w:p>
                  <w:p>
                    <w:pPr>
                      <w:spacing w:line="446" w:lineRule="exact" w:before="0"/>
                      <w:ind w:left="0" w:right="10" w:firstLine="0"/>
                      <w:jc w:val="left"/>
                      <w:rPr>
                        <w:rFonts w:ascii="Tahoma"/>
                        <w:sz w:val="20"/>
                      </w:rPr>
                    </w:pPr>
                    <w:r>
                      <w:rPr>
                        <w:rFonts w:ascii="Tahoma"/>
                        <w:spacing w:val="-6"/>
                        <w:sz w:val="20"/>
                      </w:rPr>
                      <w:t>S2 </w:t>
                    </w:r>
                    <w:r>
                      <w:rPr>
                        <w:rFonts w:ascii="Tahoma"/>
                        <w:spacing w:val="-5"/>
                        <w:sz w:val="20"/>
                      </w:rPr>
                      <w:t>S3</w:t>
                    </w:r>
                  </w:p>
                </w:txbxContent>
              </v:textbox>
              <w10:wrap type="none"/>
            </v:shape>
            <v:shape style="position:absolute;left:2738;top:2519;width:585;height:201" type="#_x0000_t202" id="docshape439" filled="false" stroked="false">
              <v:textbox inset="0,0,0,0">
                <w:txbxContent>
                  <w:p>
                    <w:pPr>
                      <w:spacing w:line="199" w:lineRule="exact" w:before="0"/>
                      <w:ind w:left="0" w:right="0" w:firstLine="0"/>
                      <w:jc w:val="left"/>
                      <w:rPr>
                        <w:rFonts w:ascii="Tahoma"/>
                        <w:sz w:val="20"/>
                      </w:rPr>
                    </w:pPr>
                    <w:r>
                      <w:rPr>
                        <w:rFonts w:ascii="Tahoma"/>
                        <w:spacing w:val="-2"/>
                        <w:sz w:val="20"/>
                      </w:rPr>
                      <w:t>PIVOT</w:t>
                    </w:r>
                  </w:p>
                </w:txbxContent>
              </v:textbox>
              <w10:wrap type="none"/>
            </v:shape>
            <v:shape style="position:absolute;left:3072;top:948;width:255;height:1095" type="#_x0000_t202" id="docshape440" filled="false" stroked="false">
              <v:textbox inset="0,0,0,0">
                <w:txbxContent>
                  <w:p>
                    <w:pPr>
                      <w:spacing w:line="199" w:lineRule="exact" w:before="0"/>
                      <w:ind w:left="0" w:right="0" w:firstLine="0"/>
                      <w:jc w:val="left"/>
                      <w:rPr>
                        <w:rFonts w:ascii="Tahoma"/>
                        <w:sz w:val="20"/>
                      </w:rPr>
                    </w:pPr>
                    <w:r>
                      <w:rPr>
                        <w:rFonts w:ascii="Tahoma"/>
                        <w:spacing w:val="-5"/>
                        <w:sz w:val="20"/>
                      </w:rPr>
                      <w:t>R3</w:t>
                    </w:r>
                  </w:p>
                  <w:p>
                    <w:pPr>
                      <w:spacing w:line="464" w:lineRule="exact" w:before="0"/>
                      <w:ind w:left="0" w:right="11" w:firstLine="0"/>
                      <w:jc w:val="left"/>
                      <w:rPr>
                        <w:rFonts w:ascii="Tahoma"/>
                        <w:sz w:val="20"/>
                      </w:rPr>
                    </w:pPr>
                    <w:r>
                      <w:rPr>
                        <w:rFonts w:ascii="Tahoma"/>
                        <w:spacing w:val="-6"/>
                        <w:sz w:val="20"/>
                      </w:rPr>
                      <w:t>R2 </w:t>
                    </w:r>
                    <w:r>
                      <w:rPr>
                        <w:rFonts w:ascii="Tahoma"/>
                        <w:spacing w:val="-5"/>
                        <w:sz w:val="20"/>
                      </w:rPr>
                      <w:t>R1</w:t>
                    </w:r>
                  </w:p>
                </w:txbxContent>
              </v:textbox>
              <w10:wrap type="none"/>
            </v:shape>
            <v:shape style="position:absolute;left:1600;top:243;width:5809;height:569" type="#_x0000_t202" id="docshape441" filled="true" fillcolor="#000000" stroked="false">
              <v:textbox inset="0,0,0,0">
                <w:txbxContent>
                  <w:p>
                    <w:pPr>
                      <w:spacing w:before="92"/>
                      <w:ind w:left="1393" w:right="0" w:firstLine="0"/>
                      <w:jc w:val="left"/>
                      <w:rPr>
                        <w:rFonts w:ascii="Verdana"/>
                        <w:color w:val="000000"/>
                        <w:sz w:val="28"/>
                      </w:rPr>
                    </w:pPr>
                    <w:r>
                      <w:rPr>
                        <w:rFonts w:ascii="Verdana"/>
                        <w:color w:val="FFFFFF"/>
                        <w:sz w:val="28"/>
                      </w:rPr>
                      <w:t>Standard</w:t>
                    </w:r>
                    <w:r>
                      <w:rPr>
                        <w:rFonts w:ascii="Verdana"/>
                        <w:color w:val="FFFFFF"/>
                        <w:spacing w:val="-17"/>
                        <w:sz w:val="28"/>
                      </w:rPr>
                      <w:t> </w:t>
                    </w:r>
                    <w:r>
                      <w:rPr>
                        <w:rFonts w:ascii="Verdana"/>
                        <w:color w:val="FFFFFF"/>
                        <w:sz w:val="28"/>
                      </w:rPr>
                      <w:t>Floor</w:t>
                    </w:r>
                    <w:r>
                      <w:rPr>
                        <w:rFonts w:ascii="Verdana"/>
                        <w:color w:val="FFFFFF"/>
                        <w:spacing w:val="-15"/>
                        <w:sz w:val="28"/>
                      </w:rPr>
                      <w:t> </w:t>
                    </w:r>
                    <w:r>
                      <w:rPr>
                        <w:rFonts w:ascii="Verdana"/>
                        <w:color w:val="FFFFFF"/>
                        <w:spacing w:val="-2"/>
                        <w:sz w:val="28"/>
                      </w:rPr>
                      <w:t>Pivots</w:t>
                    </w:r>
                  </w:p>
                </w:txbxContent>
              </v:textbox>
              <v:fill type="solid"/>
              <w10:wrap type="none"/>
            </v:shape>
            <w10:wrap type="topAndBottom"/>
          </v:group>
        </w:pict>
      </w:r>
    </w:p>
    <w:p>
      <w:pPr>
        <w:spacing w:before="0"/>
        <w:ind w:left="989" w:right="0" w:firstLine="0"/>
        <w:jc w:val="left"/>
        <w:rPr>
          <w:sz w:val="16"/>
        </w:rPr>
      </w:pPr>
      <w:r>
        <w:rPr>
          <w:sz w:val="16"/>
        </w:rPr>
        <w:t>FIGURE</w:t>
      </w:r>
      <w:r>
        <w:rPr>
          <w:spacing w:val="10"/>
          <w:sz w:val="16"/>
        </w:rPr>
        <w:t> </w:t>
      </w:r>
      <w:r>
        <w:rPr>
          <w:sz w:val="16"/>
        </w:rPr>
        <w:t>5.1:</w:t>
      </w:r>
      <w:r>
        <w:rPr>
          <w:spacing w:val="11"/>
          <w:sz w:val="16"/>
        </w:rPr>
        <w:t> </w:t>
      </w:r>
      <w:r>
        <w:rPr>
          <w:sz w:val="16"/>
        </w:rPr>
        <w:t>Standard</w:t>
      </w:r>
      <w:r>
        <w:rPr>
          <w:spacing w:val="11"/>
          <w:sz w:val="16"/>
        </w:rPr>
        <w:t> </w:t>
      </w:r>
      <w:r>
        <w:rPr>
          <w:sz w:val="16"/>
        </w:rPr>
        <w:t>Floor</w:t>
      </w:r>
      <w:r>
        <w:rPr>
          <w:spacing w:val="11"/>
          <w:sz w:val="16"/>
        </w:rPr>
        <w:t> </w:t>
      </w:r>
      <w:r>
        <w:rPr>
          <w:spacing w:val="-2"/>
          <w:sz w:val="16"/>
        </w:rPr>
        <w:t>Pivots</w:t>
      </w:r>
    </w:p>
    <w:p>
      <w:pPr>
        <w:spacing w:after="0"/>
        <w:jc w:val="left"/>
        <w:rPr>
          <w:sz w:val="16"/>
        </w:rPr>
        <w:sectPr>
          <w:pgSz w:w="8640" w:h="12960"/>
          <w:pgMar w:header="536" w:footer="1060" w:top="720" w:bottom="1260" w:left="580" w:right="580"/>
        </w:sectPr>
      </w:pPr>
    </w:p>
    <w:p>
      <w:pPr>
        <w:pStyle w:val="BodyText"/>
        <w:spacing w:before="1"/>
        <w:rPr>
          <w:sz w:val="14"/>
        </w:rPr>
      </w:pPr>
    </w:p>
    <w:p>
      <w:pPr>
        <w:pStyle w:val="Heading3"/>
        <w:tabs>
          <w:tab w:pos="6955" w:val="left" w:leader="none"/>
        </w:tabs>
        <w:spacing w:before="113"/>
      </w:pPr>
      <w:bookmarkStart w:name="_TOC_250050" w:id="41"/>
      <w:r>
        <w:rPr>
          <w:smallCaps/>
          <w:u w:val="single"/>
        </w:rPr>
        <w:t>The</w:t>
      </w:r>
      <w:r>
        <w:rPr>
          <w:smallCaps/>
          <w:spacing w:val="-14"/>
          <w:u w:val="single"/>
        </w:rPr>
        <w:t> </w:t>
      </w:r>
      <w:r>
        <w:rPr>
          <w:smallCaps/>
          <w:u w:val="single"/>
        </w:rPr>
        <w:t>Expanded</w:t>
      </w:r>
      <w:r>
        <w:rPr>
          <w:smallCaps/>
          <w:spacing w:val="-14"/>
          <w:u w:val="single"/>
        </w:rPr>
        <w:t> </w:t>
      </w:r>
      <w:r>
        <w:rPr>
          <w:smallCaps/>
          <w:u w:val="single"/>
        </w:rPr>
        <w:t>Floor</w:t>
      </w:r>
      <w:r>
        <w:rPr>
          <w:smallCaps/>
          <w:spacing w:val="-14"/>
          <w:u w:val="single"/>
        </w:rPr>
        <w:t> </w:t>
      </w:r>
      <w:r>
        <w:rPr>
          <w:smallCaps/>
          <w:u w:val="single"/>
        </w:rPr>
        <w:t>Pivots</w:t>
      </w:r>
      <w:r>
        <w:rPr>
          <w:smallCaps/>
          <w:spacing w:val="-13"/>
          <w:u w:val="single"/>
        </w:rPr>
        <w:t> </w:t>
      </w:r>
      <w:r>
        <w:rPr>
          <w:smallCaps/>
          <w:spacing w:val="-2"/>
          <w:u w:val="single"/>
        </w:rPr>
        <w:t>Formula</w:t>
      </w:r>
      <w:bookmarkEnd w:id="41"/>
      <w:r>
        <w:rPr>
          <w:smallCaps/>
          <w:u w:val="single"/>
        </w:rPr>
        <w:tab/>
      </w:r>
    </w:p>
    <w:p>
      <w:pPr>
        <w:pStyle w:val="BodyText"/>
        <w:spacing w:before="254"/>
        <w:ind w:left="140" w:right="494" w:firstLine="432"/>
        <w:jc w:val="both"/>
      </w:pPr>
      <w:r>
        <w:rPr/>
        <w:t>I did take liberty with the formula by adding four more levels to the charts that, in my opinion, make the indicator exponentially more dynamic. Given today’s volatile markets, a third level of support and resistance can be quite shallow due to the explosive moves we see today. As a matter of fact, the volatility was even less of a factor in 1979, as the formula that Williams produced</w:t>
      </w:r>
      <w:r>
        <w:rPr>
          <w:spacing w:val="-3"/>
        </w:rPr>
        <w:t> </w:t>
      </w:r>
      <w:r>
        <w:rPr/>
        <w:t>only</w:t>
      </w:r>
      <w:r>
        <w:rPr>
          <w:spacing w:val="-5"/>
        </w:rPr>
        <w:t> </w:t>
      </w:r>
      <w:r>
        <w:rPr/>
        <w:t>offered</w:t>
      </w:r>
      <w:r>
        <w:rPr>
          <w:spacing w:val="-3"/>
        </w:rPr>
        <w:t> </w:t>
      </w:r>
      <w:r>
        <w:rPr/>
        <w:t>two</w:t>
      </w:r>
      <w:r>
        <w:rPr>
          <w:spacing w:val="-3"/>
        </w:rPr>
        <w:t> </w:t>
      </w:r>
      <w:r>
        <w:rPr/>
        <w:t>levels</w:t>
      </w:r>
      <w:r>
        <w:rPr>
          <w:spacing w:val="-3"/>
        </w:rPr>
        <w:t> </w:t>
      </w:r>
      <w:r>
        <w:rPr/>
        <w:t>of</w:t>
      </w:r>
      <w:r>
        <w:rPr>
          <w:spacing w:val="-3"/>
        </w:rPr>
        <w:t> </w:t>
      </w:r>
      <w:r>
        <w:rPr/>
        <w:t>support</w:t>
      </w:r>
      <w:r>
        <w:rPr>
          <w:spacing w:val="-4"/>
        </w:rPr>
        <w:t> </w:t>
      </w:r>
      <w:r>
        <w:rPr/>
        <w:t>and</w:t>
      </w:r>
      <w:r>
        <w:rPr>
          <w:spacing w:val="-3"/>
        </w:rPr>
        <w:t> </w:t>
      </w:r>
      <w:r>
        <w:rPr/>
        <w:t>resistance.</w:t>
      </w:r>
      <w:r>
        <w:rPr>
          <w:spacing w:val="-4"/>
        </w:rPr>
        <w:t> </w:t>
      </w:r>
      <w:r>
        <w:rPr/>
        <w:t>However,</w:t>
      </w:r>
      <w:r>
        <w:rPr>
          <w:spacing w:val="-3"/>
        </w:rPr>
        <w:t> </w:t>
      </w:r>
      <w:r>
        <w:rPr/>
        <w:t>I</w:t>
      </w:r>
      <w:r>
        <w:rPr>
          <w:spacing w:val="-4"/>
        </w:rPr>
        <w:t> </w:t>
      </w:r>
      <w:r>
        <w:rPr/>
        <w:t>added a fourth level of support (S4) and resistance (R4) to the equation that falls in line with the general theme of the original levels. Moreover, taking a page</w:t>
      </w:r>
      <w:r>
        <w:rPr>
          <w:spacing w:val="40"/>
        </w:rPr>
        <w:t> </w:t>
      </w:r>
      <w:r>
        <w:rPr/>
        <w:t>out of Mark Fisher’s book </w:t>
      </w:r>
      <w:r>
        <w:rPr>
          <w:i/>
        </w:rPr>
        <w:t>The Logical Trader</w:t>
      </w:r>
      <w:r>
        <w:rPr/>
        <w:t>, I added the pivot range (TC and</w:t>
      </w:r>
      <w:r>
        <w:rPr>
          <w:spacing w:val="-3"/>
        </w:rPr>
        <w:t> </w:t>
      </w:r>
      <w:r>
        <w:rPr/>
        <w:t>BC)</w:t>
      </w:r>
      <w:r>
        <w:rPr>
          <w:spacing w:val="-3"/>
        </w:rPr>
        <w:t> </w:t>
      </w:r>
      <w:r>
        <w:rPr/>
        <w:t>to</w:t>
      </w:r>
      <w:r>
        <w:rPr>
          <w:spacing w:val="-3"/>
        </w:rPr>
        <w:t> </w:t>
      </w:r>
      <w:r>
        <w:rPr/>
        <w:t>the</w:t>
      </w:r>
      <w:r>
        <w:rPr>
          <w:spacing w:val="-3"/>
        </w:rPr>
        <w:t> </w:t>
      </w:r>
      <w:r>
        <w:rPr/>
        <w:t>indicator,</w:t>
      </w:r>
      <w:r>
        <w:rPr>
          <w:spacing w:val="-3"/>
        </w:rPr>
        <w:t> </w:t>
      </w:r>
      <w:r>
        <w:rPr/>
        <w:t>which</w:t>
      </w:r>
      <w:r>
        <w:rPr>
          <w:spacing w:val="-3"/>
        </w:rPr>
        <w:t> </w:t>
      </w:r>
      <w:r>
        <w:rPr/>
        <w:t>in</w:t>
      </w:r>
      <w:r>
        <w:rPr>
          <w:spacing w:val="-3"/>
        </w:rPr>
        <w:t> </w:t>
      </w:r>
      <w:r>
        <w:rPr/>
        <w:t>itself</w:t>
      </w:r>
      <w:r>
        <w:rPr>
          <w:spacing w:val="-3"/>
        </w:rPr>
        <w:t> </w:t>
      </w:r>
      <w:r>
        <w:rPr/>
        <w:t>is</w:t>
      </w:r>
      <w:r>
        <w:rPr>
          <w:spacing w:val="-3"/>
        </w:rPr>
        <w:t> </w:t>
      </w:r>
      <w:r>
        <w:rPr/>
        <w:t>extremely</w:t>
      </w:r>
      <w:r>
        <w:rPr>
          <w:spacing w:val="-3"/>
        </w:rPr>
        <w:t> </w:t>
      </w:r>
      <w:r>
        <w:rPr/>
        <w:t>powerful.</w:t>
      </w:r>
      <w:r>
        <w:rPr>
          <w:spacing w:val="-3"/>
        </w:rPr>
        <w:t> </w:t>
      </w:r>
      <w:r>
        <w:rPr/>
        <w:t>We</w:t>
      </w:r>
      <w:r>
        <w:rPr>
          <w:spacing w:val="-4"/>
        </w:rPr>
        <w:t> </w:t>
      </w:r>
      <w:r>
        <w:rPr/>
        <w:t>will</w:t>
      </w:r>
      <w:r>
        <w:rPr>
          <w:spacing w:val="-3"/>
        </w:rPr>
        <w:t> </w:t>
      </w:r>
      <w:r>
        <w:rPr/>
        <w:t>cover the pivot range in extensive detail in Chapter 6. The expanded formula is as </w:t>
      </w:r>
      <w:r>
        <w:rPr>
          <w:spacing w:val="-2"/>
        </w:rPr>
        <w:t>follows:</w:t>
      </w:r>
    </w:p>
    <w:p>
      <w:pPr>
        <w:pStyle w:val="BodyText"/>
        <w:spacing w:before="2"/>
        <w:rPr>
          <w:sz w:val="20"/>
        </w:rPr>
      </w:pPr>
      <w:r>
        <w:rPr/>
        <w:pict>
          <v:group style="position:absolute;margin-left:60.48pt;margin-top:12.8133pt;width:293pt;height:18pt;mso-position-horizontal-relative:page;mso-position-vertical-relative:paragraph;z-index:-15660544;mso-wrap-distance-left:0;mso-wrap-distance-right:0" id="docshapegroup442" coordorigin="1210,256" coordsize="5860,360">
            <v:rect style="position:absolute;left:1228;top:275;width:5822;height:341" id="docshape443" filled="true" fillcolor="#000000" stroked="false">
              <v:fill type="solid"/>
            </v:rect>
            <v:shape style="position:absolute;left:1209;top:256;width:5841;height:21" id="docshape444" coordorigin="1210,256" coordsize="5841,21" path="m7050,256l1229,256,1210,256,1210,275,1210,277,1229,277,1229,275,7050,275,7050,256xe" filled="true" fillcolor="#3f3f3f" stroked="false">
              <v:path arrowok="t"/>
              <v:fill type="solid"/>
            </v:shape>
            <v:rect style="position:absolute;left:1228;top:275;width:5822;height:2" id="docshape445" filled="true" fillcolor="#000000" stroked="false">
              <v:fill type="solid"/>
            </v:rect>
            <v:shape style="position:absolute;left:1209;top:256;width:5860;height:360" id="docshape446" coordorigin="1210,256" coordsize="5860,360" path="m1229,277l1210,277,1210,616,1229,616,1229,277xm7069,256l7050,256,7050,275,7050,277,7050,616,7069,616,7069,277,7069,275,7069,256xe" filled="true" fillcolor="#3f3f3f" stroked="false">
              <v:path arrowok="t"/>
              <v:fill type="solid"/>
            </v:shape>
            <v:shape style="position:absolute;left:1228;top:276;width:5822;height:340" type="#_x0000_t202" id="docshape447" filled="false" stroked="false">
              <v:textbox inset="0,0,0,0">
                <w:txbxContent>
                  <w:p>
                    <w:pPr>
                      <w:spacing w:before="22"/>
                      <w:ind w:left="1041" w:right="0" w:firstLine="0"/>
                      <w:jc w:val="left"/>
                      <w:rPr>
                        <w:rFonts w:ascii="Verdana"/>
                        <w:sz w:val="24"/>
                      </w:rPr>
                    </w:pPr>
                    <w:r>
                      <w:rPr>
                        <w:rFonts w:ascii="Verdana"/>
                        <w:color w:val="FFFFFF"/>
                        <w:sz w:val="24"/>
                      </w:rPr>
                      <w:t>Expanded</w:t>
                    </w:r>
                    <w:r>
                      <w:rPr>
                        <w:rFonts w:ascii="Verdana"/>
                        <w:color w:val="FFFFFF"/>
                        <w:spacing w:val="-9"/>
                        <w:sz w:val="24"/>
                      </w:rPr>
                      <w:t> </w:t>
                    </w:r>
                    <w:r>
                      <w:rPr>
                        <w:rFonts w:ascii="Verdana"/>
                        <w:color w:val="FFFFFF"/>
                        <w:sz w:val="24"/>
                      </w:rPr>
                      <w:t>Floor</w:t>
                    </w:r>
                    <w:r>
                      <w:rPr>
                        <w:rFonts w:ascii="Verdana"/>
                        <w:color w:val="FFFFFF"/>
                        <w:spacing w:val="-9"/>
                        <w:sz w:val="24"/>
                      </w:rPr>
                      <w:t> </w:t>
                    </w:r>
                    <w:r>
                      <w:rPr>
                        <w:rFonts w:ascii="Verdana"/>
                        <w:color w:val="FFFFFF"/>
                        <w:sz w:val="24"/>
                      </w:rPr>
                      <w:t>Pivots</w:t>
                    </w:r>
                    <w:r>
                      <w:rPr>
                        <w:rFonts w:ascii="Verdana"/>
                        <w:color w:val="FFFFFF"/>
                        <w:spacing w:val="-9"/>
                        <w:sz w:val="24"/>
                      </w:rPr>
                      <w:t> </w:t>
                    </w:r>
                    <w:r>
                      <w:rPr>
                        <w:rFonts w:ascii="Verdana"/>
                        <w:color w:val="FFFFFF"/>
                        <w:spacing w:val="-2"/>
                        <w:sz w:val="24"/>
                      </w:rPr>
                      <w:t>Formula</w:t>
                    </w:r>
                  </w:p>
                </w:txbxContent>
              </v:textbox>
              <w10:wrap type="none"/>
            </v:shape>
            <w10:wrap type="topAndBottom"/>
          </v:group>
        </w:pict>
      </w:r>
    </w:p>
    <w:p>
      <w:pPr>
        <w:pStyle w:val="BodyText"/>
        <w:spacing w:before="28" w:after="30"/>
        <w:ind w:left="747"/>
        <w:rPr>
          <w:rFonts w:ascii="Tahoma"/>
        </w:rPr>
      </w:pPr>
      <w:r>
        <w:rPr>
          <w:rFonts w:ascii="Tahoma"/>
        </w:rPr>
        <w:t>R4</w:t>
      </w:r>
      <w:r>
        <w:rPr>
          <w:rFonts w:ascii="Tahoma"/>
          <w:spacing w:val="-3"/>
        </w:rPr>
        <w:t> </w:t>
      </w:r>
      <w:r>
        <w:rPr>
          <w:rFonts w:ascii="Tahoma"/>
        </w:rPr>
        <w:t>=</w:t>
      </w:r>
      <w:r>
        <w:rPr>
          <w:rFonts w:ascii="Tahoma"/>
          <w:spacing w:val="-2"/>
        </w:rPr>
        <w:t> </w:t>
      </w:r>
      <w:r>
        <w:rPr>
          <w:rFonts w:ascii="Tahoma"/>
        </w:rPr>
        <w:t>R3</w:t>
      </w:r>
      <w:r>
        <w:rPr>
          <w:rFonts w:ascii="Tahoma"/>
          <w:spacing w:val="-2"/>
        </w:rPr>
        <w:t> </w:t>
      </w:r>
      <w:r>
        <w:rPr>
          <w:rFonts w:ascii="Tahoma"/>
        </w:rPr>
        <w:t>+</w:t>
      </w:r>
      <w:r>
        <w:rPr>
          <w:rFonts w:ascii="Tahoma"/>
          <w:spacing w:val="-1"/>
        </w:rPr>
        <w:t> </w:t>
      </w:r>
      <w:r>
        <w:rPr>
          <w:rFonts w:ascii="Tahoma"/>
        </w:rPr>
        <w:t>(R2</w:t>
      </w:r>
      <w:r>
        <w:rPr>
          <w:rFonts w:ascii="Tahoma"/>
          <w:spacing w:val="-2"/>
        </w:rPr>
        <w:t> </w:t>
      </w:r>
      <w:r>
        <w:rPr>
          <w:rFonts w:ascii="Tahoma"/>
        </w:rPr>
        <w:t>-</w:t>
      </w:r>
      <w:r>
        <w:rPr>
          <w:rFonts w:ascii="Tahoma"/>
          <w:spacing w:val="-3"/>
        </w:rPr>
        <w:t> </w:t>
      </w:r>
      <w:r>
        <w:rPr>
          <w:rFonts w:ascii="Tahoma"/>
          <w:spacing w:val="-5"/>
        </w:rPr>
        <w:t>R1)</w:t>
      </w:r>
    </w:p>
    <w:p>
      <w:pPr>
        <w:pStyle w:val="BodyText"/>
        <w:spacing w:line="20" w:lineRule="exact"/>
        <w:ind w:left="639"/>
        <w:rPr>
          <w:rFonts w:ascii="Tahoma"/>
          <w:sz w:val="2"/>
        </w:rPr>
      </w:pPr>
      <w:r>
        <w:rPr>
          <w:rFonts w:ascii="Tahoma"/>
          <w:sz w:val="2"/>
        </w:rPr>
        <w:pict>
          <v:group style="width:292.05pt;height:.5pt;mso-position-horizontal-relative:char;mso-position-vertical-relative:line" id="docshapegroup448" coordorigin="0,0" coordsize="5841,10">
            <v:rect style="position:absolute;left:0;top:0;width:5841;height:10" id="docshape449" filled="true" fillcolor="#000000" stroked="false">
              <v:fill type="solid"/>
            </v:rect>
          </v:group>
        </w:pict>
      </w:r>
      <w:r>
        <w:rPr>
          <w:rFonts w:ascii="Tahoma"/>
          <w:sz w:val="2"/>
        </w:rPr>
      </w:r>
    </w:p>
    <w:p>
      <w:pPr>
        <w:pStyle w:val="BodyText"/>
        <w:spacing w:line="316" w:lineRule="auto" w:before="18"/>
        <w:ind w:left="747" w:right="4166"/>
        <w:rPr>
          <w:rFonts w:ascii="Tahoma" w:hAnsi="Tahoma"/>
        </w:rPr>
      </w:pPr>
      <w:r>
        <w:rPr/>
        <w:pict>
          <v:rect style="position:absolute;margin-left:60.959999pt;margin-top:15.685635pt;width:292.02pt;height:.48001pt;mso-position-horizontal-relative:page;mso-position-vertical-relative:paragraph;z-index:15799296" id="docshape450" filled="true" fillcolor="#000000" stroked="false">
            <v:fill type="solid"/>
            <w10:wrap type="none"/>
          </v:rect>
        </w:pict>
      </w:r>
      <w:r>
        <w:rPr/>
        <w:pict>
          <v:rect style="position:absolute;margin-left:60.959999pt;margin-top:33.685635pt;width:292.02pt;height:.48001pt;mso-position-horizontal-relative:page;mso-position-vertical-relative:paragraph;z-index:15799808" id="docshape451" filled="true" fillcolor="#000000" stroked="false">
            <v:fill type="solid"/>
            <w10:wrap type="none"/>
          </v:rect>
        </w:pict>
      </w:r>
      <w:r>
        <w:rPr/>
        <w:pict>
          <v:rect style="position:absolute;margin-left:60.959999pt;margin-top:51.685635pt;width:292.02pt;height:.48001pt;mso-position-horizontal-relative:page;mso-position-vertical-relative:paragraph;z-index:15800320" id="docshape452" filled="true" fillcolor="#000000" stroked="false">
            <v:fill type="solid"/>
            <w10:wrap type="none"/>
          </v:rect>
        </w:pict>
      </w:r>
      <w:r>
        <w:rPr>
          <w:rFonts w:ascii="Tahoma" w:hAnsi="Tahoma"/>
        </w:rPr>
        <w:t>R3 = R1 + (High - Low) R2</w:t>
      </w:r>
      <w:r>
        <w:rPr>
          <w:rFonts w:ascii="Tahoma" w:hAnsi="Tahoma"/>
          <w:spacing w:val="-7"/>
        </w:rPr>
        <w:t> </w:t>
      </w:r>
      <w:r>
        <w:rPr>
          <w:rFonts w:ascii="Tahoma" w:hAnsi="Tahoma"/>
        </w:rPr>
        <w:t>=</w:t>
      </w:r>
      <w:r>
        <w:rPr>
          <w:rFonts w:ascii="Tahoma" w:hAnsi="Tahoma"/>
          <w:spacing w:val="-7"/>
        </w:rPr>
        <w:t> </w:t>
      </w:r>
      <w:r>
        <w:rPr>
          <w:rFonts w:ascii="Tahoma" w:hAnsi="Tahoma"/>
        </w:rPr>
        <w:t>Pivot</w:t>
      </w:r>
      <w:r>
        <w:rPr>
          <w:rFonts w:ascii="Tahoma" w:hAnsi="Tahoma"/>
          <w:spacing w:val="-6"/>
        </w:rPr>
        <w:t> </w:t>
      </w:r>
      <w:r>
        <w:rPr>
          <w:rFonts w:ascii="Tahoma" w:hAnsi="Tahoma"/>
        </w:rPr>
        <w:t>+</w:t>
      </w:r>
      <w:r>
        <w:rPr>
          <w:rFonts w:ascii="Tahoma" w:hAnsi="Tahoma"/>
          <w:spacing w:val="-7"/>
        </w:rPr>
        <w:t> </w:t>
      </w:r>
      <w:r>
        <w:rPr>
          <w:rFonts w:ascii="Tahoma" w:hAnsi="Tahoma"/>
        </w:rPr>
        <w:t>(High</w:t>
      </w:r>
      <w:r>
        <w:rPr>
          <w:rFonts w:ascii="Tahoma" w:hAnsi="Tahoma"/>
          <w:spacing w:val="-6"/>
        </w:rPr>
        <w:t> </w:t>
      </w:r>
      <w:r>
        <w:rPr>
          <w:rFonts w:ascii="Tahoma" w:hAnsi="Tahoma"/>
        </w:rPr>
        <w:t>-</w:t>
      </w:r>
      <w:r>
        <w:rPr>
          <w:rFonts w:ascii="Tahoma" w:hAnsi="Tahoma"/>
          <w:spacing w:val="-7"/>
        </w:rPr>
        <w:t> </w:t>
      </w:r>
      <w:r>
        <w:rPr>
          <w:rFonts w:ascii="Tahoma" w:hAnsi="Tahoma"/>
        </w:rPr>
        <w:t>Low) R1 = 2 </w:t>
      </w:r>
      <w:r>
        <w:rPr>
          <w:rFonts w:ascii="Century Gothic" w:hAnsi="Century Gothic"/>
        </w:rPr>
        <w:t>× </w:t>
      </w:r>
      <w:r>
        <w:rPr>
          <w:rFonts w:ascii="Tahoma" w:hAnsi="Tahoma"/>
        </w:rPr>
        <w:t>Pivot - Low</w:t>
      </w:r>
    </w:p>
    <w:p>
      <w:pPr>
        <w:pStyle w:val="BodyText"/>
        <w:spacing w:before="10"/>
        <w:ind w:left="747"/>
        <w:rPr>
          <w:rFonts w:ascii="Tahoma"/>
        </w:rPr>
      </w:pPr>
      <w:r>
        <w:rPr/>
        <w:pict>
          <v:rect style="position:absolute;margin-left:60.959999pt;margin-top:15.885366pt;width:292.02pt;height:.48001pt;mso-position-horizontal-relative:page;mso-position-vertical-relative:paragraph;z-index:-15659520;mso-wrap-distance-left:0;mso-wrap-distance-right:0" id="docshape453" filled="true" fillcolor="#000000" stroked="false">
            <v:fill type="solid"/>
            <w10:wrap type="topAndBottom"/>
          </v:rect>
        </w:pict>
      </w:r>
      <w:r>
        <w:rPr/>
        <w:pict>
          <v:rect style="position:absolute;margin-left:60.959999pt;margin-top:33.885365pt;width:292.02pt;height:.48001pt;mso-position-horizontal-relative:page;mso-position-vertical-relative:paragraph;z-index:15800832" id="docshape454" filled="true" fillcolor="#000000" stroked="false">
            <v:fill type="solid"/>
            <w10:wrap type="none"/>
          </v:rect>
        </w:pict>
      </w:r>
      <w:r>
        <w:rPr>
          <w:rFonts w:ascii="Tahoma"/>
        </w:rPr>
        <w:t>TC</w:t>
      </w:r>
      <w:r>
        <w:rPr>
          <w:rFonts w:ascii="Tahoma"/>
          <w:spacing w:val="-5"/>
        </w:rPr>
        <w:t> </w:t>
      </w:r>
      <w:r>
        <w:rPr>
          <w:rFonts w:ascii="Tahoma"/>
        </w:rPr>
        <w:t>=</w:t>
      </w:r>
      <w:r>
        <w:rPr>
          <w:rFonts w:ascii="Tahoma"/>
          <w:spacing w:val="-4"/>
        </w:rPr>
        <w:t> </w:t>
      </w:r>
      <w:r>
        <w:rPr>
          <w:rFonts w:ascii="Tahoma"/>
        </w:rPr>
        <w:t>(Pivot</w:t>
      </w:r>
      <w:r>
        <w:rPr>
          <w:rFonts w:ascii="Tahoma"/>
          <w:spacing w:val="-1"/>
        </w:rPr>
        <w:t> </w:t>
      </w:r>
      <w:r>
        <w:rPr>
          <w:rFonts w:ascii="Tahoma"/>
        </w:rPr>
        <w:t>-</w:t>
      </w:r>
      <w:r>
        <w:rPr>
          <w:rFonts w:ascii="Tahoma"/>
          <w:spacing w:val="-5"/>
        </w:rPr>
        <w:t> </w:t>
      </w:r>
      <w:r>
        <w:rPr>
          <w:rFonts w:ascii="Tahoma"/>
        </w:rPr>
        <w:t>BC)</w:t>
      </w:r>
      <w:r>
        <w:rPr>
          <w:rFonts w:ascii="Tahoma"/>
          <w:spacing w:val="-3"/>
        </w:rPr>
        <w:t> </w:t>
      </w:r>
      <w:r>
        <w:rPr>
          <w:rFonts w:ascii="Tahoma"/>
        </w:rPr>
        <w:t>+</w:t>
      </w:r>
      <w:r>
        <w:rPr>
          <w:rFonts w:ascii="Tahoma"/>
          <w:spacing w:val="-4"/>
        </w:rPr>
        <w:t> Pivot</w:t>
      </w:r>
    </w:p>
    <w:p>
      <w:pPr>
        <w:pStyle w:val="BodyText"/>
        <w:spacing w:line="326" w:lineRule="auto" w:before="42"/>
        <w:ind w:left="747" w:right="3443"/>
        <w:rPr>
          <w:rFonts w:ascii="Tahoma"/>
        </w:rPr>
      </w:pPr>
      <w:r>
        <w:rPr>
          <w:rFonts w:ascii="Tahoma"/>
        </w:rPr>
        <w:t>Pivot</w:t>
      </w:r>
      <w:r>
        <w:rPr>
          <w:rFonts w:ascii="Tahoma"/>
          <w:spacing w:val="-6"/>
        </w:rPr>
        <w:t> </w:t>
      </w:r>
      <w:r>
        <w:rPr>
          <w:rFonts w:ascii="Tahoma"/>
        </w:rPr>
        <w:t>=</w:t>
      </w:r>
      <w:r>
        <w:rPr>
          <w:rFonts w:ascii="Tahoma"/>
          <w:spacing w:val="-8"/>
        </w:rPr>
        <w:t> </w:t>
      </w:r>
      <w:r>
        <w:rPr>
          <w:rFonts w:ascii="Tahoma"/>
        </w:rPr>
        <w:t>(High</w:t>
      </w:r>
      <w:r>
        <w:rPr>
          <w:rFonts w:ascii="Tahoma"/>
          <w:spacing w:val="-8"/>
        </w:rPr>
        <w:t> </w:t>
      </w:r>
      <w:r>
        <w:rPr>
          <w:rFonts w:ascii="Tahoma"/>
        </w:rPr>
        <w:t>+</w:t>
      </w:r>
      <w:r>
        <w:rPr>
          <w:rFonts w:ascii="Tahoma"/>
          <w:spacing w:val="-8"/>
        </w:rPr>
        <w:t> </w:t>
      </w:r>
      <w:r>
        <w:rPr>
          <w:rFonts w:ascii="Tahoma"/>
        </w:rPr>
        <w:t>Low</w:t>
      </w:r>
      <w:r>
        <w:rPr>
          <w:rFonts w:ascii="Tahoma"/>
          <w:spacing w:val="-7"/>
        </w:rPr>
        <w:t> </w:t>
      </w:r>
      <w:r>
        <w:rPr>
          <w:rFonts w:ascii="Tahoma"/>
        </w:rPr>
        <w:t>+</w:t>
      </w:r>
      <w:r>
        <w:rPr>
          <w:rFonts w:ascii="Tahoma"/>
          <w:spacing w:val="-6"/>
        </w:rPr>
        <w:t> </w:t>
      </w:r>
      <w:r>
        <w:rPr>
          <w:rFonts w:ascii="Tahoma"/>
        </w:rPr>
        <w:t>Close)/3 BC = (High + Low)/2</w:t>
      </w:r>
    </w:p>
    <w:p>
      <w:pPr>
        <w:pStyle w:val="BodyText"/>
        <w:spacing w:line="259" w:lineRule="exact"/>
        <w:ind w:left="747"/>
        <w:rPr>
          <w:rFonts w:ascii="Tahoma" w:hAnsi="Tahoma"/>
        </w:rPr>
      </w:pPr>
      <w:r>
        <w:rPr/>
        <w:pict>
          <v:rect style="position:absolute;margin-left:60.959999pt;margin-top:15.270991pt;width:292.02pt;height:.48001pt;mso-position-horizontal-relative:page;mso-position-vertical-relative:paragraph;z-index:-15659008;mso-wrap-distance-left:0;mso-wrap-distance-right:0" id="docshape455" filled="true" fillcolor="#000000" stroked="false">
            <v:fill type="solid"/>
            <w10:wrap type="topAndBottom"/>
          </v:rect>
        </w:pict>
      </w:r>
      <w:r>
        <w:rPr/>
        <w:pict>
          <v:rect style="position:absolute;margin-left:60.959999pt;margin-top:-2.729009pt;width:292.02pt;height:.48001pt;mso-position-horizontal-relative:page;mso-position-vertical-relative:paragraph;z-index:15801344" id="docshape456" filled="true" fillcolor="#000000" stroked="false">
            <v:fill type="solid"/>
            <w10:wrap type="none"/>
          </v:rect>
        </w:pict>
      </w:r>
      <w:r>
        <w:rPr/>
        <w:pict>
          <v:rect style="position:absolute;margin-left:60.959999pt;margin-top:33.270992pt;width:292.02pt;height:.48001pt;mso-position-horizontal-relative:page;mso-position-vertical-relative:paragraph;z-index:15801856" id="docshape457" filled="true" fillcolor="#000000" stroked="false">
            <v:fill type="solid"/>
            <w10:wrap type="none"/>
          </v:rect>
        </w:pict>
      </w:r>
      <w:r>
        <w:rPr>
          <w:rFonts w:ascii="Tahoma" w:hAnsi="Tahoma"/>
        </w:rPr>
        <w:t>S1</w:t>
      </w:r>
      <w:r>
        <w:rPr>
          <w:rFonts w:ascii="Tahoma" w:hAnsi="Tahoma"/>
          <w:spacing w:val="-3"/>
        </w:rPr>
        <w:t> </w:t>
      </w:r>
      <w:r>
        <w:rPr>
          <w:rFonts w:ascii="Tahoma" w:hAnsi="Tahoma"/>
        </w:rPr>
        <w:t>=</w:t>
      </w:r>
      <w:r>
        <w:rPr>
          <w:rFonts w:ascii="Tahoma" w:hAnsi="Tahoma"/>
          <w:spacing w:val="-3"/>
        </w:rPr>
        <w:t> </w:t>
      </w:r>
      <w:r>
        <w:rPr>
          <w:rFonts w:ascii="Tahoma" w:hAnsi="Tahoma"/>
        </w:rPr>
        <w:t>2</w:t>
      </w:r>
      <w:r>
        <w:rPr>
          <w:rFonts w:ascii="Tahoma" w:hAnsi="Tahoma"/>
          <w:spacing w:val="-2"/>
        </w:rPr>
        <w:t> </w:t>
      </w:r>
      <w:r>
        <w:rPr>
          <w:rFonts w:ascii="Century Gothic" w:hAnsi="Century Gothic"/>
        </w:rPr>
        <w:t>×</w:t>
      </w:r>
      <w:r>
        <w:rPr>
          <w:rFonts w:ascii="Century Gothic" w:hAnsi="Century Gothic"/>
          <w:spacing w:val="5"/>
        </w:rPr>
        <w:t> </w:t>
      </w:r>
      <w:r>
        <w:rPr>
          <w:rFonts w:ascii="Tahoma" w:hAnsi="Tahoma"/>
        </w:rPr>
        <w:t>Pivot</w:t>
      </w:r>
      <w:r>
        <w:rPr>
          <w:rFonts w:ascii="Tahoma" w:hAnsi="Tahoma"/>
          <w:spacing w:val="-2"/>
        </w:rPr>
        <w:t> </w:t>
      </w:r>
      <w:r>
        <w:rPr>
          <w:rFonts w:ascii="Tahoma" w:hAnsi="Tahoma"/>
        </w:rPr>
        <w:t>-</w:t>
      </w:r>
      <w:r>
        <w:rPr>
          <w:rFonts w:ascii="Tahoma" w:hAnsi="Tahoma"/>
          <w:spacing w:val="-3"/>
        </w:rPr>
        <w:t> </w:t>
      </w:r>
      <w:r>
        <w:rPr>
          <w:rFonts w:ascii="Tahoma" w:hAnsi="Tahoma"/>
          <w:spacing w:val="-4"/>
        </w:rPr>
        <w:t>High</w:t>
      </w:r>
    </w:p>
    <w:p>
      <w:pPr>
        <w:pStyle w:val="BodyText"/>
        <w:spacing w:line="326" w:lineRule="auto" w:before="42"/>
        <w:ind w:left="747" w:right="4023"/>
        <w:rPr>
          <w:rFonts w:ascii="Tahoma"/>
        </w:rPr>
      </w:pPr>
      <w:r>
        <w:rPr>
          <w:rFonts w:ascii="Tahoma"/>
        </w:rPr>
        <w:t>S2</w:t>
      </w:r>
      <w:r>
        <w:rPr>
          <w:rFonts w:ascii="Tahoma"/>
          <w:spacing w:val="-7"/>
        </w:rPr>
        <w:t> </w:t>
      </w:r>
      <w:r>
        <w:rPr>
          <w:rFonts w:ascii="Tahoma"/>
        </w:rPr>
        <w:t>=</w:t>
      </w:r>
      <w:r>
        <w:rPr>
          <w:rFonts w:ascii="Tahoma"/>
          <w:spacing w:val="-7"/>
        </w:rPr>
        <w:t> </w:t>
      </w:r>
      <w:r>
        <w:rPr>
          <w:rFonts w:ascii="Tahoma"/>
        </w:rPr>
        <w:t>Pivot</w:t>
      </w:r>
      <w:r>
        <w:rPr>
          <w:rFonts w:ascii="Tahoma"/>
          <w:spacing w:val="-7"/>
        </w:rPr>
        <w:t> </w:t>
      </w:r>
      <w:r>
        <w:rPr>
          <w:rFonts w:ascii="Tahoma"/>
        </w:rPr>
        <w:t>-</w:t>
      </w:r>
      <w:r>
        <w:rPr>
          <w:rFonts w:ascii="Tahoma"/>
          <w:spacing w:val="-7"/>
        </w:rPr>
        <w:t> </w:t>
      </w:r>
      <w:r>
        <w:rPr>
          <w:rFonts w:ascii="Tahoma"/>
        </w:rPr>
        <w:t>(High</w:t>
      </w:r>
      <w:r>
        <w:rPr>
          <w:rFonts w:ascii="Tahoma"/>
          <w:spacing w:val="-7"/>
        </w:rPr>
        <w:t> </w:t>
      </w:r>
      <w:r>
        <w:rPr>
          <w:rFonts w:ascii="Tahoma"/>
        </w:rPr>
        <w:t>+</w:t>
      </w:r>
      <w:r>
        <w:rPr>
          <w:rFonts w:ascii="Tahoma"/>
          <w:spacing w:val="-6"/>
        </w:rPr>
        <w:t> </w:t>
      </w:r>
      <w:r>
        <w:rPr>
          <w:rFonts w:ascii="Tahoma"/>
        </w:rPr>
        <w:t>Low) S3 = S1 - (High - Low)</w:t>
      </w:r>
    </w:p>
    <w:p>
      <w:pPr>
        <w:pStyle w:val="BodyText"/>
        <w:spacing w:line="263" w:lineRule="exact"/>
        <w:ind w:left="747"/>
        <w:rPr>
          <w:rFonts w:ascii="Tahoma"/>
        </w:rPr>
      </w:pPr>
      <w:r>
        <w:rPr/>
        <w:pict>
          <v:rect style="position:absolute;margin-left:60.240002pt;margin-top:15.270991pt;width:292.74pt;height:.48001pt;mso-position-horizontal-relative:page;mso-position-vertical-relative:paragraph;z-index:-15658496;mso-wrap-distance-left:0;mso-wrap-distance-right:0" id="docshape458" filled="true" fillcolor="#000000" stroked="false">
            <v:fill type="solid"/>
            <w10:wrap type="topAndBottom"/>
          </v:rect>
        </w:pict>
      </w:r>
      <w:r>
        <w:rPr/>
        <w:pict>
          <v:rect style="position:absolute;margin-left:60.959999pt;margin-top:-2.729009pt;width:292.02pt;height:.48001pt;mso-position-horizontal-relative:page;mso-position-vertical-relative:paragraph;z-index:15802368" id="docshape459" filled="true" fillcolor="#000000" stroked="false">
            <v:fill type="solid"/>
            <w10:wrap type="none"/>
          </v:rect>
        </w:pict>
      </w:r>
      <w:r>
        <w:rPr>
          <w:rFonts w:ascii="Tahoma"/>
        </w:rPr>
        <w:t>S4</w:t>
      </w:r>
      <w:r>
        <w:rPr>
          <w:rFonts w:ascii="Tahoma"/>
          <w:spacing w:val="-3"/>
        </w:rPr>
        <w:t> </w:t>
      </w:r>
      <w:r>
        <w:rPr>
          <w:rFonts w:ascii="Tahoma"/>
        </w:rPr>
        <w:t>=</w:t>
      </w:r>
      <w:r>
        <w:rPr>
          <w:rFonts w:ascii="Tahoma"/>
          <w:spacing w:val="-3"/>
        </w:rPr>
        <w:t> </w:t>
      </w:r>
      <w:r>
        <w:rPr>
          <w:rFonts w:ascii="Tahoma"/>
        </w:rPr>
        <w:t>S3</w:t>
      </w:r>
      <w:r>
        <w:rPr>
          <w:rFonts w:ascii="Tahoma"/>
          <w:spacing w:val="-1"/>
        </w:rPr>
        <w:t> </w:t>
      </w:r>
      <w:r>
        <w:rPr>
          <w:rFonts w:ascii="Tahoma"/>
        </w:rPr>
        <w:t>-</w:t>
      </w:r>
      <w:r>
        <w:rPr>
          <w:rFonts w:ascii="Tahoma"/>
          <w:spacing w:val="-2"/>
        </w:rPr>
        <w:t> </w:t>
      </w:r>
      <w:r>
        <w:rPr>
          <w:rFonts w:ascii="Tahoma"/>
        </w:rPr>
        <w:t>(S1</w:t>
      </w:r>
      <w:r>
        <w:rPr>
          <w:rFonts w:ascii="Tahoma"/>
          <w:spacing w:val="-3"/>
        </w:rPr>
        <w:t> </w:t>
      </w:r>
      <w:r>
        <w:rPr>
          <w:rFonts w:ascii="Tahoma"/>
        </w:rPr>
        <w:t>-</w:t>
      </w:r>
      <w:r>
        <w:rPr>
          <w:rFonts w:ascii="Tahoma"/>
          <w:spacing w:val="-3"/>
        </w:rPr>
        <w:t> </w:t>
      </w:r>
      <w:r>
        <w:rPr>
          <w:rFonts w:ascii="Tahoma"/>
          <w:spacing w:val="-5"/>
        </w:rPr>
        <w:t>S2)</w:t>
      </w:r>
    </w:p>
    <w:p>
      <w:pPr>
        <w:spacing w:before="0"/>
        <w:ind w:left="572" w:right="0" w:firstLine="0"/>
        <w:jc w:val="left"/>
        <w:rPr>
          <w:sz w:val="16"/>
        </w:rPr>
      </w:pPr>
      <w:r>
        <w:rPr>
          <w:sz w:val="16"/>
        </w:rPr>
        <w:t>TABLE</w:t>
      </w:r>
      <w:r>
        <w:rPr>
          <w:spacing w:val="10"/>
          <w:sz w:val="16"/>
        </w:rPr>
        <w:t> </w:t>
      </w:r>
      <w:r>
        <w:rPr>
          <w:sz w:val="16"/>
        </w:rPr>
        <w:t>5.2:</w:t>
      </w:r>
      <w:r>
        <w:rPr>
          <w:spacing w:val="10"/>
          <w:sz w:val="16"/>
        </w:rPr>
        <w:t> </w:t>
      </w:r>
      <w:r>
        <w:rPr>
          <w:sz w:val="16"/>
        </w:rPr>
        <w:t>Expanded</w:t>
      </w:r>
      <w:r>
        <w:rPr>
          <w:spacing w:val="11"/>
          <w:sz w:val="16"/>
        </w:rPr>
        <w:t> </w:t>
      </w:r>
      <w:r>
        <w:rPr>
          <w:spacing w:val="-2"/>
          <w:sz w:val="16"/>
        </w:rPr>
        <w:t>Formula</w:t>
      </w:r>
    </w:p>
    <w:p>
      <w:pPr>
        <w:pStyle w:val="BodyText"/>
        <w:spacing w:before="9"/>
        <w:rPr>
          <w:sz w:val="21"/>
        </w:rPr>
      </w:pPr>
    </w:p>
    <w:p>
      <w:pPr>
        <w:pStyle w:val="BodyText"/>
        <w:spacing w:before="1"/>
        <w:ind w:left="140" w:right="224" w:firstLine="432"/>
      </w:pPr>
      <w:r>
        <w:rPr/>
        <w:t>Figure</w:t>
      </w:r>
      <w:r>
        <w:rPr>
          <w:spacing w:val="-3"/>
        </w:rPr>
        <w:t> </w:t>
      </w:r>
      <w:r>
        <w:rPr/>
        <w:t>5.2</w:t>
      </w:r>
      <w:r>
        <w:rPr>
          <w:spacing w:val="-3"/>
        </w:rPr>
        <w:t> </w:t>
      </w:r>
      <w:r>
        <w:rPr/>
        <w:t>illustrates</w:t>
      </w:r>
      <w:r>
        <w:rPr>
          <w:spacing w:val="-3"/>
        </w:rPr>
        <w:t> </w:t>
      </w:r>
      <w:r>
        <w:rPr/>
        <w:t>the</w:t>
      </w:r>
      <w:r>
        <w:rPr>
          <w:spacing w:val="-3"/>
        </w:rPr>
        <w:t> </w:t>
      </w:r>
      <w:r>
        <w:rPr/>
        <w:t>expanded</w:t>
      </w:r>
      <w:r>
        <w:rPr>
          <w:spacing w:val="-4"/>
        </w:rPr>
        <w:t> </w:t>
      </w:r>
      <w:r>
        <w:rPr/>
        <w:t>version</w:t>
      </w:r>
      <w:r>
        <w:rPr>
          <w:spacing w:val="-3"/>
        </w:rPr>
        <w:t> </w:t>
      </w:r>
      <w:r>
        <w:rPr/>
        <w:t>of</w:t>
      </w:r>
      <w:r>
        <w:rPr>
          <w:spacing w:val="-4"/>
        </w:rPr>
        <w:t> </w:t>
      </w:r>
      <w:r>
        <w:rPr/>
        <w:t>the</w:t>
      </w:r>
      <w:r>
        <w:rPr>
          <w:spacing w:val="-3"/>
        </w:rPr>
        <w:t> </w:t>
      </w:r>
      <w:r>
        <w:rPr/>
        <w:t>Floor</w:t>
      </w:r>
      <w:r>
        <w:rPr>
          <w:spacing w:val="-3"/>
        </w:rPr>
        <w:t> </w:t>
      </w:r>
      <w:r>
        <w:rPr/>
        <w:t>Pivots,</w:t>
      </w:r>
      <w:r>
        <w:rPr>
          <w:spacing w:val="-4"/>
        </w:rPr>
        <w:t> </w:t>
      </w:r>
      <w:r>
        <w:rPr/>
        <w:t>which</w:t>
      </w:r>
      <w:r>
        <w:rPr>
          <w:spacing w:val="-3"/>
        </w:rPr>
        <w:t> </w:t>
      </w:r>
      <w:r>
        <w:rPr/>
        <w:t>we will use and discuss throughout of the book.</w:t>
      </w:r>
    </w:p>
    <w:p>
      <w:pPr>
        <w:spacing w:after="0"/>
        <w:sectPr>
          <w:pgSz w:w="8640" w:h="12960"/>
          <w:pgMar w:header="579" w:footer="1060" w:top="760" w:bottom="1260" w:left="580" w:right="580"/>
        </w:sectPr>
      </w:pPr>
    </w:p>
    <w:p>
      <w:pPr>
        <w:pStyle w:val="BodyText"/>
        <w:rPr>
          <w:sz w:val="28"/>
        </w:rPr>
      </w:pPr>
    </w:p>
    <w:p>
      <w:pPr>
        <w:pStyle w:val="BodyText"/>
        <w:ind w:left="1032"/>
        <w:rPr>
          <w:sz w:val="20"/>
        </w:rPr>
      </w:pPr>
      <w:r>
        <w:rPr>
          <w:sz w:val="20"/>
        </w:rPr>
        <w:pict>
          <v:group style="width:288.75pt;height:216.7pt;mso-position-horizontal-relative:char;mso-position-vertical-relative:line" id="docshapegroup460" coordorigin="0,0" coordsize="5775,4334">
            <v:shape style="position:absolute;left:7;top:7;width:5760;height:4319" id="docshape461" coordorigin="8,8" coordsize="5760,4319" path="m5768,8l9,8,9,4326,5768,4326,5768,8xm5766,20l8,20,8,578,5766,578,5766,20xe" filled="false" stroked="true" strokeweight=".75pt" strokecolor="#000000">
              <v:path arrowok="t"/>
              <v:stroke dashstyle="solid"/>
            </v:shape>
            <v:line style="position:absolute" from="1942,806" to="4442,806" stroked="true" strokeweight=".75pt" strokecolor="#000000">
              <v:stroke dashstyle="solid"/>
            </v:line>
            <v:line style="position:absolute" from="1942,1072" to="4442,1072" stroked="true" strokeweight=".75pt" strokecolor="#000000">
              <v:stroke dashstyle="solid"/>
            </v:line>
            <v:line style="position:absolute" from="1942,4085" to="4442,4085" stroked="true" strokeweight=".75pt" strokecolor="#000000">
              <v:stroke dashstyle="solid"/>
            </v:line>
            <v:line style="position:absolute" from="1942,3827" to="4442,3827" stroked="true" strokeweight=".75pt" strokecolor="#000000">
              <v:stroke dashstyle="solid"/>
            </v:line>
            <v:line style="position:absolute" from="1942,1347" to="4442,1347" stroked="true" strokeweight=".75pt" strokecolor="#000000">
              <v:stroke dashstyle="solid"/>
            </v:line>
            <v:line style="position:absolute" from="1942,3556" to="4442,3556" stroked="true" strokeweight=".75pt" strokecolor="#000000">
              <v:stroke dashstyle="solid"/>
            </v:line>
            <v:line style="position:absolute" from="1942,2451" to="4442,2451" stroked="true" strokeweight=".75pt" strokecolor="#000000">
              <v:stroke dashstyle="solid"/>
            </v:line>
            <v:line style="position:absolute" from="1942,3279" to="4442,3279" stroked="true" strokeweight=".75pt" strokecolor="#000000">
              <v:stroke dashstyle="solid"/>
            </v:line>
            <v:line style="position:absolute" from="1942,1612" to="4442,1612" stroked="true" strokeweight=".75pt" strokecolor="#000000">
              <v:stroke dashstyle="solid"/>
            </v:line>
            <v:line style="position:absolute" from="1942,2246" to="4442,2246" stroked="true" strokeweight=".75pt" strokecolor="#000000">
              <v:stroke dashstyle="solid"/>
            </v:line>
            <v:line style="position:absolute" from="1942,2643" to="4442,2643" stroked="true" strokeweight=".75pt" strokecolor="#000000">
              <v:stroke dashstyle="solid"/>
            </v:line>
            <v:shape style="position:absolute;left:1477;top:3217;width:242;height:998" type="#_x0000_t202" id="docshape462" filled="false" stroked="false">
              <v:textbox inset="0,0,0,0">
                <w:txbxContent>
                  <w:p>
                    <w:pPr>
                      <w:spacing w:line="199" w:lineRule="exact" w:before="0"/>
                      <w:ind w:left="1" w:right="0" w:firstLine="0"/>
                      <w:jc w:val="left"/>
                      <w:rPr>
                        <w:rFonts w:ascii="Tahoma"/>
                        <w:sz w:val="20"/>
                      </w:rPr>
                    </w:pPr>
                    <w:r>
                      <w:rPr>
                        <w:rFonts w:ascii="Tahoma"/>
                        <w:spacing w:val="-5"/>
                        <w:sz w:val="20"/>
                      </w:rPr>
                      <w:t>S1</w:t>
                    </w:r>
                  </w:p>
                  <w:p>
                    <w:pPr>
                      <w:spacing w:line="261" w:lineRule="auto" w:before="26"/>
                      <w:ind w:left="0" w:right="18" w:firstLine="0"/>
                      <w:jc w:val="both"/>
                      <w:rPr>
                        <w:rFonts w:ascii="Tahoma"/>
                        <w:sz w:val="20"/>
                      </w:rPr>
                    </w:pPr>
                    <w:r>
                      <w:rPr>
                        <w:rFonts w:ascii="Tahoma"/>
                        <w:spacing w:val="-6"/>
                        <w:sz w:val="20"/>
                      </w:rPr>
                      <w:t>S2 S3 </w:t>
                    </w:r>
                    <w:r>
                      <w:rPr>
                        <w:rFonts w:ascii="Tahoma"/>
                        <w:spacing w:val="-5"/>
                        <w:sz w:val="20"/>
                      </w:rPr>
                      <w:t>S4</w:t>
                    </w:r>
                  </w:p>
                </w:txbxContent>
              </v:textbox>
              <w10:wrap type="none"/>
            </v:shape>
            <v:shape style="position:absolute;left:1137;top:2163;width:604;height:604" type="#_x0000_t202" id="docshape463" filled="false" stroked="false">
              <v:textbox inset="0,0,0,0">
                <w:txbxContent>
                  <w:p>
                    <w:pPr>
                      <w:spacing w:line="196" w:lineRule="auto" w:before="0"/>
                      <w:ind w:left="0" w:right="14" w:firstLine="345"/>
                      <w:jc w:val="left"/>
                      <w:rPr>
                        <w:rFonts w:ascii="Tahoma"/>
                        <w:sz w:val="20"/>
                      </w:rPr>
                    </w:pPr>
                    <w:r>
                      <w:rPr>
                        <w:rFonts w:ascii="Tahoma"/>
                        <w:spacing w:val="-6"/>
                        <w:sz w:val="20"/>
                      </w:rPr>
                      <w:t>TC </w:t>
                    </w:r>
                    <w:r>
                      <w:rPr>
                        <w:rFonts w:ascii="Tahoma"/>
                        <w:spacing w:val="-2"/>
                        <w:sz w:val="20"/>
                      </w:rPr>
                      <w:t>PIVOT</w:t>
                    </w:r>
                  </w:p>
                  <w:p>
                    <w:pPr>
                      <w:spacing w:line="213" w:lineRule="exact" w:before="0"/>
                      <w:ind w:left="333" w:right="0" w:firstLine="0"/>
                      <w:jc w:val="left"/>
                      <w:rPr>
                        <w:rFonts w:ascii="Tahoma"/>
                        <w:sz w:val="20"/>
                      </w:rPr>
                    </w:pPr>
                    <w:r>
                      <w:rPr>
                        <w:rFonts w:ascii="Tahoma"/>
                        <w:spacing w:val="-5"/>
                        <w:sz w:val="20"/>
                      </w:rPr>
                      <w:t>BC</w:t>
                    </w:r>
                  </w:p>
                </w:txbxContent>
              </v:textbox>
              <w10:wrap type="none"/>
            </v:shape>
            <v:shape style="position:absolute;left:1470;top:727;width:256;height:1007" type="#_x0000_t202" id="docshape464" filled="false" stroked="false">
              <v:textbox inset="0,0,0,0">
                <w:txbxContent>
                  <w:p>
                    <w:pPr>
                      <w:spacing w:line="199" w:lineRule="exact" w:before="0"/>
                      <w:ind w:left="1" w:right="0" w:firstLine="0"/>
                      <w:jc w:val="left"/>
                      <w:rPr>
                        <w:rFonts w:ascii="Tahoma"/>
                        <w:sz w:val="20"/>
                      </w:rPr>
                    </w:pPr>
                    <w:r>
                      <w:rPr>
                        <w:rFonts w:ascii="Tahoma"/>
                        <w:spacing w:val="-5"/>
                        <w:sz w:val="20"/>
                      </w:rPr>
                      <w:t>R4</w:t>
                    </w:r>
                  </w:p>
                  <w:p>
                    <w:pPr>
                      <w:spacing w:line="266" w:lineRule="auto" w:before="21"/>
                      <w:ind w:left="1" w:right="11" w:firstLine="0"/>
                      <w:jc w:val="left"/>
                      <w:rPr>
                        <w:rFonts w:ascii="Tahoma"/>
                        <w:sz w:val="20"/>
                      </w:rPr>
                    </w:pPr>
                    <w:r>
                      <w:rPr>
                        <w:rFonts w:ascii="Tahoma"/>
                        <w:spacing w:val="-6"/>
                        <w:sz w:val="20"/>
                      </w:rPr>
                      <w:t>R3 </w:t>
                    </w:r>
                    <w:r>
                      <w:rPr>
                        <w:rFonts w:ascii="Tahoma"/>
                        <w:spacing w:val="-5"/>
                        <w:sz w:val="20"/>
                      </w:rPr>
                      <w:t>R2</w:t>
                    </w:r>
                  </w:p>
                  <w:p>
                    <w:pPr>
                      <w:spacing w:before="8"/>
                      <w:ind w:left="0" w:right="0" w:firstLine="0"/>
                      <w:jc w:val="left"/>
                      <w:rPr>
                        <w:rFonts w:ascii="Tahoma"/>
                        <w:sz w:val="20"/>
                      </w:rPr>
                    </w:pPr>
                    <w:r>
                      <w:rPr>
                        <w:rFonts w:ascii="Tahoma"/>
                        <w:spacing w:val="-5"/>
                        <w:sz w:val="20"/>
                      </w:rPr>
                      <w:t>R1</w:t>
                    </w:r>
                  </w:p>
                </w:txbxContent>
              </v:textbox>
              <w10:wrap type="none"/>
            </v:shape>
            <v:shape style="position:absolute;left:7;top:19;width:5759;height:558" type="#_x0000_t202" id="docshape465" filled="true" fillcolor="#000000" stroked="false">
              <v:textbox inset="0,0,0,0">
                <w:txbxContent>
                  <w:p>
                    <w:pPr>
                      <w:spacing w:before="78"/>
                      <w:ind w:left="1317" w:right="0" w:firstLine="0"/>
                      <w:jc w:val="left"/>
                      <w:rPr>
                        <w:rFonts w:ascii="Verdana"/>
                        <w:color w:val="000000"/>
                        <w:sz w:val="28"/>
                      </w:rPr>
                    </w:pPr>
                    <w:r>
                      <w:rPr>
                        <w:rFonts w:ascii="Verdana"/>
                        <w:color w:val="FFFFFF"/>
                        <w:sz w:val="28"/>
                      </w:rPr>
                      <w:t>Expanded</w:t>
                    </w:r>
                    <w:r>
                      <w:rPr>
                        <w:rFonts w:ascii="Verdana"/>
                        <w:color w:val="FFFFFF"/>
                        <w:spacing w:val="-10"/>
                        <w:sz w:val="28"/>
                      </w:rPr>
                      <w:t> </w:t>
                    </w:r>
                    <w:r>
                      <w:rPr>
                        <w:rFonts w:ascii="Verdana"/>
                        <w:color w:val="FFFFFF"/>
                        <w:sz w:val="28"/>
                      </w:rPr>
                      <w:t>Floor</w:t>
                    </w:r>
                    <w:r>
                      <w:rPr>
                        <w:rFonts w:ascii="Verdana"/>
                        <w:color w:val="FFFFFF"/>
                        <w:spacing w:val="-9"/>
                        <w:sz w:val="28"/>
                      </w:rPr>
                      <w:t> </w:t>
                    </w:r>
                    <w:r>
                      <w:rPr>
                        <w:rFonts w:ascii="Verdana"/>
                        <w:color w:val="FFFFFF"/>
                        <w:spacing w:val="-2"/>
                        <w:sz w:val="28"/>
                      </w:rPr>
                      <w:t>Pivots</w:t>
                    </w:r>
                  </w:p>
                </w:txbxContent>
              </v:textbox>
              <v:fill type="solid"/>
              <w10:wrap type="none"/>
            </v:shape>
          </v:group>
        </w:pict>
      </w:r>
      <w:r>
        <w:rPr>
          <w:sz w:val="20"/>
        </w:rPr>
      </w:r>
    </w:p>
    <w:p>
      <w:pPr>
        <w:spacing w:line="162" w:lineRule="exact" w:before="0"/>
        <w:ind w:left="989" w:right="0" w:firstLine="0"/>
        <w:jc w:val="left"/>
        <w:rPr>
          <w:sz w:val="16"/>
        </w:rPr>
      </w:pPr>
      <w:r>
        <w:rPr>
          <w:sz w:val="16"/>
        </w:rPr>
        <w:t>FIGURE</w:t>
      </w:r>
      <w:r>
        <w:rPr>
          <w:spacing w:val="5"/>
          <w:sz w:val="16"/>
        </w:rPr>
        <w:t> </w:t>
      </w:r>
      <w:r>
        <w:rPr>
          <w:sz w:val="16"/>
        </w:rPr>
        <w:t>5.2:</w:t>
      </w:r>
      <w:r>
        <w:rPr>
          <w:spacing w:val="6"/>
          <w:sz w:val="16"/>
        </w:rPr>
        <w:t> </w:t>
      </w:r>
      <w:r>
        <w:rPr>
          <w:sz w:val="16"/>
        </w:rPr>
        <w:t>Expanded</w:t>
      </w:r>
      <w:r>
        <w:rPr>
          <w:spacing w:val="5"/>
          <w:sz w:val="16"/>
        </w:rPr>
        <w:t> </w:t>
      </w:r>
      <w:r>
        <w:rPr>
          <w:sz w:val="16"/>
        </w:rPr>
        <w:t>version</w:t>
      </w:r>
      <w:r>
        <w:rPr>
          <w:spacing w:val="6"/>
          <w:sz w:val="16"/>
        </w:rPr>
        <w:t> </w:t>
      </w:r>
      <w:r>
        <w:rPr>
          <w:sz w:val="16"/>
        </w:rPr>
        <w:t>of</w:t>
      </w:r>
      <w:r>
        <w:rPr>
          <w:spacing w:val="5"/>
          <w:sz w:val="16"/>
        </w:rPr>
        <w:t> </w:t>
      </w:r>
      <w:r>
        <w:rPr>
          <w:sz w:val="16"/>
        </w:rPr>
        <w:t>the</w:t>
      </w:r>
      <w:r>
        <w:rPr>
          <w:spacing w:val="5"/>
          <w:sz w:val="16"/>
        </w:rPr>
        <w:t> </w:t>
      </w:r>
      <w:r>
        <w:rPr>
          <w:sz w:val="16"/>
        </w:rPr>
        <w:t>Floor</w:t>
      </w:r>
      <w:r>
        <w:rPr>
          <w:spacing w:val="5"/>
          <w:sz w:val="16"/>
        </w:rPr>
        <w:t> </w:t>
      </w:r>
      <w:r>
        <w:rPr>
          <w:spacing w:val="-2"/>
          <w:sz w:val="16"/>
        </w:rPr>
        <w:t>Pivots</w:t>
      </w:r>
    </w:p>
    <w:p>
      <w:pPr>
        <w:pStyle w:val="BodyText"/>
      </w:pPr>
    </w:p>
    <w:p>
      <w:pPr>
        <w:pStyle w:val="Heading3"/>
        <w:tabs>
          <w:tab w:pos="7302" w:val="left" w:leader="none"/>
        </w:tabs>
        <w:ind w:left="500"/>
      </w:pPr>
      <w:bookmarkStart w:name="_TOC_250049" w:id="42"/>
      <w:r>
        <w:rPr>
          <w:smallCaps/>
          <w:spacing w:val="-2"/>
          <w:u w:val="single"/>
        </w:rPr>
        <w:t>Applying</w:t>
      </w:r>
      <w:r>
        <w:rPr>
          <w:smallCaps/>
          <w:spacing w:val="-12"/>
          <w:u w:val="single"/>
        </w:rPr>
        <w:t> </w:t>
      </w:r>
      <w:r>
        <w:rPr>
          <w:smallCaps/>
          <w:spacing w:val="-2"/>
          <w:u w:val="single"/>
        </w:rPr>
        <w:t>the</w:t>
      </w:r>
      <w:r>
        <w:rPr>
          <w:smallCaps/>
          <w:spacing w:val="-9"/>
          <w:u w:val="single"/>
        </w:rPr>
        <w:t> </w:t>
      </w:r>
      <w:r>
        <w:rPr>
          <w:smallCaps/>
          <w:spacing w:val="-2"/>
          <w:u w:val="single"/>
        </w:rPr>
        <w:t>Formula</w:t>
      </w:r>
      <w:bookmarkEnd w:id="42"/>
      <w:r>
        <w:rPr>
          <w:smallCaps/>
          <w:u w:val="single"/>
        </w:rPr>
        <w:tab/>
      </w:r>
    </w:p>
    <w:p>
      <w:pPr>
        <w:pStyle w:val="BodyText"/>
        <w:spacing w:before="254"/>
        <w:ind w:left="500" w:right="135" w:firstLine="432"/>
        <w:jc w:val="both"/>
      </w:pPr>
      <w:r>
        <w:rPr/>
        <w:t>When I first discovered the pivots, I manually had to draw each pivot level with a line drawing tool onto my charts. I would input the high, low,</w:t>
      </w:r>
      <w:r>
        <w:rPr>
          <w:spacing w:val="40"/>
        </w:rPr>
        <w:t> </w:t>
      </w:r>
      <w:r>
        <w:rPr/>
        <w:t>and</w:t>
      </w:r>
      <w:r>
        <w:rPr>
          <w:spacing w:val="-1"/>
        </w:rPr>
        <w:t> </w:t>
      </w:r>
      <w:r>
        <w:rPr/>
        <w:t>closing</w:t>
      </w:r>
      <w:r>
        <w:rPr>
          <w:spacing w:val="-2"/>
        </w:rPr>
        <w:t> </w:t>
      </w:r>
      <w:r>
        <w:rPr/>
        <w:t>price</w:t>
      </w:r>
      <w:r>
        <w:rPr>
          <w:spacing w:val="-1"/>
        </w:rPr>
        <w:t> </w:t>
      </w:r>
      <w:r>
        <w:rPr/>
        <w:t>into</w:t>
      </w:r>
      <w:r>
        <w:rPr>
          <w:spacing w:val="-1"/>
        </w:rPr>
        <w:t> </w:t>
      </w:r>
      <w:r>
        <w:rPr/>
        <w:t>a</w:t>
      </w:r>
      <w:r>
        <w:rPr>
          <w:spacing w:val="-1"/>
        </w:rPr>
        <w:t> </w:t>
      </w:r>
      <w:r>
        <w:rPr/>
        <w:t>spreadsheet</w:t>
      </w:r>
      <w:r>
        <w:rPr>
          <w:spacing w:val="-1"/>
        </w:rPr>
        <w:t> </w:t>
      </w:r>
      <w:r>
        <w:rPr/>
        <w:t>I</w:t>
      </w:r>
      <w:r>
        <w:rPr>
          <w:spacing w:val="-1"/>
        </w:rPr>
        <w:t> </w:t>
      </w:r>
      <w:r>
        <w:rPr/>
        <w:t>created</w:t>
      </w:r>
      <w:r>
        <w:rPr>
          <w:spacing w:val="-1"/>
        </w:rPr>
        <w:t> </w:t>
      </w:r>
      <w:r>
        <w:rPr/>
        <w:t>and</w:t>
      </w:r>
      <w:r>
        <w:rPr>
          <w:spacing w:val="-1"/>
        </w:rPr>
        <w:t> </w:t>
      </w:r>
      <w:r>
        <w:rPr/>
        <w:t>the</w:t>
      </w:r>
      <w:r>
        <w:rPr>
          <w:spacing w:val="-2"/>
        </w:rPr>
        <w:t> </w:t>
      </w:r>
      <w:r>
        <w:rPr/>
        <w:t>next</w:t>
      </w:r>
      <w:r>
        <w:rPr>
          <w:spacing w:val="-1"/>
        </w:rPr>
        <w:t> </w:t>
      </w:r>
      <w:r>
        <w:rPr/>
        <w:t>day’s</w:t>
      </w:r>
      <w:r>
        <w:rPr>
          <w:spacing w:val="-1"/>
        </w:rPr>
        <w:t> </w:t>
      </w:r>
      <w:r>
        <w:rPr/>
        <w:t>pivots</w:t>
      </w:r>
      <w:r>
        <w:rPr>
          <w:spacing w:val="-1"/>
        </w:rPr>
        <w:t> </w:t>
      </w:r>
      <w:r>
        <w:rPr/>
        <w:t>would calculate automatically. I then carefully placed each pivot level onto my charts, which was very clumsy at times, and repeated this process day after day. The word tedious is a vast understatement.</w:t>
      </w:r>
    </w:p>
    <w:p>
      <w:pPr>
        <w:pStyle w:val="BodyText"/>
        <w:ind w:left="500" w:right="136" w:firstLine="432"/>
        <w:jc w:val="both"/>
      </w:pPr>
      <w:r>
        <w:rPr/>
        <w:t>However, many trading applications these days have the Floor Pivots as an indicator in their base indicator library, which means my rain dances appear to have worked. This level of automation actually unlocked many of the secrets that I will reveal to you in later chapters, including higher timeframe pivots, pivot trend analysis, and multiple timeframe pivot combinations, which are some of the most powerful techniques used in all of technical analysis.</w:t>
      </w:r>
    </w:p>
    <w:p>
      <w:pPr>
        <w:pStyle w:val="BodyText"/>
        <w:ind w:left="500" w:right="133" w:firstLine="432"/>
        <w:jc w:val="both"/>
      </w:pPr>
      <w:r>
        <w:rPr/>
        <w:t>First,</w:t>
      </w:r>
      <w:r>
        <w:rPr>
          <w:spacing w:val="-2"/>
        </w:rPr>
        <w:t> </w:t>
      </w:r>
      <w:r>
        <w:rPr/>
        <w:t>however,</w:t>
      </w:r>
      <w:r>
        <w:rPr>
          <w:spacing w:val="-2"/>
        </w:rPr>
        <w:t> </w:t>
      </w:r>
      <w:r>
        <w:rPr/>
        <w:t>let’s</w:t>
      </w:r>
      <w:r>
        <w:rPr>
          <w:spacing w:val="-2"/>
        </w:rPr>
        <w:t> </w:t>
      </w:r>
      <w:r>
        <w:rPr/>
        <w:t>learn</w:t>
      </w:r>
      <w:r>
        <w:rPr>
          <w:spacing w:val="-2"/>
        </w:rPr>
        <w:t> </w:t>
      </w:r>
      <w:r>
        <w:rPr/>
        <w:t>more</w:t>
      </w:r>
      <w:r>
        <w:rPr>
          <w:spacing w:val="-2"/>
        </w:rPr>
        <w:t> </w:t>
      </w:r>
      <w:r>
        <w:rPr/>
        <w:t>about</w:t>
      </w:r>
      <w:r>
        <w:rPr>
          <w:spacing w:val="-2"/>
        </w:rPr>
        <w:t> </w:t>
      </w:r>
      <w:r>
        <w:rPr/>
        <w:t>these</w:t>
      </w:r>
      <w:r>
        <w:rPr>
          <w:spacing w:val="-2"/>
        </w:rPr>
        <w:t> </w:t>
      </w:r>
      <w:r>
        <w:rPr/>
        <w:t>fabulous</w:t>
      </w:r>
      <w:r>
        <w:rPr>
          <w:spacing w:val="-2"/>
        </w:rPr>
        <w:t> </w:t>
      </w:r>
      <w:r>
        <w:rPr/>
        <w:t>lines,</w:t>
      </w:r>
      <w:r>
        <w:rPr>
          <w:spacing w:val="-2"/>
        </w:rPr>
        <w:t> </w:t>
      </w:r>
      <w:r>
        <w:rPr/>
        <w:t>and</w:t>
      </w:r>
      <w:r>
        <w:rPr>
          <w:spacing w:val="-2"/>
        </w:rPr>
        <w:t> </w:t>
      </w:r>
      <w:r>
        <w:rPr/>
        <w:t>how</w:t>
      </w:r>
      <w:r>
        <w:rPr>
          <w:spacing w:val="-2"/>
        </w:rPr>
        <w:t> </w:t>
      </w:r>
      <w:r>
        <w:rPr/>
        <w:t>they apply to a single session. Figure 5.3 shows a five-minute chart of the Mini- Sized Dow futures contract. This is just your Typical Day in the market, but this chart is sans the underlying road map to the market.</w:t>
      </w:r>
      <w:r>
        <w:rPr/>
        <w:t> On this day, the</w:t>
      </w:r>
      <w:r>
        <w:rPr>
          <w:spacing w:val="40"/>
        </w:rPr>
        <w:t> </w:t>
      </w:r>
      <w:r>
        <w:rPr/>
        <w:t>Dow futures contract rallied early in the day, but reversed off the 7,800 level and dropped three hundred points to 7,500. The contract then reversed</w:t>
      </w:r>
      <w:r>
        <w:rPr>
          <w:spacing w:val="40"/>
        </w:rPr>
        <w:t> </w:t>
      </w:r>
      <w:r>
        <w:rPr/>
        <w:t>sharply from the 7,500 low and rallied to 7,700 where it closed the session.</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pPr>
      <w:r>
        <w:rPr/>
        <w:t>That’s</w:t>
      </w:r>
      <w:r>
        <w:rPr>
          <w:spacing w:val="40"/>
        </w:rPr>
        <w:t> </w:t>
      </w:r>
      <w:r>
        <w:rPr/>
        <w:t>a</w:t>
      </w:r>
      <w:r>
        <w:rPr>
          <w:spacing w:val="40"/>
        </w:rPr>
        <w:t> </w:t>
      </w:r>
      <w:r>
        <w:rPr/>
        <w:t>lot</w:t>
      </w:r>
      <w:r>
        <w:rPr>
          <w:spacing w:val="40"/>
        </w:rPr>
        <w:t> </w:t>
      </w:r>
      <w:r>
        <w:rPr/>
        <w:t>of</w:t>
      </w:r>
      <w:r>
        <w:rPr>
          <w:spacing w:val="40"/>
        </w:rPr>
        <w:t> </w:t>
      </w:r>
      <w:r>
        <w:rPr/>
        <w:t>movement</w:t>
      </w:r>
      <w:r>
        <w:rPr>
          <w:spacing w:val="40"/>
        </w:rPr>
        <w:t> </w:t>
      </w:r>
      <w:r>
        <w:rPr/>
        <w:t>for</w:t>
      </w:r>
      <w:r>
        <w:rPr>
          <w:spacing w:val="40"/>
        </w:rPr>
        <w:t> </w:t>
      </w:r>
      <w:r>
        <w:rPr/>
        <w:t>one</w:t>
      </w:r>
      <w:r>
        <w:rPr>
          <w:spacing w:val="40"/>
        </w:rPr>
        <w:t> </w:t>
      </w:r>
      <w:r>
        <w:rPr/>
        <w:t>day,</w:t>
      </w:r>
      <w:r>
        <w:rPr>
          <w:spacing w:val="40"/>
        </w:rPr>
        <w:t> </w:t>
      </w:r>
      <w:r>
        <w:rPr/>
        <w:t>with</w:t>
      </w:r>
      <w:r>
        <w:rPr>
          <w:spacing w:val="40"/>
        </w:rPr>
        <w:t> </w:t>
      </w:r>
      <w:r>
        <w:rPr/>
        <w:t>lots</w:t>
      </w:r>
      <w:r>
        <w:rPr>
          <w:spacing w:val="40"/>
        </w:rPr>
        <w:t> </w:t>
      </w:r>
      <w:r>
        <w:rPr/>
        <w:t>of</w:t>
      </w:r>
      <w:r>
        <w:rPr>
          <w:spacing w:val="40"/>
        </w:rPr>
        <w:t> </w:t>
      </w:r>
      <w:r>
        <w:rPr/>
        <w:t>intraday</w:t>
      </w:r>
      <w:r>
        <w:rPr>
          <w:spacing w:val="40"/>
        </w:rPr>
        <w:t> </w:t>
      </w:r>
      <w:r>
        <w:rPr/>
        <w:t>swings</w:t>
      </w:r>
      <w:r>
        <w:rPr>
          <w:spacing w:val="40"/>
        </w:rPr>
        <w:t> </w:t>
      </w:r>
      <w:r>
        <w:rPr/>
        <w:t>and reversals to boot.</w:t>
      </w:r>
    </w:p>
    <w:p>
      <w:pPr>
        <w:pStyle w:val="BodyText"/>
        <w:spacing w:before="1"/>
        <w:rPr>
          <w:sz w:val="20"/>
        </w:rPr>
      </w:pPr>
      <w:r>
        <w:rPr/>
        <w:drawing>
          <wp:anchor distT="0" distB="0" distL="0" distR="0" allowOverlap="1" layoutInCell="1" locked="0" behindDoc="0" simplePos="0" relativeHeight="146">
            <wp:simplePos x="0" y="0"/>
            <wp:positionH relativeFrom="page">
              <wp:posOffset>457200</wp:posOffset>
            </wp:positionH>
            <wp:positionV relativeFrom="paragraph">
              <wp:posOffset>162196</wp:posOffset>
            </wp:positionV>
            <wp:extent cx="4342089" cy="3016377"/>
            <wp:effectExtent l="0" t="0" r="0" b="0"/>
            <wp:wrapTopAndBottom/>
            <wp:docPr id="119" name="image61.png"/>
            <wp:cNvGraphicFramePr>
              <a:graphicFrameLocks noChangeAspect="1"/>
            </wp:cNvGraphicFramePr>
            <a:graphic>
              <a:graphicData uri="http://schemas.openxmlformats.org/drawingml/2006/picture">
                <pic:pic>
                  <pic:nvPicPr>
                    <pic:cNvPr id="120" name="image61.png"/>
                    <pic:cNvPicPr/>
                  </pic:nvPicPr>
                  <pic:blipFill>
                    <a:blip r:embed="rId155" cstate="print"/>
                    <a:stretch>
                      <a:fillRect/>
                    </a:stretch>
                  </pic:blipFill>
                  <pic:spPr>
                    <a:xfrm>
                      <a:off x="0" y="0"/>
                      <a:ext cx="4342089" cy="3016377"/>
                    </a:xfrm>
                    <a:prstGeom prst="rect">
                      <a:avLst/>
                    </a:prstGeom>
                  </pic:spPr>
                </pic:pic>
              </a:graphicData>
            </a:graphic>
          </wp:anchor>
        </w:drawing>
      </w:r>
    </w:p>
    <w:p>
      <w:pPr>
        <w:spacing w:before="0"/>
        <w:ind w:left="140" w:right="0" w:firstLine="0"/>
        <w:jc w:val="left"/>
        <w:rPr>
          <w:sz w:val="16"/>
        </w:rPr>
      </w:pPr>
      <w:r>
        <w:rPr>
          <w:sz w:val="16"/>
        </w:rPr>
        <w:t>FIGURE</w:t>
      </w:r>
      <w:r>
        <w:rPr>
          <w:spacing w:val="1"/>
          <w:sz w:val="16"/>
        </w:rPr>
        <w:t> </w:t>
      </w:r>
      <w:r>
        <w:rPr>
          <w:sz w:val="16"/>
        </w:rPr>
        <w:t>5.3:</w:t>
      </w:r>
      <w:r>
        <w:rPr>
          <w:spacing w:val="4"/>
          <w:sz w:val="16"/>
        </w:rPr>
        <w:t> </w:t>
      </w:r>
      <w:r>
        <w:rPr>
          <w:sz w:val="16"/>
        </w:rPr>
        <w:t>Mini-sized</w:t>
      </w:r>
      <w:r>
        <w:rPr>
          <w:spacing w:val="2"/>
          <w:sz w:val="16"/>
        </w:rPr>
        <w:t> </w:t>
      </w:r>
      <w:r>
        <w:rPr>
          <w:sz w:val="16"/>
        </w:rPr>
        <w:t>Dow</w:t>
      </w:r>
      <w:r>
        <w:rPr>
          <w:spacing w:val="2"/>
          <w:sz w:val="16"/>
        </w:rPr>
        <w:t> </w:t>
      </w:r>
      <w:r>
        <w:rPr>
          <w:sz w:val="16"/>
        </w:rPr>
        <w:t>Jones</w:t>
      </w:r>
      <w:r>
        <w:rPr>
          <w:spacing w:val="3"/>
          <w:sz w:val="16"/>
        </w:rPr>
        <w:t> </w:t>
      </w:r>
      <w:r>
        <w:rPr>
          <w:sz w:val="16"/>
        </w:rPr>
        <w:t>without</w:t>
      </w:r>
      <w:r>
        <w:rPr>
          <w:spacing w:val="2"/>
          <w:sz w:val="16"/>
        </w:rPr>
        <w:t> </w:t>
      </w:r>
      <w:r>
        <w:rPr>
          <w:sz w:val="16"/>
        </w:rPr>
        <w:t>the</w:t>
      </w:r>
      <w:r>
        <w:rPr>
          <w:spacing w:val="2"/>
          <w:sz w:val="16"/>
        </w:rPr>
        <w:t> </w:t>
      </w:r>
      <w:r>
        <w:rPr>
          <w:sz w:val="16"/>
        </w:rPr>
        <w:t>Floor</w:t>
      </w:r>
      <w:r>
        <w:rPr>
          <w:spacing w:val="2"/>
          <w:sz w:val="16"/>
        </w:rPr>
        <w:t> </w:t>
      </w:r>
      <w:r>
        <w:rPr>
          <w:spacing w:val="-2"/>
          <w:sz w:val="16"/>
        </w:rPr>
        <w:t>Pivots</w:t>
      </w:r>
    </w:p>
    <w:p>
      <w:pPr>
        <w:pStyle w:val="BodyText"/>
        <w:spacing w:before="9"/>
        <w:rPr>
          <w:sz w:val="21"/>
        </w:rPr>
      </w:pPr>
    </w:p>
    <w:p>
      <w:pPr>
        <w:pStyle w:val="BodyText"/>
        <w:ind w:left="140" w:right="496" w:firstLine="432"/>
        <w:jc w:val="both"/>
      </w:pPr>
      <w:r>
        <w:rPr/>
        <w:t>Figure 5.4, however, reveals the Floor Pivots for the same day and clearly illustrates how each turn in the market was orchestrated by reactions at these levels. The YM began the day right at the top central pivot and</w:t>
      </w:r>
      <w:r>
        <w:rPr>
          <w:spacing w:val="40"/>
        </w:rPr>
        <w:t> </w:t>
      </w:r>
      <w:r>
        <w:rPr/>
        <w:t>rallied</w:t>
      </w:r>
      <w:r>
        <w:rPr>
          <w:spacing w:val="-2"/>
        </w:rPr>
        <w:t> </w:t>
      </w:r>
      <w:r>
        <w:rPr/>
        <w:t>through</w:t>
      </w:r>
      <w:r>
        <w:rPr>
          <w:spacing w:val="-2"/>
        </w:rPr>
        <w:t> </w:t>
      </w:r>
      <w:r>
        <w:rPr/>
        <w:t>R1</w:t>
      </w:r>
      <w:r>
        <w:rPr>
          <w:spacing w:val="-2"/>
        </w:rPr>
        <w:t> </w:t>
      </w:r>
      <w:r>
        <w:rPr/>
        <w:t>resistance</w:t>
      </w:r>
      <w:r>
        <w:rPr>
          <w:spacing w:val="-1"/>
        </w:rPr>
        <w:t> </w:t>
      </w:r>
      <w:r>
        <w:rPr/>
        <w:t>straight</w:t>
      </w:r>
      <w:r>
        <w:rPr>
          <w:spacing w:val="-2"/>
        </w:rPr>
        <w:t> </w:t>
      </w:r>
      <w:r>
        <w:rPr/>
        <w:t>to</w:t>
      </w:r>
      <w:r>
        <w:rPr>
          <w:spacing w:val="-1"/>
        </w:rPr>
        <w:t> </w:t>
      </w:r>
      <w:r>
        <w:rPr/>
        <w:t>R2.</w:t>
      </w:r>
      <w:r>
        <w:rPr>
          <w:spacing w:val="-2"/>
        </w:rPr>
        <w:t> </w:t>
      </w:r>
      <w:r>
        <w:rPr/>
        <w:t>The</w:t>
      </w:r>
      <w:r>
        <w:rPr>
          <w:spacing w:val="-2"/>
        </w:rPr>
        <w:t> </w:t>
      </w:r>
      <w:r>
        <w:rPr/>
        <w:t>contract</w:t>
      </w:r>
      <w:r>
        <w:rPr>
          <w:spacing w:val="-2"/>
        </w:rPr>
        <w:t> </w:t>
      </w:r>
      <w:r>
        <w:rPr/>
        <w:t>then</w:t>
      </w:r>
      <w:r>
        <w:rPr>
          <w:spacing w:val="-1"/>
        </w:rPr>
        <w:t> </w:t>
      </w:r>
      <w:r>
        <w:rPr/>
        <w:t>consolidated</w:t>
      </w:r>
      <w:r>
        <w:rPr>
          <w:spacing w:val="-2"/>
        </w:rPr>
        <w:t> </w:t>
      </w:r>
      <w:r>
        <w:rPr/>
        <w:t>at highs beneath R2 and eventually dropped to S1 support for a brief moment before heading precisely to S2 at 7,500. The index then reversed sharply</w:t>
      </w:r>
      <w:r>
        <w:rPr>
          <w:spacing w:val="40"/>
        </w:rPr>
        <w:t> </w:t>
      </w:r>
      <w:r>
        <w:rPr/>
        <w:t>from S2 support and rallied back to R1 at 7,700, where it closed the day. Essentially, the high and low of the day was captured precisely by the pivots of this indicator, which is both fascinating and amazing.</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317" cy="2983229"/>
            <wp:effectExtent l="0" t="0" r="0" b="0"/>
            <wp:docPr id="121" name="image62.png"/>
            <wp:cNvGraphicFramePr>
              <a:graphicFrameLocks noChangeAspect="1"/>
            </wp:cNvGraphicFramePr>
            <a:graphic>
              <a:graphicData uri="http://schemas.openxmlformats.org/drawingml/2006/picture">
                <pic:pic>
                  <pic:nvPicPr>
                    <pic:cNvPr id="122" name="image62.png"/>
                    <pic:cNvPicPr/>
                  </pic:nvPicPr>
                  <pic:blipFill>
                    <a:blip r:embed="rId156" cstate="print"/>
                    <a:stretch>
                      <a:fillRect/>
                    </a:stretch>
                  </pic:blipFill>
                  <pic:spPr>
                    <a:xfrm>
                      <a:off x="0" y="0"/>
                      <a:ext cx="4304317" cy="2983229"/>
                    </a:xfrm>
                    <a:prstGeom prst="rect">
                      <a:avLst/>
                    </a:prstGeom>
                  </pic:spPr>
                </pic:pic>
              </a:graphicData>
            </a:graphic>
          </wp:inline>
        </w:drawing>
      </w:r>
      <w:r>
        <w:rPr>
          <w:sz w:val="20"/>
        </w:rPr>
      </w:r>
    </w:p>
    <w:p>
      <w:pPr>
        <w:spacing w:before="48"/>
        <w:ind w:left="500" w:right="0" w:firstLine="0"/>
        <w:jc w:val="left"/>
        <w:rPr>
          <w:sz w:val="16"/>
        </w:rPr>
      </w:pPr>
      <w:r>
        <w:rPr>
          <w:sz w:val="16"/>
        </w:rPr>
        <w:t>FIGURE</w:t>
      </w:r>
      <w:r>
        <w:rPr>
          <w:spacing w:val="1"/>
          <w:sz w:val="16"/>
        </w:rPr>
        <w:t> </w:t>
      </w:r>
      <w:r>
        <w:rPr>
          <w:sz w:val="16"/>
        </w:rPr>
        <w:t>5.4:</w:t>
      </w:r>
      <w:r>
        <w:rPr>
          <w:spacing w:val="3"/>
          <w:sz w:val="16"/>
        </w:rPr>
        <w:t> </w:t>
      </w:r>
      <w:r>
        <w:rPr>
          <w:sz w:val="16"/>
        </w:rPr>
        <w:t>Mini-sized</w:t>
      </w:r>
      <w:r>
        <w:rPr>
          <w:spacing w:val="2"/>
          <w:sz w:val="16"/>
        </w:rPr>
        <w:t> </w:t>
      </w:r>
      <w:r>
        <w:rPr>
          <w:sz w:val="16"/>
        </w:rPr>
        <w:t>Dow</w:t>
      </w:r>
      <w:r>
        <w:rPr>
          <w:spacing w:val="2"/>
          <w:sz w:val="16"/>
        </w:rPr>
        <w:t> </w:t>
      </w:r>
      <w:r>
        <w:rPr>
          <w:sz w:val="16"/>
        </w:rPr>
        <w:t>Jones</w:t>
      </w:r>
      <w:r>
        <w:rPr>
          <w:spacing w:val="2"/>
          <w:sz w:val="16"/>
        </w:rPr>
        <w:t> </w:t>
      </w:r>
      <w:r>
        <w:rPr>
          <w:sz w:val="16"/>
        </w:rPr>
        <w:t>with</w:t>
      </w:r>
      <w:r>
        <w:rPr>
          <w:spacing w:val="2"/>
          <w:sz w:val="16"/>
        </w:rPr>
        <w:t> </w:t>
      </w:r>
      <w:r>
        <w:rPr>
          <w:sz w:val="16"/>
        </w:rPr>
        <w:t>the</w:t>
      </w:r>
      <w:r>
        <w:rPr>
          <w:spacing w:val="2"/>
          <w:sz w:val="16"/>
        </w:rPr>
        <w:t> </w:t>
      </w:r>
      <w:r>
        <w:rPr>
          <w:sz w:val="16"/>
        </w:rPr>
        <w:t>Floor</w:t>
      </w:r>
      <w:r>
        <w:rPr>
          <w:spacing w:val="2"/>
          <w:sz w:val="16"/>
        </w:rPr>
        <w:t> </w:t>
      </w:r>
      <w:r>
        <w:rPr>
          <w:sz w:val="16"/>
        </w:rPr>
        <w:t>Pivots</w:t>
      </w:r>
      <w:r>
        <w:rPr>
          <w:spacing w:val="2"/>
          <w:sz w:val="16"/>
        </w:rPr>
        <w:t> </w:t>
      </w:r>
      <w:r>
        <w:rPr>
          <w:spacing w:val="-2"/>
          <w:sz w:val="16"/>
        </w:rPr>
        <w:t>revealed</w:t>
      </w:r>
    </w:p>
    <w:p>
      <w:pPr>
        <w:pStyle w:val="BodyText"/>
        <w:spacing w:before="2"/>
      </w:pPr>
    </w:p>
    <w:p>
      <w:pPr>
        <w:pStyle w:val="BodyText"/>
        <w:ind w:left="500" w:right="137" w:firstLine="432"/>
        <w:jc w:val="both"/>
      </w:pPr>
      <w:r>
        <w:rPr/>
        <w:t>If this doesn’t blow your mind, then you might not be impressed by the pyramids at Giza, the miracle of birth, or time travel.</w:t>
      </w:r>
      <w:r>
        <w:rPr/>
        <w:t> It’s hard to argue against this type of incredible precision in the stock market,</w:t>
      </w:r>
      <w:r>
        <w:rPr/>
        <w:t> where price movement often seems unruly at best, and a complete enigma the rest of the time. As long as there is proper liquidity and volatility in the market,</w:t>
      </w:r>
      <w:r>
        <w:rPr/>
        <w:t> the pivots will work on any chart, market,</w:t>
      </w:r>
      <w:r>
        <w:rPr/>
        <w:t> and timeframe. Even in the most challenging of market environments, these pivots light up the charts for your trading pleasure—and profit! This is trader voodoo at its best.</w:t>
      </w:r>
    </w:p>
    <w:p>
      <w:pPr>
        <w:pStyle w:val="BodyText"/>
        <w:ind w:left="500" w:right="135" w:firstLine="432"/>
        <w:jc w:val="both"/>
      </w:pPr>
      <w:r>
        <w:rPr/>
        <w:t>Let’s take a quick look at how to calculate the levels using the formula. On March 24, the YM had a high of 7,743, a low of 7,587, and a close of 7,618. To find the central pivot for March 25, you would take the high, low, and close from March 24 and then divide the sum by</w:t>
      </w:r>
      <w:r>
        <w:rPr>
          <w:spacing w:val="-1"/>
        </w:rPr>
        <w:t> </w:t>
      </w:r>
      <w:r>
        <w:rPr/>
        <w:t>3, thus, 7,743 + 7,587 + 7,618 = 22,948; 22,948 / 3 = 7649. To find S1, you would multiply the</w:t>
      </w:r>
      <w:r>
        <w:rPr>
          <w:spacing w:val="40"/>
        </w:rPr>
        <w:t> </w:t>
      </w:r>
      <w:r>
        <w:rPr/>
        <w:t>central pivot by 2 and then subtract the high from March 24. Thus, 7,649 × 2 – 7,743 = 7,555. To calculate R1, you would multiply the central pivot by 2 and then subtract the low, therefore, 7,649 × 2 – 7,587 = 7,711. You would continue in this manner until all the pivots have been calculated.</w:t>
      </w:r>
    </w:p>
    <w:p>
      <w:pPr>
        <w:pStyle w:val="BodyText"/>
        <w:ind w:left="500" w:right="136" w:firstLine="432"/>
        <w:jc w:val="both"/>
      </w:pPr>
      <w:r>
        <w:rPr/>
        <w:t>As I mentioned before, most trading platforms offer this indicator in their base indicator library, so actually plotting them by hand becomes an afterthought. Even if your platform doesn’t offer this indicator, a basic knowledge around a spreadsheet can calculate these levels quickly and easily</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7"/>
        <w:jc w:val="both"/>
      </w:pPr>
      <w:r>
        <w:rPr/>
        <w:t>for you once you have provided the high, low, and close of the day. Moreover, many free pivot calculators can be found online at trading sites across the worldwide interwebs.</w:t>
      </w:r>
    </w:p>
    <w:p>
      <w:pPr>
        <w:pStyle w:val="BodyText"/>
        <w:spacing w:before="10"/>
        <w:rPr>
          <w:sz w:val="21"/>
        </w:rPr>
      </w:pPr>
    </w:p>
    <w:p>
      <w:pPr>
        <w:pStyle w:val="Heading3"/>
        <w:jc w:val="both"/>
      </w:pPr>
      <w:r>
        <w:rPr/>
        <w:pict>
          <v:shape style="position:absolute;margin-left:35.220001pt;margin-top:17.090288pt;width:340.95pt;height:.1pt;mso-position-horizontal-relative:page;mso-position-vertical-relative:paragraph;z-index:-15653376;mso-wrap-distance-left:0;mso-wrap-distance-right:0" id="docshape466" coordorigin="704,342" coordsize="6819,0" path="m704,342l7523,342e" filled="false" stroked="true" strokeweight=".75pt" strokecolor="#000000">
            <v:path arrowok="t"/>
            <v:stroke dashstyle="solid"/>
            <w10:wrap type="topAndBottom"/>
          </v:shape>
        </w:pict>
      </w:r>
      <w:bookmarkStart w:name="_TOC_250048" w:id="43"/>
      <w:r>
        <w:rPr>
          <w:smallCaps/>
        </w:rPr>
        <w:t>Follow</w:t>
      </w:r>
      <w:r>
        <w:rPr>
          <w:smallCaps/>
          <w:spacing w:val="-14"/>
        </w:rPr>
        <w:t> </w:t>
      </w:r>
      <w:r>
        <w:rPr>
          <w:smallCaps/>
        </w:rPr>
        <w:t>the</w:t>
      </w:r>
      <w:r>
        <w:rPr>
          <w:smallCaps/>
          <w:spacing w:val="-8"/>
        </w:rPr>
        <w:t> </w:t>
      </w:r>
      <w:bookmarkEnd w:id="43"/>
      <w:r>
        <w:rPr>
          <w:smallCaps/>
          <w:spacing w:val="-2"/>
        </w:rPr>
        <w:t>Leader</w:t>
      </w:r>
    </w:p>
    <w:p>
      <w:pPr>
        <w:pStyle w:val="BodyText"/>
        <w:spacing w:before="226"/>
        <w:ind w:left="139" w:right="494" w:firstLine="432"/>
        <w:jc w:val="both"/>
      </w:pPr>
      <w:r>
        <w:rPr/>
        <w:t>Part of what makes the Floor Pivots so exceptional is the fact that they are based purely on price. It is this fact that gives pivot traders a huge advantage over other types of indicator-based traders. As you have already learned from the Money Zone, price-based indicators reveal true market- generated information. Traders that use price-based indicators are using the earliest price information available. Traditional indicators are lagging indicators, which means as soon as they confirm a move, most price-based traders have already identified a reversal and are already profiting in their trades, leaving the indicator-based bunch to scrounge for “seconds.” The</w:t>
      </w:r>
      <w:r>
        <w:rPr>
          <w:spacing w:val="40"/>
        </w:rPr>
        <w:t> </w:t>
      </w:r>
      <w:r>
        <w:rPr/>
        <w:t>truth is the best leading indicators are always price-based, like Floor Pivots and the Money Zone. Anything less and you’ll be trading from the back of</w:t>
      </w:r>
      <w:r>
        <w:rPr>
          <w:spacing w:val="40"/>
        </w:rPr>
        <w:t> </w:t>
      </w:r>
      <w:r>
        <w:rPr/>
        <w:t>the crowd instead of leading from the front.</w:t>
      </w:r>
    </w:p>
    <w:p>
      <w:pPr>
        <w:pStyle w:val="BodyText"/>
        <w:ind w:left="139" w:right="493" w:firstLine="432"/>
        <w:jc w:val="both"/>
      </w:pPr>
      <w:r>
        <w:rPr/>
        <w:t>Take a look at Figure 5.5. This chart typifies a lagging indicator being dominated by our price-based Floor Pivots. On this day, R1 resistance on the E-Mini NASDAQ 100 futures contract is 1,296.50 and the central pivot for the day is 1,281.50. Since R1 resistance is widely known prior to the day</w:t>
      </w:r>
      <w:r>
        <w:rPr>
          <w:spacing w:val="40"/>
        </w:rPr>
        <w:t> </w:t>
      </w:r>
      <w:r>
        <w:rPr/>
        <w:t>even starting, pivot players had already identified this pivot as a clear zone for potential short opportunities, since it is clear that responsive sellers are likely</w:t>
      </w:r>
      <w:r>
        <w:rPr>
          <w:spacing w:val="-2"/>
        </w:rPr>
        <w:t> </w:t>
      </w:r>
      <w:r>
        <w:rPr/>
        <w:t>to</w:t>
      </w:r>
      <w:r>
        <w:rPr>
          <w:spacing w:val="-2"/>
        </w:rPr>
        <w:t> </w:t>
      </w:r>
      <w:r>
        <w:rPr/>
        <w:t>enter</w:t>
      </w:r>
      <w:r>
        <w:rPr>
          <w:spacing w:val="-3"/>
        </w:rPr>
        <w:t> </w:t>
      </w:r>
      <w:r>
        <w:rPr/>
        <w:t>the</w:t>
      </w:r>
      <w:r>
        <w:rPr>
          <w:spacing w:val="-2"/>
        </w:rPr>
        <w:t> </w:t>
      </w:r>
      <w:r>
        <w:rPr/>
        <w:t>market</w:t>
      </w:r>
      <w:r>
        <w:rPr>
          <w:spacing w:val="-2"/>
        </w:rPr>
        <w:t> </w:t>
      </w:r>
      <w:r>
        <w:rPr/>
        <w:t>once</w:t>
      </w:r>
      <w:r>
        <w:rPr>
          <w:spacing w:val="-2"/>
        </w:rPr>
        <w:t> </w:t>
      </w:r>
      <w:r>
        <w:rPr/>
        <w:t>this</w:t>
      </w:r>
      <w:r>
        <w:rPr>
          <w:spacing w:val="-2"/>
        </w:rPr>
        <w:t> </w:t>
      </w:r>
      <w:r>
        <w:rPr/>
        <w:t>level</w:t>
      </w:r>
      <w:r>
        <w:rPr>
          <w:spacing w:val="-2"/>
        </w:rPr>
        <w:t> </w:t>
      </w:r>
      <w:r>
        <w:rPr/>
        <w:t>is</w:t>
      </w:r>
      <w:r>
        <w:rPr>
          <w:spacing w:val="-2"/>
        </w:rPr>
        <w:t> </w:t>
      </w:r>
      <w:r>
        <w:rPr/>
        <w:t>tested.</w:t>
      </w:r>
      <w:r>
        <w:rPr>
          <w:spacing w:val="-2"/>
        </w:rPr>
        <w:t> </w:t>
      </w:r>
      <w:r>
        <w:rPr/>
        <w:t>Therefore,</w:t>
      </w:r>
      <w:r>
        <w:rPr>
          <w:spacing w:val="-2"/>
        </w:rPr>
        <w:t> </w:t>
      </w:r>
      <w:r>
        <w:rPr/>
        <w:t>when</w:t>
      </w:r>
      <w:r>
        <w:rPr>
          <w:spacing w:val="-2"/>
        </w:rPr>
        <w:t> </w:t>
      </w:r>
      <w:r>
        <w:rPr/>
        <w:t>price</w:t>
      </w:r>
      <w:r>
        <w:rPr>
          <w:spacing w:val="-2"/>
        </w:rPr>
        <w:t> </w:t>
      </w:r>
      <w:r>
        <w:rPr/>
        <w:t>rises cautiously into R1 resistance, pivot players pounce on price as responsive sellers and ride the move lower. However, a classic lagging indicator-based system like the Stochastic Crossover, for example, doesn’t recognize the reversal until late in the move at 1,290.50. That means our price-based pivots signaled a reversal a full six points earlier than this traditional lagging </w:t>
      </w:r>
      <w:r>
        <w:rPr>
          <w:spacing w:val="-2"/>
        </w:rPr>
        <w:t>indicator.</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799" cy="3043237"/>
            <wp:effectExtent l="0" t="0" r="0" b="0"/>
            <wp:docPr id="123" name="image63.png"/>
            <wp:cNvGraphicFramePr>
              <a:graphicFrameLocks noChangeAspect="1"/>
            </wp:cNvGraphicFramePr>
            <a:graphic>
              <a:graphicData uri="http://schemas.openxmlformats.org/drawingml/2006/picture">
                <pic:pic>
                  <pic:nvPicPr>
                    <pic:cNvPr id="124" name="image63.png"/>
                    <pic:cNvPicPr/>
                  </pic:nvPicPr>
                  <pic:blipFill>
                    <a:blip r:embed="rId157" cstate="print"/>
                    <a:stretch>
                      <a:fillRect/>
                    </a:stretch>
                  </pic:blipFill>
                  <pic:spPr>
                    <a:xfrm>
                      <a:off x="0" y="0"/>
                      <a:ext cx="4304799" cy="3043237"/>
                    </a:xfrm>
                    <a:prstGeom prst="rect">
                      <a:avLst/>
                    </a:prstGeom>
                  </pic:spPr>
                </pic:pic>
              </a:graphicData>
            </a:graphic>
          </wp:inline>
        </w:drawing>
      </w:r>
      <w:r>
        <w:rPr>
          <w:sz w:val="20"/>
        </w:rPr>
      </w:r>
    </w:p>
    <w:p>
      <w:pPr>
        <w:spacing w:before="48"/>
        <w:ind w:left="500" w:right="0" w:firstLine="0"/>
        <w:jc w:val="left"/>
        <w:rPr>
          <w:sz w:val="16"/>
        </w:rPr>
      </w:pPr>
      <w:r>
        <w:rPr>
          <w:sz w:val="16"/>
        </w:rPr>
        <w:t>FIGURE</w:t>
      </w:r>
      <w:r>
        <w:rPr>
          <w:spacing w:val="2"/>
          <w:sz w:val="16"/>
        </w:rPr>
        <w:t> </w:t>
      </w:r>
      <w:r>
        <w:rPr>
          <w:sz w:val="16"/>
        </w:rPr>
        <w:t>5.5:</w:t>
      </w:r>
      <w:r>
        <w:rPr>
          <w:spacing w:val="2"/>
          <w:sz w:val="16"/>
        </w:rPr>
        <w:t> </w:t>
      </w:r>
      <w:r>
        <w:rPr>
          <w:sz w:val="16"/>
        </w:rPr>
        <w:t>Price-based</w:t>
      </w:r>
      <w:r>
        <w:rPr>
          <w:spacing w:val="3"/>
          <w:sz w:val="16"/>
        </w:rPr>
        <w:t> </w:t>
      </w:r>
      <w:r>
        <w:rPr>
          <w:sz w:val="16"/>
        </w:rPr>
        <w:t>pivots</w:t>
      </w:r>
      <w:r>
        <w:rPr>
          <w:spacing w:val="2"/>
          <w:sz w:val="16"/>
        </w:rPr>
        <w:t> </w:t>
      </w:r>
      <w:r>
        <w:rPr>
          <w:sz w:val="16"/>
        </w:rPr>
        <w:t>versus</w:t>
      </w:r>
      <w:r>
        <w:rPr>
          <w:spacing w:val="3"/>
          <w:sz w:val="16"/>
        </w:rPr>
        <w:t> </w:t>
      </w:r>
      <w:r>
        <w:rPr>
          <w:sz w:val="16"/>
        </w:rPr>
        <w:t>a</w:t>
      </w:r>
      <w:r>
        <w:rPr>
          <w:spacing w:val="2"/>
          <w:sz w:val="16"/>
        </w:rPr>
        <w:t> </w:t>
      </w:r>
      <w:r>
        <w:rPr>
          <w:sz w:val="16"/>
        </w:rPr>
        <w:t>typical</w:t>
      </w:r>
      <w:r>
        <w:rPr>
          <w:spacing w:val="4"/>
          <w:sz w:val="16"/>
        </w:rPr>
        <w:t> </w:t>
      </w:r>
      <w:r>
        <w:rPr>
          <w:sz w:val="16"/>
        </w:rPr>
        <w:t>lagging</w:t>
      </w:r>
      <w:r>
        <w:rPr>
          <w:spacing w:val="2"/>
          <w:sz w:val="16"/>
        </w:rPr>
        <w:t> </w:t>
      </w:r>
      <w:r>
        <w:rPr>
          <w:spacing w:val="-2"/>
          <w:sz w:val="16"/>
        </w:rPr>
        <w:t>indicator</w:t>
      </w:r>
    </w:p>
    <w:p>
      <w:pPr>
        <w:pStyle w:val="BodyText"/>
        <w:spacing w:before="1"/>
      </w:pPr>
    </w:p>
    <w:p>
      <w:pPr>
        <w:pStyle w:val="BodyText"/>
        <w:spacing w:before="1"/>
        <w:ind w:left="500" w:right="136" w:firstLine="432"/>
        <w:jc w:val="both"/>
      </w:pPr>
      <w:r>
        <w:rPr/>
        <w:t>Taking this example a bit further, pivot players will see a target at the day’s central pivot point at 1,281.50 since it has a 63 percent chance of being reached at some point during the day, thus allowing this group of traders to take</w:t>
      </w:r>
      <w:r>
        <w:rPr>
          <w:spacing w:val="-1"/>
        </w:rPr>
        <w:t> </w:t>
      </w:r>
      <w:r>
        <w:rPr/>
        <w:t>the</w:t>
      </w:r>
      <w:r>
        <w:rPr>
          <w:spacing w:val="-1"/>
        </w:rPr>
        <w:t> </w:t>
      </w:r>
      <w:r>
        <w:rPr/>
        <w:t>entire</w:t>
      </w:r>
      <w:r>
        <w:rPr>
          <w:spacing w:val="-1"/>
        </w:rPr>
        <w:t> </w:t>
      </w:r>
      <w:r>
        <w:rPr/>
        <w:t>fifteen-point</w:t>
      </w:r>
      <w:r>
        <w:rPr>
          <w:spacing w:val="-1"/>
        </w:rPr>
        <w:t> </w:t>
      </w:r>
      <w:r>
        <w:rPr/>
        <w:t>move.</w:t>
      </w:r>
      <w:r>
        <w:rPr>
          <w:spacing w:val="-1"/>
        </w:rPr>
        <w:t> </w:t>
      </w:r>
      <w:r>
        <w:rPr/>
        <w:t>However,</w:t>
      </w:r>
      <w:r>
        <w:rPr>
          <w:spacing w:val="-1"/>
        </w:rPr>
        <w:t> </w:t>
      </w:r>
      <w:r>
        <w:rPr/>
        <w:t>traders</w:t>
      </w:r>
      <w:r>
        <w:rPr>
          <w:spacing w:val="-1"/>
        </w:rPr>
        <w:t> </w:t>
      </w:r>
      <w:r>
        <w:rPr/>
        <w:t>using</w:t>
      </w:r>
      <w:r>
        <w:rPr>
          <w:spacing w:val="-1"/>
        </w:rPr>
        <w:t> </w:t>
      </w:r>
      <w:r>
        <w:rPr/>
        <w:t>a</w:t>
      </w:r>
      <w:r>
        <w:rPr>
          <w:spacing w:val="-1"/>
        </w:rPr>
        <w:t> </w:t>
      </w:r>
      <w:r>
        <w:rPr/>
        <w:t>lagging</w:t>
      </w:r>
      <w:r>
        <w:rPr>
          <w:spacing w:val="-1"/>
        </w:rPr>
        <w:t> </w:t>
      </w:r>
      <w:r>
        <w:rPr/>
        <w:t>indicator didn’t receive a crossover signal to exit the trade until 1,285.50 after the bounce had already occurred. Instead of picking up a full fifteen-point trade, the lagging indicator-based system only delivered a five-point trade. On the bright side, at least the trade didn’t turn into a loss.</w:t>
      </w:r>
    </w:p>
    <w:p>
      <w:pPr>
        <w:pStyle w:val="BodyText"/>
        <w:ind w:left="500" w:right="136" w:firstLine="432"/>
        <w:jc w:val="both"/>
      </w:pPr>
      <w:r>
        <w:rPr/>
        <w:t>It is easy to see why insider’s love to use these price-based pivots. They are unlike any other technical indicator on the shelf due to the fact that they are solely based on price.</w:t>
      </w:r>
    </w:p>
    <w:p>
      <w:pPr>
        <w:pStyle w:val="BodyText"/>
        <w:spacing w:before="1"/>
      </w:pPr>
    </w:p>
    <w:p>
      <w:pPr>
        <w:spacing w:before="0"/>
        <w:ind w:left="361" w:right="0" w:firstLine="0"/>
        <w:jc w:val="center"/>
        <w:rPr>
          <w:i/>
          <w:sz w:val="22"/>
        </w:rPr>
      </w:pPr>
      <w:r>
        <w:rPr>
          <w:i/>
          <w:sz w:val="22"/>
        </w:rPr>
        <w:t>Price</w:t>
      </w:r>
      <w:r>
        <w:rPr>
          <w:i/>
          <w:spacing w:val="-5"/>
          <w:sz w:val="22"/>
        </w:rPr>
        <w:t> </w:t>
      </w:r>
      <w:r>
        <w:rPr>
          <w:i/>
          <w:sz w:val="22"/>
        </w:rPr>
        <w:t>is</w:t>
      </w:r>
      <w:r>
        <w:rPr>
          <w:i/>
          <w:spacing w:val="-4"/>
          <w:sz w:val="22"/>
        </w:rPr>
        <w:t> </w:t>
      </w:r>
      <w:r>
        <w:rPr>
          <w:i/>
          <w:sz w:val="22"/>
        </w:rPr>
        <w:t>pure,</w:t>
      </w:r>
      <w:r>
        <w:rPr>
          <w:i/>
          <w:spacing w:val="-4"/>
          <w:sz w:val="22"/>
        </w:rPr>
        <w:t> </w:t>
      </w:r>
      <w:r>
        <w:rPr>
          <w:i/>
          <w:sz w:val="22"/>
        </w:rPr>
        <w:t>unfiltered</w:t>
      </w:r>
      <w:r>
        <w:rPr>
          <w:i/>
          <w:spacing w:val="-5"/>
          <w:sz w:val="22"/>
        </w:rPr>
        <w:t> </w:t>
      </w:r>
      <w:r>
        <w:rPr>
          <w:i/>
          <w:sz w:val="22"/>
        </w:rPr>
        <w:t>truth</w:t>
      </w:r>
      <w:r>
        <w:rPr>
          <w:i/>
          <w:spacing w:val="-4"/>
          <w:sz w:val="22"/>
        </w:rPr>
        <w:t> </w:t>
      </w:r>
      <w:r>
        <w:rPr>
          <w:i/>
          <w:sz w:val="22"/>
        </w:rPr>
        <w:t>in</w:t>
      </w:r>
      <w:r>
        <w:rPr>
          <w:i/>
          <w:spacing w:val="-5"/>
          <w:sz w:val="22"/>
        </w:rPr>
        <w:t> </w:t>
      </w:r>
      <w:r>
        <w:rPr>
          <w:i/>
          <w:sz w:val="22"/>
        </w:rPr>
        <w:t>the</w:t>
      </w:r>
      <w:r>
        <w:rPr>
          <w:i/>
          <w:spacing w:val="-4"/>
          <w:sz w:val="22"/>
        </w:rPr>
        <w:t> </w:t>
      </w:r>
      <w:r>
        <w:rPr>
          <w:i/>
          <w:sz w:val="22"/>
        </w:rPr>
        <w:t>markets.</w:t>
      </w:r>
      <w:r>
        <w:rPr>
          <w:i/>
          <w:spacing w:val="-5"/>
          <w:sz w:val="22"/>
        </w:rPr>
        <w:t> </w:t>
      </w:r>
      <w:r>
        <w:rPr>
          <w:i/>
          <w:sz w:val="22"/>
        </w:rPr>
        <w:t>Price</w:t>
      </w:r>
      <w:r>
        <w:rPr>
          <w:i/>
          <w:spacing w:val="-5"/>
          <w:sz w:val="22"/>
        </w:rPr>
        <w:t> </w:t>
      </w:r>
      <w:r>
        <w:rPr>
          <w:i/>
          <w:sz w:val="22"/>
        </w:rPr>
        <w:t>is</w:t>
      </w:r>
      <w:r>
        <w:rPr>
          <w:i/>
          <w:spacing w:val="-3"/>
          <w:sz w:val="22"/>
        </w:rPr>
        <w:t> </w:t>
      </w:r>
      <w:r>
        <w:rPr>
          <w:i/>
          <w:spacing w:val="-2"/>
          <w:sz w:val="22"/>
        </w:rPr>
        <w:t>king.</w:t>
      </w:r>
    </w:p>
    <w:p>
      <w:pPr>
        <w:pStyle w:val="BodyText"/>
        <w:spacing w:before="10"/>
        <w:rPr>
          <w:i/>
          <w:sz w:val="21"/>
        </w:rPr>
      </w:pPr>
    </w:p>
    <w:p>
      <w:pPr>
        <w:pStyle w:val="Heading3"/>
        <w:ind w:left="500"/>
      </w:pPr>
      <w:r>
        <w:rPr/>
        <w:pict>
          <v:shape style="position:absolute;margin-left:54.299999pt;margin-top:17.030315pt;width:340.95pt;height:.1pt;mso-position-horizontal-relative:page;mso-position-vertical-relative:paragraph;z-index:-15652864;mso-wrap-distance-left:0;mso-wrap-distance-right:0" id="docshape467" coordorigin="1086,341" coordsize="6819,0" path="m1086,341l7904,341e" filled="false" stroked="true" strokeweight=".75pt" strokecolor="#000000">
            <v:path arrowok="t"/>
            <v:stroke dashstyle="solid"/>
            <w10:wrap type="topAndBottom"/>
          </v:shape>
        </w:pict>
      </w:r>
      <w:bookmarkStart w:name="_TOC_250047" w:id="44"/>
      <w:r>
        <w:rPr>
          <w:smallCaps/>
        </w:rPr>
        <w:t>The</w:t>
      </w:r>
      <w:r>
        <w:rPr>
          <w:smallCaps/>
          <w:spacing w:val="-14"/>
        </w:rPr>
        <w:t> </w:t>
      </w:r>
      <w:r>
        <w:rPr>
          <w:smallCaps/>
        </w:rPr>
        <w:t>Fourth</w:t>
      </w:r>
      <w:r>
        <w:rPr>
          <w:smallCaps/>
          <w:spacing w:val="-13"/>
        </w:rPr>
        <w:t> </w:t>
      </w:r>
      <w:bookmarkEnd w:id="44"/>
      <w:r>
        <w:rPr>
          <w:smallCaps/>
          <w:spacing w:val="-4"/>
        </w:rPr>
        <w:t>Layer</w:t>
      </w:r>
    </w:p>
    <w:p>
      <w:pPr>
        <w:pStyle w:val="BodyText"/>
        <w:spacing w:before="227"/>
        <w:ind w:left="500" w:right="133" w:firstLine="432"/>
        <w:jc w:val="both"/>
      </w:pPr>
      <w:r>
        <w:rPr/>
        <w:t>Switching gears for moment, I mentioned earlier in the chapter that I added the fourth layer of support and resistance to the Floor Pivots indicator. I cannot take credit for discovering this formula, as it was already widely available</w:t>
      </w:r>
      <w:r>
        <w:rPr>
          <w:spacing w:val="-1"/>
        </w:rPr>
        <w:t> </w:t>
      </w:r>
      <w:r>
        <w:rPr/>
        <w:t>to</w:t>
      </w:r>
      <w:r>
        <w:rPr>
          <w:spacing w:val="-1"/>
        </w:rPr>
        <w:t> </w:t>
      </w:r>
      <w:r>
        <w:rPr/>
        <w:t>traders.</w:t>
      </w:r>
      <w:r>
        <w:rPr>
          <w:spacing w:val="-1"/>
        </w:rPr>
        <w:t> </w:t>
      </w:r>
      <w:r>
        <w:rPr/>
        <w:t>However,</w:t>
      </w:r>
      <w:r>
        <w:rPr>
          <w:spacing w:val="-1"/>
        </w:rPr>
        <w:t> </w:t>
      </w:r>
      <w:r>
        <w:rPr/>
        <w:t>I believe</w:t>
      </w:r>
      <w:r>
        <w:rPr>
          <w:spacing w:val="-1"/>
        </w:rPr>
        <w:t> </w:t>
      </w:r>
      <w:r>
        <w:rPr/>
        <w:t>that</w:t>
      </w:r>
      <w:r>
        <w:rPr>
          <w:spacing w:val="-1"/>
        </w:rPr>
        <w:t> </w:t>
      </w:r>
      <w:r>
        <w:rPr/>
        <w:t>I</w:t>
      </w:r>
      <w:r>
        <w:rPr>
          <w:spacing w:val="-1"/>
        </w:rPr>
        <w:t> </w:t>
      </w:r>
      <w:r>
        <w:rPr/>
        <w:t>helped</w:t>
      </w:r>
      <w:r>
        <w:rPr>
          <w:spacing w:val="-1"/>
        </w:rPr>
        <w:t> </w:t>
      </w:r>
      <w:r>
        <w:rPr/>
        <w:t>to</w:t>
      </w:r>
      <w:r>
        <w:rPr>
          <w:spacing w:val="1"/>
        </w:rPr>
        <w:t> </w:t>
      </w:r>
      <w:r>
        <w:rPr/>
        <w:t>make</w:t>
      </w:r>
      <w:r>
        <w:rPr>
          <w:spacing w:val="-1"/>
        </w:rPr>
        <w:t> </w:t>
      </w:r>
      <w:r>
        <w:rPr/>
        <w:t>the</w:t>
      </w:r>
      <w:r>
        <w:rPr>
          <w:spacing w:val="-1"/>
        </w:rPr>
        <w:t> </w:t>
      </w:r>
      <w:r>
        <w:rPr/>
        <w:t>fourth</w:t>
      </w:r>
      <w:r>
        <w:rPr>
          <w:spacing w:val="-1"/>
        </w:rPr>
        <w:t> </w:t>
      </w:r>
      <w:r>
        <w:rPr>
          <w:spacing w:val="-2"/>
        </w:rPr>
        <w:t>layer</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5"/>
        <w:jc w:val="both"/>
      </w:pPr>
      <w:r>
        <w:rPr/>
        <w:t>more mainstream to the trading public by including it in our company’s software platforms (OmniTrader and VisualTrader), along with the central pivot range. Pivot purists may not like the addition of the fourth layer, but traders I’ve talked to love this addition. The market is more dynamic these days and the moves are more explosive. As such, the addition of the fourth layer of support and resistance helps to provide an extra target for those days where the market has exploded through the second layer of the pivots.</w:t>
      </w:r>
    </w:p>
    <w:p>
      <w:pPr>
        <w:pStyle w:val="BodyText"/>
        <w:ind w:left="140" w:right="494" w:firstLine="432"/>
        <w:jc w:val="both"/>
      </w:pPr>
      <w:r>
        <w:rPr/>
        <w:t>Just two days ago, a mechanical system of mine fired a buy signal in the Russell 2000 Index Mini Futures contract and entered the trade at 530.10, seen in Figure 5.6. The system’s signal generation is unrelated to the pivots, thus the reason it fired long at R1 resistance. In any case, the trade began to trend nicely higher and I allowed the automated system to continue on its course, as I typically do. However, I became very interested in the trade as it began to rise above R3 resistance, as this territory is very rare for a typical trading day. As the TF rose to test R4 resistance, I called out to my trading room that this was officially the high for the day and promptly closed the position at 546.40 for a gain of 16.30 points, or $1,630 per contract.</w:t>
      </w:r>
    </w:p>
    <w:p>
      <w:pPr>
        <w:pStyle w:val="BodyText"/>
        <w:spacing w:before="2"/>
        <w:rPr>
          <w:sz w:val="20"/>
        </w:rPr>
      </w:pPr>
      <w:r>
        <w:rPr/>
        <w:drawing>
          <wp:anchor distT="0" distB="0" distL="0" distR="0" allowOverlap="1" layoutInCell="1" locked="0" behindDoc="0" simplePos="0" relativeHeight="149">
            <wp:simplePos x="0" y="0"/>
            <wp:positionH relativeFrom="page">
              <wp:posOffset>457200</wp:posOffset>
            </wp:positionH>
            <wp:positionV relativeFrom="paragraph">
              <wp:posOffset>162782</wp:posOffset>
            </wp:positionV>
            <wp:extent cx="4341977" cy="3129057"/>
            <wp:effectExtent l="0" t="0" r="0" b="0"/>
            <wp:wrapTopAndBottom/>
            <wp:docPr id="125" name="image64.png"/>
            <wp:cNvGraphicFramePr>
              <a:graphicFrameLocks noChangeAspect="1"/>
            </wp:cNvGraphicFramePr>
            <a:graphic>
              <a:graphicData uri="http://schemas.openxmlformats.org/drawingml/2006/picture">
                <pic:pic>
                  <pic:nvPicPr>
                    <pic:cNvPr id="126" name="image64.png"/>
                    <pic:cNvPicPr/>
                  </pic:nvPicPr>
                  <pic:blipFill>
                    <a:blip r:embed="rId158" cstate="print"/>
                    <a:stretch>
                      <a:fillRect/>
                    </a:stretch>
                  </pic:blipFill>
                  <pic:spPr>
                    <a:xfrm>
                      <a:off x="0" y="0"/>
                      <a:ext cx="4341977" cy="3129057"/>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5.6:</w:t>
      </w:r>
      <w:r>
        <w:rPr>
          <w:spacing w:val="2"/>
          <w:sz w:val="16"/>
        </w:rPr>
        <w:t> </w:t>
      </w:r>
      <w:r>
        <w:rPr>
          <w:sz w:val="16"/>
        </w:rPr>
        <w:t>The</w:t>
      </w:r>
      <w:r>
        <w:rPr>
          <w:spacing w:val="3"/>
          <w:sz w:val="16"/>
        </w:rPr>
        <w:t> </w:t>
      </w:r>
      <w:r>
        <w:rPr>
          <w:sz w:val="16"/>
        </w:rPr>
        <w:t>Russell</w:t>
      </w:r>
      <w:r>
        <w:rPr>
          <w:spacing w:val="1"/>
          <w:sz w:val="16"/>
        </w:rPr>
        <w:t> </w:t>
      </w:r>
      <w:r>
        <w:rPr>
          <w:sz w:val="16"/>
        </w:rPr>
        <w:t>2000</w:t>
      </w:r>
      <w:r>
        <w:rPr>
          <w:spacing w:val="1"/>
          <w:sz w:val="16"/>
        </w:rPr>
        <w:t> </w:t>
      </w:r>
      <w:r>
        <w:rPr>
          <w:sz w:val="16"/>
        </w:rPr>
        <w:t>Mini</w:t>
      </w:r>
      <w:r>
        <w:rPr>
          <w:spacing w:val="1"/>
          <w:sz w:val="16"/>
        </w:rPr>
        <w:t> </w:t>
      </w:r>
      <w:r>
        <w:rPr>
          <w:sz w:val="16"/>
        </w:rPr>
        <w:t>Futures</w:t>
      </w:r>
      <w:r>
        <w:rPr>
          <w:spacing w:val="2"/>
          <w:sz w:val="16"/>
        </w:rPr>
        <w:t> </w:t>
      </w:r>
      <w:r>
        <w:rPr>
          <w:sz w:val="16"/>
        </w:rPr>
        <w:t>contract</w:t>
      </w:r>
      <w:r>
        <w:rPr>
          <w:spacing w:val="2"/>
          <w:sz w:val="16"/>
        </w:rPr>
        <w:t> </w:t>
      </w:r>
      <w:r>
        <w:rPr>
          <w:sz w:val="16"/>
        </w:rPr>
        <w:t>rallies</w:t>
      </w:r>
      <w:r>
        <w:rPr>
          <w:spacing w:val="1"/>
          <w:sz w:val="16"/>
        </w:rPr>
        <w:t> </w:t>
      </w:r>
      <w:r>
        <w:rPr>
          <w:sz w:val="16"/>
        </w:rPr>
        <w:t>to</w:t>
      </w:r>
      <w:r>
        <w:rPr>
          <w:spacing w:val="2"/>
          <w:sz w:val="16"/>
        </w:rPr>
        <w:t> </w:t>
      </w:r>
      <w:r>
        <w:rPr>
          <w:sz w:val="16"/>
        </w:rPr>
        <w:t>R4</w:t>
      </w:r>
      <w:r>
        <w:rPr>
          <w:spacing w:val="1"/>
          <w:sz w:val="16"/>
        </w:rPr>
        <w:t> </w:t>
      </w:r>
      <w:r>
        <w:rPr>
          <w:spacing w:val="-2"/>
          <w:sz w:val="16"/>
        </w:rPr>
        <w:t>resistance</w:t>
      </w:r>
    </w:p>
    <w:p>
      <w:pPr>
        <w:pStyle w:val="BodyText"/>
        <w:spacing w:before="8"/>
        <w:rPr>
          <w:sz w:val="21"/>
        </w:rPr>
      </w:pPr>
    </w:p>
    <w:p>
      <w:pPr>
        <w:pStyle w:val="BodyText"/>
        <w:ind w:left="140" w:right="497" w:firstLine="432"/>
        <w:jc w:val="both"/>
      </w:pPr>
      <w:r>
        <w:rPr/>
        <w:t>As you can see, R4 resistance became the high for the day and the TF quietly</w:t>
      </w:r>
      <w:r>
        <w:rPr>
          <w:spacing w:val="-3"/>
        </w:rPr>
        <w:t> </w:t>
      </w:r>
      <w:r>
        <w:rPr/>
        <w:t>proceeded</w:t>
      </w:r>
      <w:r>
        <w:rPr>
          <w:spacing w:val="-2"/>
        </w:rPr>
        <w:t> </w:t>
      </w:r>
      <w:r>
        <w:rPr/>
        <w:t>to</w:t>
      </w:r>
      <w:r>
        <w:rPr>
          <w:spacing w:val="-2"/>
        </w:rPr>
        <w:t> </w:t>
      </w:r>
      <w:r>
        <w:rPr/>
        <w:t>trend</w:t>
      </w:r>
      <w:r>
        <w:rPr>
          <w:spacing w:val="-3"/>
        </w:rPr>
        <w:t> </w:t>
      </w:r>
      <w:r>
        <w:rPr/>
        <w:t>lower</w:t>
      </w:r>
      <w:r>
        <w:rPr>
          <w:spacing w:val="-2"/>
        </w:rPr>
        <w:t> </w:t>
      </w:r>
      <w:r>
        <w:rPr/>
        <w:t>back</w:t>
      </w:r>
      <w:r>
        <w:rPr>
          <w:spacing w:val="-2"/>
        </w:rPr>
        <w:t> </w:t>
      </w:r>
      <w:r>
        <w:rPr/>
        <w:t>toward</w:t>
      </w:r>
      <w:r>
        <w:rPr>
          <w:spacing w:val="-2"/>
        </w:rPr>
        <w:t> </w:t>
      </w:r>
      <w:r>
        <w:rPr/>
        <w:t>R3,</w:t>
      </w:r>
      <w:r>
        <w:rPr>
          <w:spacing w:val="-3"/>
        </w:rPr>
        <w:t> </w:t>
      </w:r>
      <w:r>
        <w:rPr/>
        <w:t>where</w:t>
      </w:r>
      <w:r>
        <w:rPr>
          <w:spacing w:val="-2"/>
        </w:rPr>
        <w:t> </w:t>
      </w:r>
      <w:r>
        <w:rPr/>
        <w:t>it</w:t>
      </w:r>
      <w:r>
        <w:rPr>
          <w:spacing w:val="-1"/>
        </w:rPr>
        <w:t> </w:t>
      </w:r>
      <w:r>
        <w:rPr/>
        <w:t>closed</w:t>
      </w:r>
      <w:r>
        <w:rPr>
          <w:spacing w:val="-3"/>
        </w:rPr>
        <w:t> </w:t>
      </w:r>
      <w:r>
        <w:rPr/>
        <w:t>the</w:t>
      </w:r>
      <w:r>
        <w:rPr>
          <w:spacing w:val="-2"/>
        </w:rPr>
        <w:t> session.</w:t>
      </w:r>
    </w:p>
    <w:p>
      <w:pPr>
        <w:spacing w:after="0"/>
        <w:jc w:val="both"/>
        <w:sectPr>
          <w:pgSz w:w="8640" w:h="12960"/>
          <w:pgMar w:header="579" w:footer="1060" w:top="760" w:bottom="1260" w:left="580" w:right="580"/>
        </w:sectPr>
      </w:pPr>
    </w:p>
    <w:p>
      <w:pPr>
        <w:pStyle w:val="BodyText"/>
        <w:spacing w:before="3"/>
      </w:pPr>
    </w:p>
    <w:p>
      <w:pPr>
        <w:pStyle w:val="BodyText"/>
        <w:spacing w:before="64"/>
        <w:ind w:left="500"/>
        <w:jc w:val="both"/>
      </w:pPr>
      <w:r>
        <w:rPr/>
        <w:t>The</w:t>
      </w:r>
      <w:r>
        <w:rPr>
          <w:spacing w:val="16"/>
        </w:rPr>
        <w:t> </w:t>
      </w:r>
      <w:r>
        <w:rPr/>
        <w:t>mechanical</w:t>
      </w:r>
      <w:r>
        <w:rPr>
          <w:spacing w:val="15"/>
        </w:rPr>
        <w:t> </w:t>
      </w:r>
      <w:r>
        <w:rPr/>
        <w:t>system</w:t>
      </w:r>
      <w:r>
        <w:rPr>
          <w:spacing w:val="16"/>
        </w:rPr>
        <w:t> </w:t>
      </w:r>
      <w:r>
        <w:rPr/>
        <w:t>would</w:t>
      </w:r>
      <w:r>
        <w:rPr>
          <w:spacing w:val="15"/>
        </w:rPr>
        <w:t> </w:t>
      </w:r>
      <w:r>
        <w:rPr/>
        <w:t>have</w:t>
      </w:r>
      <w:r>
        <w:rPr>
          <w:spacing w:val="15"/>
        </w:rPr>
        <w:t> </w:t>
      </w:r>
      <w:r>
        <w:rPr/>
        <w:t>closed</w:t>
      </w:r>
      <w:r>
        <w:rPr>
          <w:spacing w:val="15"/>
        </w:rPr>
        <w:t> </w:t>
      </w:r>
      <w:r>
        <w:rPr/>
        <w:t>the</w:t>
      </w:r>
      <w:r>
        <w:rPr>
          <w:spacing w:val="15"/>
        </w:rPr>
        <w:t> </w:t>
      </w:r>
      <w:r>
        <w:rPr/>
        <w:t>trade</w:t>
      </w:r>
      <w:r>
        <w:rPr>
          <w:spacing w:val="16"/>
        </w:rPr>
        <w:t> </w:t>
      </w:r>
      <w:r>
        <w:rPr/>
        <w:t>at</w:t>
      </w:r>
      <w:r>
        <w:rPr>
          <w:spacing w:val="16"/>
        </w:rPr>
        <w:t> </w:t>
      </w:r>
      <w:r>
        <w:rPr/>
        <w:t>543.30</w:t>
      </w:r>
      <w:r>
        <w:rPr>
          <w:spacing w:val="15"/>
        </w:rPr>
        <w:t> </w:t>
      </w:r>
      <w:r>
        <w:rPr/>
        <w:t>for</w:t>
      </w:r>
      <w:r>
        <w:rPr>
          <w:spacing w:val="13"/>
        </w:rPr>
        <w:t> </w:t>
      </w:r>
      <w:r>
        <w:rPr/>
        <w:t>a</w:t>
      </w:r>
      <w:r>
        <w:rPr>
          <w:spacing w:val="15"/>
        </w:rPr>
        <w:t> </w:t>
      </w:r>
      <w:r>
        <w:rPr/>
        <w:t>gain</w:t>
      </w:r>
      <w:r>
        <w:rPr>
          <w:spacing w:val="15"/>
        </w:rPr>
        <w:t> </w:t>
      </w:r>
      <w:r>
        <w:rPr>
          <w:spacing w:val="-5"/>
        </w:rPr>
        <w:t>of</w:t>
      </w:r>
    </w:p>
    <w:p>
      <w:pPr>
        <w:pStyle w:val="BodyText"/>
        <w:ind w:left="500" w:right="137"/>
        <w:jc w:val="both"/>
      </w:pPr>
      <w:r>
        <w:rPr/>
        <w:t>13.20 points ($1,320 per contract), but I was able to best that amount with</w:t>
      </w:r>
      <w:r>
        <w:rPr>
          <w:spacing w:val="40"/>
        </w:rPr>
        <w:t> </w:t>
      </w:r>
      <w:r>
        <w:rPr/>
        <w:t>my knowledge of the pivots. You see, the fourth layer of the pivots is only tested 5.5 percent of the time, with closures beyond this level occurring only</w:t>
      </w:r>
    </w:p>
    <w:p>
      <w:pPr>
        <w:pStyle w:val="BodyText"/>
        <w:ind w:left="500" w:right="136"/>
        <w:jc w:val="both"/>
      </w:pPr>
      <w:r>
        <w:rPr/>
        <w:t>3.0 percent of the time. Therefore, there was a 97 percent chance that price would</w:t>
      </w:r>
      <w:r>
        <w:rPr>
          <w:spacing w:val="-3"/>
        </w:rPr>
        <w:t> </w:t>
      </w:r>
      <w:r>
        <w:rPr/>
        <w:t>close</w:t>
      </w:r>
      <w:r>
        <w:rPr>
          <w:spacing w:val="-3"/>
        </w:rPr>
        <w:t> </w:t>
      </w:r>
      <w:r>
        <w:rPr/>
        <w:t>below</w:t>
      </w:r>
      <w:r>
        <w:rPr>
          <w:spacing w:val="-3"/>
        </w:rPr>
        <w:t> </w:t>
      </w:r>
      <w:r>
        <w:rPr/>
        <w:t>this</w:t>
      </w:r>
      <w:r>
        <w:rPr>
          <w:spacing w:val="-3"/>
        </w:rPr>
        <w:t> </w:t>
      </w:r>
      <w:r>
        <w:rPr/>
        <w:t>pivot</w:t>
      </w:r>
      <w:r>
        <w:rPr>
          <w:spacing w:val="-3"/>
        </w:rPr>
        <w:t> </w:t>
      </w:r>
      <w:r>
        <w:rPr/>
        <w:t>level,</w:t>
      </w:r>
      <w:r>
        <w:rPr>
          <w:spacing w:val="-3"/>
        </w:rPr>
        <w:t> </w:t>
      </w:r>
      <w:r>
        <w:rPr/>
        <w:t>thus</w:t>
      </w:r>
      <w:r>
        <w:rPr>
          <w:spacing w:val="-3"/>
        </w:rPr>
        <w:t> </w:t>
      </w:r>
      <w:r>
        <w:rPr/>
        <w:t>the</w:t>
      </w:r>
      <w:r>
        <w:rPr>
          <w:spacing w:val="-3"/>
        </w:rPr>
        <w:t> </w:t>
      </w:r>
      <w:r>
        <w:rPr/>
        <w:t>reason</w:t>
      </w:r>
      <w:r>
        <w:rPr>
          <w:spacing w:val="-4"/>
        </w:rPr>
        <w:t> </w:t>
      </w:r>
      <w:r>
        <w:rPr/>
        <w:t>for</w:t>
      </w:r>
      <w:r>
        <w:rPr>
          <w:spacing w:val="-1"/>
        </w:rPr>
        <w:t> </w:t>
      </w:r>
      <w:r>
        <w:rPr/>
        <w:t>my</w:t>
      </w:r>
      <w:r>
        <w:rPr>
          <w:spacing w:val="-3"/>
        </w:rPr>
        <w:t> </w:t>
      </w:r>
      <w:r>
        <w:rPr/>
        <w:t>exit.</w:t>
      </w:r>
      <w:r>
        <w:rPr>
          <w:spacing w:val="-3"/>
        </w:rPr>
        <w:t> </w:t>
      </w:r>
      <w:r>
        <w:rPr/>
        <w:t>To</w:t>
      </w:r>
      <w:r>
        <w:rPr>
          <w:spacing w:val="-3"/>
        </w:rPr>
        <w:t> </w:t>
      </w:r>
      <w:r>
        <w:rPr/>
        <w:t>learn</w:t>
      </w:r>
      <w:r>
        <w:rPr>
          <w:spacing w:val="-2"/>
        </w:rPr>
        <w:t> </w:t>
      </w:r>
      <w:r>
        <w:rPr/>
        <w:t>more about how I arrived at these percentages, see Appendix A for an excerpt of my Floor Pivots research.</w:t>
      </w:r>
    </w:p>
    <w:p>
      <w:pPr>
        <w:pStyle w:val="BodyText"/>
        <w:spacing w:before="1"/>
        <w:ind w:left="500" w:right="137" w:firstLine="432"/>
        <w:jc w:val="both"/>
      </w:pPr>
      <w:r>
        <w:rPr/>
        <w:t>Let’s take a look at Figure 5.7, which shows an extremely bullish day when</w:t>
      </w:r>
      <w:r>
        <w:rPr/>
        <w:t> the E-Mini S&amp;P 500 opened the session above R1 resistance via a breakaway gap. As you may recall from previous chapters, gaps that occur beyond the prior day’s range and value are likely to spark major trending moves in the direction of the break, as market sentiment has clearly changed overnight, which causes initiative participants to seek new value</w:t>
      </w:r>
      <w:r>
        <w:rPr>
          <w:spacing w:val="40"/>
        </w:rPr>
        <w:t> </w:t>
      </w:r>
      <w:r>
        <w:rPr/>
        <w:t>aggressively. Initiative parties have greater conviction behind their actions, which is clearly illustrated on these types of days.</w:t>
      </w:r>
    </w:p>
    <w:p>
      <w:pPr>
        <w:pStyle w:val="BodyText"/>
        <w:spacing w:before="11"/>
        <w:rPr>
          <w:sz w:val="19"/>
        </w:rPr>
      </w:pPr>
      <w:r>
        <w:rPr/>
        <w:drawing>
          <wp:anchor distT="0" distB="0" distL="0" distR="0" allowOverlap="1" layoutInCell="1" locked="0" behindDoc="0" simplePos="0" relativeHeight="150">
            <wp:simplePos x="0" y="0"/>
            <wp:positionH relativeFrom="page">
              <wp:posOffset>685800</wp:posOffset>
            </wp:positionH>
            <wp:positionV relativeFrom="paragraph">
              <wp:posOffset>161195</wp:posOffset>
            </wp:positionV>
            <wp:extent cx="4342089" cy="3016377"/>
            <wp:effectExtent l="0" t="0" r="0" b="0"/>
            <wp:wrapTopAndBottom/>
            <wp:docPr id="127" name="image65.png"/>
            <wp:cNvGraphicFramePr>
              <a:graphicFrameLocks noChangeAspect="1"/>
            </wp:cNvGraphicFramePr>
            <a:graphic>
              <a:graphicData uri="http://schemas.openxmlformats.org/drawingml/2006/picture">
                <pic:pic>
                  <pic:nvPicPr>
                    <pic:cNvPr id="128" name="image65.png"/>
                    <pic:cNvPicPr/>
                  </pic:nvPicPr>
                  <pic:blipFill>
                    <a:blip r:embed="rId159" cstate="print"/>
                    <a:stretch>
                      <a:fillRect/>
                    </a:stretch>
                  </pic:blipFill>
                  <pic:spPr>
                    <a:xfrm>
                      <a:off x="0" y="0"/>
                      <a:ext cx="4342089" cy="3016377"/>
                    </a:xfrm>
                    <a:prstGeom prst="rect">
                      <a:avLst/>
                    </a:prstGeom>
                  </pic:spPr>
                </pic:pic>
              </a:graphicData>
            </a:graphic>
          </wp:anchor>
        </w:drawing>
      </w:r>
    </w:p>
    <w:p>
      <w:pPr>
        <w:spacing w:before="0"/>
        <w:ind w:left="500" w:right="0" w:firstLine="0"/>
        <w:jc w:val="both"/>
        <w:rPr>
          <w:sz w:val="16"/>
        </w:rPr>
      </w:pPr>
      <w:r>
        <w:rPr>
          <w:sz w:val="16"/>
        </w:rPr>
        <w:t>FIGURE</w:t>
      </w:r>
      <w:r>
        <w:rPr>
          <w:spacing w:val="1"/>
          <w:sz w:val="16"/>
        </w:rPr>
        <w:t> </w:t>
      </w:r>
      <w:r>
        <w:rPr>
          <w:sz w:val="16"/>
        </w:rPr>
        <w:t>5.7:</w:t>
      </w:r>
      <w:r>
        <w:rPr>
          <w:spacing w:val="3"/>
          <w:sz w:val="16"/>
        </w:rPr>
        <w:t> </w:t>
      </w:r>
      <w:r>
        <w:rPr>
          <w:sz w:val="16"/>
        </w:rPr>
        <w:t>The</w:t>
      </w:r>
      <w:r>
        <w:rPr>
          <w:spacing w:val="3"/>
          <w:sz w:val="16"/>
        </w:rPr>
        <w:t> </w:t>
      </w:r>
      <w:r>
        <w:rPr>
          <w:sz w:val="16"/>
        </w:rPr>
        <w:t>E-Mini</w:t>
      </w:r>
      <w:r>
        <w:rPr>
          <w:spacing w:val="2"/>
          <w:sz w:val="16"/>
        </w:rPr>
        <w:t> </w:t>
      </w:r>
      <w:r>
        <w:rPr>
          <w:sz w:val="16"/>
        </w:rPr>
        <w:t>S&amp;P</w:t>
      </w:r>
      <w:r>
        <w:rPr>
          <w:spacing w:val="1"/>
          <w:sz w:val="16"/>
        </w:rPr>
        <w:t> </w:t>
      </w:r>
      <w:r>
        <w:rPr>
          <w:sz w:val="16"/>
        </w:rPr>
        <w:t>500</w:t>
      </w:r>
      <w:r>
        <w:rPr>
          <w:spacing w:val="2"/>
          <w:sz w:val="16"/>
        </w:rPr>
        <w:t> </w:t>
      </w:r>
      <w:r>
        <w:rPr>
          <w:sz w:val="16"/>
        </w:rPr>
        <w:t>closes</w:t>
      </w:r>
      <w:r>
        <w:rPr>
          <w:spacing w:val="2"/>
          <w:sz w:val="16"/>
        </w:rPr>
        <w:t> </w:t>
      </w:r>
      <w:r>
        <w:rPr>
          <w:sz w:val="16"/>
        </w:rPr>
        <w:t>the</w:t>
      </w:r>
      <w:r>
        <w:rPr>
          <w:spacing w:val="2"/>
          <w:sz w:val="16"/>
        </w:rPr>
        <w:t> </w:t>
      </w:r>
      <w:r>
        <w:rPr>
          <w:sz w:val="16"/>
        </w:rPr>
        <w:t>day</w:t>
      </w:r>
      <w:r>
        <w:rPr>
          <w:spacing w:val="1"/>
          <w:sz w:val="16"/>
        </w:rPr>
        <w:t> </w:t>
      </w:r>
      <w:r>
        <w:rPr>
          <w:sz w:val="16"/>
        </w:rPr>
        <w:t>at</w:t>
      </w:r>
      <w:r>
        <w:rPr>
          <w:spacing w:val="3"/>
          <w:sz w:val="16"/>
        </w:rPr>
        <w:t> </w:t>
      </w:r>
      <w:r>
        <w:rPr>
          <w:sz w:val="16"/>
        </w:rPr>
        <w:t>R4</w:t>
      </w:r>
      <w:r>
        <w:rPr>
          <w:spacing w:val="2"/>
          <w:sz w:val="16"/>
        </w:rPr>
        <w:t> </w:t>
      </w:r>
      <w:r>
        <w:rPr>
          <w:spacing w:val="-2"/>
          <w:sz w:val="16"/>
        </w:rPr>
        <w:t>resistance</w:t>
      </w:r>
    </w:p>
    <w:p>
      <w:pPr>
        <w:pStyle w:val="BodyText"/>
        <w:spacing w:before="10"/>
        <w:rPr>
          <w:sz w:val="21"/>
        </w:rPr>
      </w:pPr>
    </w:p>
    <w:p>
      <w:pPr>
        <w:pStyle w:val="BodyText"/>
        <w:ind w:left="500" w:right="138" w:firstLine="432"/>
        <w:jc w:val="both"/>
      </w:pPr>
      <w:r>
        <w:rPr/>
        <w:t>In Figure 5.7, the ES rallied through R2 and eventually to R3 before resting at the highs of the morning. The ES then formed a higher low at R2 and rallied the rest of the session, reaching R4 in the process. For those purists that only use a second or third layer of support or resistance, the rest</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jc w:val="both"/>
      </w:pPr>
      <w:r>
        <w:rPr/>
        <w:t>of the ride higher could feel like trading with your eyes closed. However, using the fourth layer of the indicator gave us another target to watch for a potential test ahead. In this case, the ES rallied to R4 and eventually closed the day </w:t>
      </w:r>
      <w:r>
        <w:rPr>
          <w:i/>
        </w:rPr>
        <w:t>precisely </w:t>
      </w:r>
      <w:r>
        <w:rPr/>
        <w:t>at this level.</w:t>
      </w:r>
    </w:p>
    <w:p>
      <w:pPr>
        <w:pStyle w:val="BodyText"/>
        <w:ind w:left="140" w:right="495" w:firstLine="432"/>
        <w:jc w:val="both"/>
      </w:pPr>
      <w:r>
        <w:rPr/>
        <w:t>Learning to read the cues of the market and the pivots prepares you to know when to switch from “reversal mode” to “trending mode.” In this case, the market gapped </w:t>
      </w:r>
      <w:r>
        <w:rPr>
          <w:i/>
        </w:rPr>
        <w:t>above </w:t>
      </w:r>
      <w:r>
        <w:rPr/>
        <w:t>R1 resistance at 780 to begin the day. When the market gaps beyond the first layer of support or resistance, you may be on</w:t>
      </w:r>
      <w:r>
        <w:rPr>
          <w:spacing w:val="40"/>
        </w:rPr>
        <w:t> </w:t>
      </w:r>
      <w:r>
        <w:rPr/>
        <w:t>the verge of a nice, trending session toward the third or fourth layer of the pivots.</w:t>
      </w:r>
      <w:r>
        <w:rPr>
          <w:spacing w:val="-2"/>
        </w:rPr>
        <w:t> </w:t>
      </w:r>
      <w:r>
        <w:rPr/>
        <w:t>The</w:t>
      </w:r>
      <w:r>
        <w:rPr>
          <w:spacing w:val="-2"/>
        </w:rPr>
        <w:t> </w:t>
      </w:r>
      <w:r>
        <w:rPr/>
        <w:t>first</w:t>
      </w:r>
      <w:r>
        <w:rPr>
          <w:spacing w:val="-2"/>
        </w:rPr>
        <w:t> </w:t>
      </w:r>
      <w:r>
        <w:rPr/>
        <w:t>thing</w:t>
      </w:r>
      <w:r>
        <w:rPr>
          <w:spacing w:val="-3"/>
        </w:rPr>
        <w:t> </w:t>
      </w:r>
      <w:r>
        <w:rPr/>
        <w:t>to</w:t>
      </w:r>
      <w:r>
        <w:rPr>
          <w:spacing w:val="-3"/>
        </w:rPr>
        <w:t> </w:t>
      </w:r>
      <w:r>
        <w:rPr/>
        <w:t>do</w:t>
      </w:r>
      <w:r>
        <w:rPr>
          <w:spacing w:val="-2"/>
        </w:rPr>
        <w:t> </w:t>
      </w:r>
      <w:r>
        <w:rPr/>
        <w:t>is</w:t>
      </w:r>
      <w:r>
        <w:rPr>
          <w:spacing w:val="-2"/>
        </w:rPr>
        <w:t> </w:t>
      </w:r>
      <w:r>
        <w:rPr/>
        <w:t>look</w:t>
      </w:r>
      <w:r>
        <w:rPr>
          <w:spacing w:val="-2"/>
        </w:rPr>
        <w:t> </w:t>
      </w:r>
      <w:r>
        <w:rPr/>
        <w:t>to</w:t>
      </w:r>
      <w:r>
        <w:rPr>
          <w:spacing w:val="-2"/>
        </w:rPr>
        <w:t> </w:t>
      </w:r>
      <w:r>
        <w:rPr/>
        <w:t>the</w:t>
      </w:r>
      <w:r>
        <w:rPr>
          <w:spacing w:val="-2"/>
        </w:rPr>
        <w:t> </w:t>
      </w:r>
      <w:r>
        <w:rPr/>
        <w:t>pivot</w:t>
      </w:r>
      <w:r>
        <w:rPr>
          <w:spacing w:val="-3"/>
        </w:rPr>
        <w:t> </w:t>
      </w:r>
      <w:r>
        <w:rPr/>
        <w:t>that</w:t>
      </w:r>
      <w:r>
        <w:rPr>
          <w:spacing w:val="-2"/>
        </w:rPr>
        <w:t> </w:t>
      </w:r>
      <w:r>
        <w:rPr/>
        <w:t>was</w:t>
      </w:r>
      <w:r>
        <w:rPr>
          <w:spacing w:val="-2"/>
        </w:rPr>
        <w:t> </w:t>
      </w:r>
      <w:r>
        <w:rPr/>
        <w:t>surpassed</w:t>
      </w:r>
      <w:r>
        <w:rPr>
          <w:spacing w:val="-1"/>
        </w:rPr>
        <w:t> </w:t>
      </w:r>
      <w:r>
        <w:rPr/>
        <w:t>via</w:t>
      </w:r>
      <w:r>
        <w:rPr>
          <w:spacing w:val="-2"/>
        </w:rPr>
        <w:t> </w:t>
      </w:r>
      <w:r>
        <w:rPr/>
        <w:t>the</w:t>
      </w:r>
      <w:r>
        <w:rPr>
          <w:spacing w:val="-2"/>
        </w:rPr>
        <w:t> </w:t>
      </w:r>
      <w:r>
        <w:rPr/>
        <w:t>gap and watch for a test at this level on a pull-back. If the market reverses from the gap and successfully tests R1 from above, there’s a 63.9 percent chance that it will test R2 and a 34.4 percent chance that it will test R3. Again, you can discover how I arrived at these percentages in Appendix A.</w:t>
      </w:r>
    </w:p>
    <w:p>
      <w:pPr>
        <w:pStyle w:val="BodyText"/>
        <w:spacing w:before="1"/>
        <w:ind w:left="140" w:right="495" w:firstLine="432"/>
        <w:jc w:val="both"/>
      </w:pPr>
      <w:r>
        <w:rPr/>
        <w:t>On this particular day, the ES was so strong at the outset that it never even pulled back to test R1, which is the first indication that continued strength lies ahead. In fact, on days when the central pivot is not reached at</w:t>
      </w:r>
      <w:r>
        <w:rPr>
          <w:spacing w:val="40"/>
        </w:rPr>
        <w:t> </w:t>
      </w:r>
      <w:r>
        <w:rPr/>
        <w:t>all during the session, you typically see the instances of touches at the first layer of the indicator drop significantly to 33.9 percent from 73.3 percent. This means that the market has gapped beyond R1 or S1 and is powering toward the next layers of pivots. Over 70 percent of the touches at the third and fourth layer of the pivots occur on Trend Days like the one in Figure 5.7, which is a day that offers the most explosive moves in the market. I will discuss how to capture this type of move using the Floor Pivots in Chapter 6.</w:t>
      </w:r>
    </w:p>
    <w:p>
      <w:pPr>
        <w:pStyle w:val="BodyText"/>
        <w:spacing w:before="9"/>
        <w:rPr>
          <w:sz w:val="21"/>
        </w:rPr>
      </w:pPr>
    </w:p>
    <w:p>
      <w:pPr>
        <w:pStyle w:val="Heading3"/>
        <w:jc w:val="both"/>
      </w:pPr>
      <w:r>
        <w:rPr/>
        <w:pict>
          <v:shape style="position:absolute;margin-left:35.82pt;margin-top:16.910324pt;width:340.95pt;height:.1pt;mso-position-horizontal-relative:page;mso-position-vertical-relative:paragraph;z-index:-15651328;mso-wrap-distance-left:0;mso-wrap-distance-right:0" id="docshape468" coordorigin="716,338" coordsize="6819,0" path="m716,338l7535,338e" filled="false" stroked="true" strokeweight=".75pt" strokecolor="#000000">
            <v:path arrowok="t"/>
            <v:stroke dashstyle="solid"/>
            <w10:wrap type="topAndBottom"/>
          </v:shape>
        </w:pict>
      </w:r>
      <w:bookmarkStart w:name="_TOC_250046" w:id="45"/>
      <w:r>
        <w:rPr>
          <w:smallCaps/>
          <w:spacing w:val="-8"/>
        </w:rPr>
        <w:t>The</w:t>
      </w:r>
      <w:r>
        <w:rPr>
          <w:smallCaps/>
          <w:spacing w:val="1"/>
        </w:rPr>
        <w:t> </w:t>
      </w:r>
      <w:r>
        <w:rPr>
          <w:smallCaps/>
          <w:spacing w:val="-8"/>
        </w:rPr>
        <w:t>Data</w:t>
      </w:r>
      <w:r>
        <w:rPr>
          <w:smallCaps/>
          <w:spacing w:val="-11"/>
        </w:rPr>
        <w:t> </w:t>
      </w:r>
      <w:bookmarkEnd w:id="45"/>
      <w:r>
        <w:rPr>
          <w:smallCaps/>
          <w:spacing w:val="-8"/>
        </w:rPr>
        <w:t>Debate</w:t>
      </w:r>
    </w:p>
    <w:p>
      <w:pPr>
        <w:pStyle w:val="BodyText"/>
        <w:spacing w:before="231"/>
        <w:ind w:left="139" w:right="496" w:firstLine="432"/>
        <w:jc w:val="both"/>
      </w:pPr>
      <w:r>
        <w:rPr/>
        <w:t>One important discussion that must not be overlooked is the extended- session data versus session-only data debate. Basically, pivot purists believe that the “true” pivots are only revealed when you plug in the high, low, and close of the prior day’s full trading activity, including pre- and post-market trading. Therefore, you may be plugging in the high that occurred overnight, the low that occurred during pre-market trading, and the close that occurred</w:t>
      </w:r>
      <w:r>
        <w:rPr>
          <w:spacing w:val="40"/>
        </w:rPr>
        <w:t> </w:t>
      </w:r>
      <w:r>
        <w:rPr/>
        <w:t>at</w:t>
      </w:r>
      <w:r>
        <w:rPr>
          <w:spacing w:val="-2"/>
        </w:rPr>
        <w:t> </w:t>
      </w:r>
      <w:r>
        <w:rPr/>
        <w:t>session’s</w:t>
      </w:r>
      <w:r>
        <w:rPr>
          <w:spacing w:val="-2"/>
        </w:rPr>
        <w:t> </w:t>
      </w:r>
      <w:r>
        <w:rPr/>
        <w:t>end.</w:t>
      </w:r>
      <w:r>
        <w:rPr>
          <w:spacing w:val="-2"/>
        </w:rPr>
        <w:t> </w:t>
      </w:r>
      <w:r>
        <w:rPr/>
        <w:t>Moreover,</w:t>
      </w:r>
      <w:r>
        <w:rPr>
          <w:spacing w:val="-2"/>
        </w:rPr>
        <w:t> </w:t>
      </w:r>
      <w:r>
        <w:rPr/>
        <w:t>the</w:t>
      </w:r>
      <w:r>
        <w:rPr>
          <w:spacing w:val="-2"/>
        </w:rPr>
        <w:t> </w:t>
      </w:r>
      <w:r>
        <w:rPr/>
        <w:t>close</w:t>
      </w:r>
      <w:r>
        <w:rPr>
          <w:spacing w:val="-2"/>
        </w:rPr>
        <w:t> </w:t>
      </w:r>
      <w:r>
        <w:rPr/>
        <w:t>should</w:t>
      </w:r>
      <w:r>
        <w:rPr>
          <w:spacing w:val="-4"/>
        </w:rPr>
        <w:t> </w:t>
      </w:r>
      <w:r>
        <w:rPr/>
        <w:t>be</w:t>
      </w:r>
      <w:r>
        <w:rPr>
          <w:spacing w:val="-2"/>
        </w:rPr>
        <w:t> </w:t>
      </w:r>
      <w:r>
        <w:rPr/>
        <w:t>the</w:t>
      </w:r>
      <w:r>
        <w:rPr>
          <w:spacing w:val="-2"/>
        </w:rPr>
        <w:t> </w:t>
      </w:r>
      <w:r>
        <w:rPr/>
        <w:t>settlement</w:t>
      </w:r>
      <w:r>
        <w:rPr>
          <w:spacing w:val="-2"/>
        </w:rPr>
        <w:t> </w:t>
      </w:r>
      <w:r>
        <w:rPr/>
        <w:t>price</w:t>
      </w:r>
      <w:r>
        <w:rPr>
          <w:spacing w:val="-1"/>
        </w:rPr>
        <w:t> </w:t>
      </w:r>
      <w:r>
        <w:rPr/>
        <w:t>if</w:t>
      </w:r>
      <w:r>
        <w:rPr>
          <w:spacing w:val="-3"/>
        </w:rPr>
        <w:t> </w:t>
      </w:r>
      <w:r>
        <w:rPr/>
        <w:t>you</w:t>
      </w:r>
      <w:r>
        <w:rPr>
          <w:spacing w:val="-2"/>
        </w:rPr>
        <w:t> </w:t>
      </w:r>
      <w:r>
        <w:rPr/>
        <w:t>are trading futures, like E-Mini contracts or energy futures. This is important because the settlement price is the official closing price that the market “settles” at </w:t>
      </w:r>
      <w:r>
        <w:rPr>
          <w:i/>
        </w:rPr>
        <w:t>after </w:t>
      </w:r>
      <w:r>
        <w:rPr/>
        <w:t>the market has actually closed and all the orders have been sorted</w:t>
      </w:r>
      <w:r>
        <w:rPr>
          <w:spacing w:val="-1"/>
        </w:rPr>
        <w:t> </w:t>
      </w:r>
      <w:r>
        <w:rPr/>
        <w:t>out,</w:t>
      </w:r>
      <w:r>
        <w:rPr>
          <w:spacing w:val="-2"/>
        </w:rPr>
        <w:t> </w:t>
      </w:r>
      <w:r>
        <w:rPr/>
        <w:t>thus</w:t>
      </w:r>
      <w:r>
        <w:rPr>
          <w:spacing w:val="-1"/>
        </w:rPr>
        <w:t> </w:t>
      </w:r>
      <w:r>
        <w:rPr/>
        <w:t>making</w:t>
      </w:r>
      <w:r>
        <w:rPr>
          <w:spacing w:val="-1"/>
        </w:rPr>
        <w:t> </w:t>
      </w:r>
      <w:r>
        <w:rPr/>
        <w:t>it</w:t>
      </w:r>
      <w:r>
        <w:rPr>
          <w:spacing w:val="-1"/>
        </w:rPr>
        <w:t> </w:t>
      </w:r>
      <w:r>
        <w:rPr/>
        <w:t>the</w:t>
      </w:r>
      <w:r>
        <w:rPr>
          <w:spacing w:val="-1"/>
        </w:rPr>
        <w:t> </w:t>
      </w:r>
      <w:r>
        <w:rPr/>
        <w:t>official</w:t>
      </w:r>
      <w:r>
        <w:rPr>
          <w:spacing w:val="-1"/>
        </w:rPr>
        <w:t> </w:t>
      </w:r>
      <w:r>
        <w:rPr/>
        <w:t>closing</w:t>
      </w:r>
      <w:r>
        <w:rPr>
          <w:spacing w:val="-1"/>
        </w:rPr>
        <w:t> </w:t>
      </w:r>
      <w:r>
        <w:rPr/>
        <w:t>price.</w:t>
      </w:r>
      <w:r>
        <w:rPr>
          <w:spacing w:val="-1"/>
        </w:rPr>
        <w:t> </w:t>
      </w:r>
      <w:r>
        <w:rPr/>
        <w:t>The</w:t>
      </w:r>
      <w:r>
        <w:rPr>
          <w:spacing w:val="-1"/>
        </w:rPr>
        <w:t> </w:t>
      </w:r>
      <w:r>
        <w:rPr/>
        <w:t>process</w:t>
      </w:r>
      <w:r>
        <w:rPr>
          <w:spacing w:val="-1"/>
        </w:rPr>
        <w:t> </w:t>
      </w:r>
      <w:r>
        <w:rPr/>
        <w:t>of</w:t>
      </w:r>
      <w:r>
        <w:rPr>
          <w:spacing w:val="-1"/>
        </w:rPr>
        <w:t> </w:t>
      </w:r>
      <w:r>
        <w:rPr/>
        <w:t>reaching</w:t>
      </w:r>
      <w:r>
        <w:rPr>
          <w:spacing w:val="-1"/>
        </w:rPr>
        <w:t> </w:t>
      </w:r>
      <w:r>
        <w:rPr/>
        <w:t>a settlement price can take anywhere from five to ten minutes after the actual close of the session. Typically, the settlement price is automatically reflected in your chart via your data provider, so this is not much of an issue.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6" w:firstLine="432"/>
        <w:jc w:val="both"/>
      </w:pPr>
      <w:r>
        <w:rPr/>
        <w:t>The easiest way to get the extended-session data values (high, low, and settlement) is to flip to a daily chart of the instrument you are trading. Most data providers and charting software automatically include extended-session data when presenting the daily bars. Just take the high, low, and close from the daily bar, and you’ll have the inputs for the next day’s pivots.</w:t>
      </w:r>
    </w:p>
    <w:p>
      <w:pPr>
        <w:pStyle w:val="BodyText"/>
        <w:ind w:left="500" w:right="135" w:firstLine="432"/>
        <w:jc w:val="both"/>
      </w:pPr>
      <w:r>
        <w:rPr/>
        <w:t>While pivot purists believe that using the entire day’s trading activity is the way to go, others believe the “real” pivots are revealed when using the day’s regular trading hours, since this is when the vast majority of the day’s volume is traded. Therefore, you are using the high, low, and close (or settlement) that occurred during normal trading hours from 9:30 </w:t>
      </w:r>
      <w:r>
        <w:rPr>
          <w:sz w:val="18"/>
        </w:rPr>
        <w:t>A</w:t>
      </w:r>
      <w:r>
        <w:rPr/>
        <w:t>.</w:t>
      </w:r>
      <w:r>
        <w:rPr>
          <w:sz w:val="18"/>
        </w:rPr>
        <w:t>M</w:t>
      </w:r>
      <w:r>
        <w:rPr/>
        <w:t>. to 4:00</w:t>
      </w:r>
    </w:p>
    <w:p>
      <w:pPr>
        <w:pStyle w:val="BodyText"/>
        <w:ind w:left="500"/>
        <w:jc w:val="both"/>
      </w:pPr>
      <w:r>
        <w:rPr>
          <w:sz w:val="18"/>
        </w:rPr>
        <w:t>P</w:t>
      </w:r>
      <w:r>
        <w:rPr/>
        <w:t>.</w:t>
      </w:r>
      <w:r>
        <w:rPr>
          <w:sz w:val="18"/>
        </w:rPr>
        <w:t>M</w:t>
      </w:r>
      <w:r>
        <w:rPr/>
        <w:t>.</w:t>
      </w:r>
      <w:r>
        <w:rPr>
          <w:spacing w:val="-4"/>
        </w:rPr>
        <w:t> </w:t>
      </w:r>
      <w:r>
        <w:rPr/>
        <w:t>ET</w:t>
      </w:r>
      <w:r>
        <w:rPr>
          <w:spacing w:val="-3"/>
        </w:rPr>
        <w:t> </w:t>
      </w:r>
      <w:r>
        <w:rPr/>
        <w:t>for</w:t>
      </w:r>
      <w:r>
        <w:rPr>
          <w:spacing w:val="-3"/>
        </w:rPr>
        <w:t> </w:t>
      </w:r>
      <w:r>
        <w:rPr/>
        <w:t>stocks</w:t>
      </w:r>
      <w:r>
        <w:rPr>
          <w:spacing w:val="-3"/>
        </w:rPr>
        <w:t> </w:t>
      </w:r>
      <w:r>
        <w:rPr/>
        <w:t>(or</w:t>
      </w:r>
      <w:r>
        <w:rPr>
          <w:spacing w:val="-4"/>
        </w:rPr>
        <w:t> </w:t>
      </w:r>
      <w:r>
        <w:rPr/>
        <w:t>4:15</w:t>
      </w:r>
      <w:r>
        <w:rPr>
          <w:spacing w:val="-2"/>
        </w:rPr>
        <w:t> </w:t>
      </w:r>
      <w:r>
        <w:rPr>
          <w:sz w:val="18"/>
        </w:rPr>
        <w:t>P</w:t>
      </w:r>
      <w:r>
        <w:rPr/>
        <w:t>.</w:t>
      </w:r>
      <w:r>
        <w:rPr>
          <w:sz w:val="18"/>
        </w:rPr>
        <w:t>M</w:t>
      </w:r>
      <w:r>
        <w:rPr/>
        <w:t>.</w:t>
      </w:r>
      <w:r>
        <w:rPr>
          <w:spacing w:val="-3"/>
        </w:rPr>
        <w:t> </w:t>
      </w:r>
      <w:r>
        <w:rPr/>
        <w:t>ET</w:t>
      </w:r>
      <w:r>
        <w:rPr>
          <w:spacing w:val="-3"/>
        </w:rPr>
        <w:t> </w:t>
      </w:r>
      <w:r>
        <w:rPr/>
        <w:t>if</w:t>
      </w:r>
      <w:r>
        <w:rPr>
          <w:spacing w:val="-3"/>
        </w:rPr>
        <w:t> </w:t>
      </w:r>
      <w:r>
        <w:rPr/>
        <w:t>you</w:t>
      </w:r>
      <w:r>
        <w:rPr>
          <w:spacing w:val="-2"/>
        </w:rPr>
        <w:t> </w:t>
      </w:r>
      <w:r>
        <w:rPr/>
        <w:t>are</w:t>
      </w:r>
      <w:r>
        <w:rPr>
          <w:spacing w:val="-3"/>
        </w:rPr>
        <w:t> </w:t>
      </w:r>
      <w:r>
        <w:rPr/>
        <w:t>trading</w:t>
      </w:r>
      <w:r>
        <w:rPr>
          <w:spacing w:val="-4"/>
        </w:rPr>
        <w:t> </w:t>
      </w:r>
      <w:r>
        <w:rPr/>
        <w:t>E-Mini</w:t>
      </w:r>
      <w:r>
        <w:rPr>
          <w:spacing w:val="-3"/>
        </w:rPr>
        <w:t> </w:t>
      </w:r>
      <w:r>
        <w:rPr>
          <w:spacing w:val="-2"/>
        </w:rPr>
        <w:t>futures).</w:t>
      </w:r>
    </w:p>
    <w:p>
      <w:pPr>
        <w:pStyle w:val="BodyText"/>
        <w:ind w:left="499" w:right="135" w:firstLine="432"/>
        <w:jc w:val="both"/>
      </w:pPr>
      <w:r>
        <w:rPr/>
        <w:t>The good news for you is that I have researched, studied, and traded on both sets of pivots and find both to be extremely reliable. Figure 5.4, along with the rest of the examples thus far, shows pivots derived from session- only data. The moves during this day were so incredibly accurate that it is hard</w:t>
      </w:r>
      <w:r>
        <w:rPr>
          <w:spacing w:val="-2"/>
        </w:rPr>
        <w:t> </w:t>
      </w:r>
      <w:r>
        <w:rPr/>
        <w:t>for</w:t>
      </w:r>
      <w:r>
        <w:rPr>
          <w:spacing w:val="-2"/>
        </w:rPr>
        <w:t> </w:t>
      </w:r>
      <w:r>
        <w:rPr/>
        <w:t>pivot</w:t>
      </w:r>
      <w:r>
        <w:rPr>
          <w:spacing w:val="-3"/>
        </w:rPr>
        <w:t> </w:t>
      </w:r>
      <w:r>
        <w:rPr/>
        <w:t>purists</w:t>
      </w:r>
      <w:r>
        <w:rPr>
          <w:spacing w:val="-2"/>
        </w:rPr>
        <w:t> </w:t>
      </w:r>
      <w:r>
        <w:rPr/>
        <w:t>to</w:t>
      </w:r>
      <w:r>
        <w:rPr>
          <w:spacing w:val="-2"/>
        </w:rPr>
        <w:t> </w:t>
      </w:r>
      <w:r>
        <w:rPr/>
        <w:t>discriminate</w:t>
      </w:r>
      <w:r>
        <w:rPr>
          <w:spacing w:val="-1"/>
        </w:rPr>
        <w:t> </w:t>
      </w:r>
      <w:r>
        <w:rPr/>
        <w:t>against</w:t>
      </w:r>
      <w:r>
        <w:rPr>
          <w:spacing w:val="-2"/>
        </w:rPr>
        <w:t> </w:t>
      </w:r>
      <w:r>
        <w:rPr/>
        <w:t>session-only</w:t>
      </w:r>
      <w:r>
        <w:rPr>
          <w:spacing w:val="-2"/>
        </w:rPr>
        <w:t> </w:t>
      </w:r>
      <w:r>
        <w:rPr/>
        <w:t>data.</w:t>
      </w:r>
      <w:r>
        <w:rPr>
          <w:spacing w:val="-2"/>
        </w:rPr>
        <w:t> </w:t>
      </w:r>
      <w:r>
        <w:rPr/>
        <w:t>In</w:t>
      </w:r>
      <w:r>
        <w:rPr>
          <w:spacing w:val="-2"/>
        </w:rPr>
        <w:t> </w:t>
      </w:r>
      <w:r>
        <w:rPr/>
        <w:t>this</w:t>
      </w:r>
      <w:r>
        <w:rPr>
          <w:spacing w:val="-2"/>
        </w:rPr>
        <w:t> </w:t>
      </w:r>
      <w:r>
        <w:rPr/>
        <w:t>book,</w:t>
      </w:r>
      <w:r>
        <w:rPr>
          <w:spacing w:val="-2"/>
        </w:rPr>
        <w:t> </w:t>
      </w:r>
      <w:r>
        <w:rPr/>
        <w:t>I will include both session-only data and extended-session data in my examples. However, don’t get bogged down on which set I’m using.</w:t>
      </w:r>
    </w:p>
    <w:p>
      <w:pPr>
        <w:pStyle w:val="BodyText"/>
        <w:spacing w:before="2"/>
      </w:pPr>
    </w:p>
    <w:p>
      <w:pPr>
        <w:spacing w:before="0"/>
        <w:ind w:left="1473" w:right="0" w:hanging="872"/>
        <w:jc w:val="left"/>
        <w:rPr>
          <w:i/>
          <w:sz w:val="22"/>
        </w:rPr>
      </w:pPr>
      <w:r>
        <w:rPr>
          <w:i/>
          <w:sz w:val="22"/>
        </w:rPr>
        <w:t>The</w:t>
      </w:r>
      <w:r>
        <w:rPr>
          <w:i/>
          <w:spacing w:val="-3"/>
          <w:sz w:val="22"/>
        </w:rPr>
        <w:t> </w:t>
      </w:r>
      <w:r>
        <w:rPr>
          <w:i/>
          <w:sz w:val="22"/>
        </w:rPr>
        <w:t>concepts</w:t>
      </w:r>
      <w:r>
        <w:rPr>
          <w:i/>
          <w:spacing w:val="-3"/>
          <w:sz w:val="22"/>
        </w:rPr>
        <w:t> </w:t>
      </w:r>
      <w:r>
        <w:rPr>
          <w:i/>
          <w:sz w:val="22"/>
        </w:rPr>
        <w:t>and</w:t>
      </w:r>
      <w:r>
        <w:rPr>
          <w:i/>
          <w:spacing w:val="-3"/>
          <w:sz w:val="22"/>
        </w:rPr>
        <w:t> </w:t>
      </w:r>
      <w:r>
        <w:rPr>
          <w:i/>
          <w:sz w:val="22"/>
        </w:rPr>
        <w:t>setups</w:t>
      </w:r>
      <w:r>
        <w:rPr>
          <w:i/>
          <w:spacing w:val="-4"/>
          <w:sz w:val="22"/>
        </w:rPr>
        <w:t> </w:t>
      </w:r>
      <w:r>
        <w:rPr>
          <w:i/>
          <w:sz w:val="22"/>
        </w:rPr>
        <w:t>that</w:t>
      </w:r>
      <w:r>
        <w:rPr>
          <w:i/>
          <w:spacing w:val="-3"/>
          <w:sz w:val="22"/>
        </w:rPr>
        <w:t> </w:t>
      </w:r>
      <w:r>
        <w:rPr>
          <w:i/>
          <w:sz w:val="22"/>
        </w:rPr>
        <w:t>I</w:t>
      </w:r>
      <w:r>
        <w:rPr>
          <w:i/>
          <w:spacing w:val="-4"/>
          <w:sz w:val="22"/>
        </w:rPr>
        <w:t> </w:t>
      </w:r>
      <w:r>
        <w:rPr>
          <w:i/>
          <w:sz w:val="22"/>
        </w:rPr>
        <w:t>will</w:t>
      </w:r>
      <w:r>
        <w:rPr>
          <w:i/>
          <w:spacing w:val="-3"/>
          <w:sz w:val="22"/>
        </w:rPr>
        <w:t> </w:t>
      </w:r>
      <w:r>
        <w:rPr>
          <w:i/>
          <w:sz w:val="22"/>
        </w:rPr>
        <w:t>discuss</w:t>
      </w:r>
      <w:r>
        <w:rPr>
          <w:i/>
          <w:spacing w:val="-4"/>
          <w:sz w:val="22"/>
        </w:rPr>
        <w:t> </w:t>
      </w:r>
      <w:r>
        <w:rPr>
          <w:i/>
          <w:sz w:val="22"/>
        </w:rPr>
        <w:t>throughout</w:t>
      </w:r>
      <w:r>
        <w:rPr>
          <w:i/>
          <w:spacing w:val="-5"/>
          <w:sz w:val="22"/>
        </w:rPr>
        <w:t> </w:t>
      </w:r>
      <w:r>
        <w:rPr>
          <w:i/>
          <w:sz w:val="22"/>
        </w:rPr>
        <w:t>the</w:t>
      </w:r>
      <w:r>
        <w:rPr>
          <w:i/>
          <w:spacing w:val="-3"/>
          <w:sz w:val="22"/>
        </w:rPr>
        <w:t> </w:t>
      </w:r>
      <w:r>
        <w:rPr>
          <w:i/>
          <w:sz w:val="22"/>
        </w:rPr>
        <w:t>book</w:t>
      </w:r>
      <w:r>
        <w:rPr>
          <w:i/>
          <w:spacing w:val="-5"/>
          <w:sz w:val="22"/>
        </w:rPr>
        <w:t> </w:t>
      </w:r>
      <w:r>
        <w:rPr>
          <w:i/>
          <w:sz w:val="22"/>
        </w:rPr>
        <w:t>are</w:t>
      </w:r>
      <w:r>
        <w:rPr>
          <w:i/>
          <w:spacing w:val="-3"/>
          <w:sz w:val="22"/>
        </w:rPr>
        <w:t> </w:t>
      </w:r>
      <w:r>
        <w:rPr>
          <w:i/>
          <w:sz w:val="22"/>
        </w:rPr>
        <w:t>equally</w:t>
      </w:r>
      <w:r>
        <w:rPr>
          <w:i/>
          <w:sz w:val="22"/>
        </w:rPr>
        <w:t> effective regardless of which method you choose to use.</w:t>
      </w:r>
    </w:p>
    <w:p>
      <w:pPr>
        <w:pStyle w:val="BodyText"/>
        <w:spacing w:before="9"/>
        <w:rPr>
          <w:i/>
          <w:sz w:val="21"/>
        </w:rPr>
      </w:pPr>
    </w:p>
    <w:p>
      <w:pPr>
        <w:pStyle w:val="BodyText"/>
        <w:spacing w:before="1"/>
        <w:ind w:left="499" w:right="136" w:firstLine="432"/>
        <w:jc w:val="both"/>
      </w:pPr>
      <w:r>
        <w:rPr/>
        <w:t>I have provided a handy table that shows my favorite markets to trade while also listing the times to watch for the two differing methods of calculating the pivots. Notice that the extended-session hours </w:t>
      </w:r>
      <w:r>
        <w:rPr>
          <w:i/>
        </w:rPr>
        <w:t>do not </w:t>
      </w:r>
      <w:r>
        <w:rPr/>
        <w:t>span from midnight to midnight. Rather, they begin at the end of one session and end at the close of the following session.</w:t>
      </w:r>
    </w:p>
    <w:p>
      <w:pPr>
        <w:pStyle w:val="BodyText"/>
        <w:spacing w:before="2"/>
      </w:pPr>
    </w:p>
    <w:tbl>
      <w:tblPr>
        <w:tblW w:w="0" w:type="auto"/>
        <w:jc w:val="left"/>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2"/>
        <w:gridCol w:w="4518"/>
      </w:tblGrid>
      <w:tr>
        <w:trPr>
          <w:trHeight w:val="340" w:hRule="atLeast"/>
        </w:trPr>
        <w:tc>
          <w:tcPr>
            <w:tcW w:w="6120" w:type="dxa"/>
            <w:gridSpan w:val="2"/>
            <w:tcBorders>
              <w:top w:val="single" w:sz="8" w:space="0" w:color="3F3F3F"/>
              <w:left w:val="single" w:sz="8" w:space="0" w:color="3F3F3F"/>
              <w:right w:val="single" w:sz="8" w:space="0" w:color="3F3F3F"/>
            </w:tcBorders>
            <w:shd w:val="clear" w:color="auto" w:fill="000000"/>
          </w:tcPr>
          <w:p>
            <w:pPr>
              <w:pStyle w:val="TableParagraph"/>
              <w:spacing w:before="24"/>
              <w:ind w:left="1989" w:right="1974"/>
              <w:jc w:val="center"/>
              <w:rPr>
                <w:rFonts w:ascii="Verdana"/>
                <w:sz w:val="24"/>
              </w:rPr>
            </w:pPr>
            <w:r>
              <w:rPr>
                <w:rFonts w:ascii="Verdana"/>
                <w:color w:val="FFFFFF"/>
                <w:spacing w:val="-2"/>
                <w:sz w:val="24"/>
              </w:rPr>
              <w:t>Standard</w:t>
            </w:r>
            <w:r>
              <w:rPr>
                <w:rFonts w:ascii="Verdana"/>
                <w:color w:val="FFFFFF"/>
                <w:spacing w:val="-7"/>
                <w:sz w:val="24"/>
              </w:rPr>
              <w:t> </w:t>
            </w:r>
            <w:r>
              <w:rPr>
                <w:rFonts w:ascii="Verdana"/>
                <w:color w:val="FFFFFF"/>
                <w:spacing w:val="-2"/>
                <w:sz w:val="24"/>
              </w:rPr>
              <w:t>Session</w:t>
            </w:r>
          </w:p>
        </w:tc>
      </w:tr>
      <w:tr>
        <w:trPr>
          <w:trHeight w:val="323" w:hRule="atLeast"/>
        </w:trPr>
        <w:tc>
          <w:tcPr>
            <w:tcW w:w="1602" w:type="dxa"/>
            <w:tcBorders>
              <w:bottom w:val="single" w:sz="4" w:space="0" w:color="000000"/>
            </w:tcBorders>
            <w:shd w:val="clear" w:color="auto" w:fill="000000"/>
          </w:tcPr>
          <w:p>
            <w:pPr>
              <w:pStyle w:val="TableParagraph"/>
              <w:spacing w:before="27"/>
              <w:ind w:right="349"/>
              <w:jc w:val="right"/>
              <w:rPr>
                <w:rFonts w:ascii="Verdana"/>
                <w:sz w:val="22"/>
              </w:rPr>
            </w:pPr>
            <w:r>
              <w:rPr>
                <w:rFonts w:ascii="Verdana"/>
                <w:color w:val="FFFFFF"/>
                <w:spacing w:val="-2"/>
                <w:sz w:val="22"/>
              </w:rPr>
              <w:t>Equities</w:t>
            </w:r>
          </w:p>
        </w:tc>
        <w:tc>
          <w:tcPr>
            <w:tcW w:w="4518" w:type="dxa"/>
            <w:tcBorders>
              <w:bottom w:val="single" w:sz="4" w:space="0" w:color="000000"/>
            </w:tcBorders>
          </w:tcPr>
          <w:p>
            <w:pPr>
              <w:pStyle w:val="TableParagraph"/>
              <w:spacing w:before="28"/>
              <w:ind w:left="117"/>
              <w:rPr>
                <w:sz w:val="22"/>
              </w:rPr>
            </w:pPr>
            <w:r>
              <w:rPr>
                <w:sz w:val="22"/>
              </w:rPr>
              <w:t>9:30</w:t>
            </w:r>
            <w:r>
              <w:rPr>
                <w:spacing w:val="-5"/>
                <w:sz w:val="22"/>
              </w:rPr>
              <w:t> </w:t>
            </w:r>
            <w:r>
              <w:rPr>
                <w:sz w:val="18"/>
              </w:rPr>
              <w:t>A</w:t>
            </w:r>
            <w:r>
              <w:rPr>
                <w:sz w:val="22"/>
              </w:rPr>
              <w:t>.</w:t>
            </w:r>
            <w:r>
              <w:rPr>
                <w:sz w:val="18"/>
              </w:rPr>
              <w:t>M</w:t>
            </w:r>
            <w:r>
              <w:rPr>
                <w:sz w:val="22"/>
              </w:rPr>
              <w:t>.</w:t>
            </w:r>
            <w:r>
              <w:rPr>
                <w:spacing w:val="-6"/>
                <w:sz w:val="22"/>
              </w:rPr>
              <w:t> </w:t>
            </w:r>
            <w:r>
              <w:rPr>
                <w:sz w:val="22"/>
              </w:rPr>
              <w:t>to</w:t>
            </w:r>
            <w:r>
              <w:rPr>
                <w:spacing w:val="-5"/>
                <w:sz w:val="22"/>
              </w:rPr>
              <w:t> </w:t>
            </w:r>
            <w:r>
              <w:rPr>
                <w:sz w:val="22"/>
              </w:rPr>
              <w:t>4:00</w:t>
            </w:r>
            <w:r>
              <w:rPr>
                <w:spacing w:val="-5"/>
                <w:sz w:val="22"/>
              </w:rPr>
              <w:t> </w:t>
            </w:r>
            <w:r>
              <w:rPr>
                <w:sz w:val="18"/>
              </w:rPr>
              <w:t>P</w:t>
            </w:r>
            <w:r>
              <w:rPr>
                <w:sz w:val="22"/>
              </w:rPr>
              <w:t>.</w:t>
            </w:r>
            <w:r>
              <w:rPr>
                <w:sz w:val="18"/>
              </w:rPr>
              <w:t>M</w:t>
            </w:r>
            <w:r>
              <w:rPr>
                <w:sz w:val="22"/>
              </w:rPr>
              <w:t>.</w:t>
            </w:r>
            <w:r>
              <w:rPr>
                <w:spacing w:val="-6"/>
                <w:sz w:val="22"/>
              </w:rPr>
              <w:t> </w:t>
            </w:r>
            <w:r>
              <w:rPr>
                <w:spacing w:val="-5"/>
                <w:sz w:val="22"/>
              </w:rPr>
              <w:t>ET</w:t>
            </w:r>
          </w:p>
        </w:tc>
      </w:tr>
      <w:tr>
        <w:trPr>
          <w:trHeight w:val="349" w:hRule="atLeast"/>
        </w:trPr>
        <w:tc>
          <w:tcPr>
            <w:tcW w:w="1602" w:type="dxa"/>
            <w:tcBorders>
              <w:top w:val="single" w:sz="4" w:space="0" w:color="000000"/>
              <w:bottom w:val="single" w:sz="4" w:space="0" w:color="000000"/>
            </w:tcBorders>
            <w:shd w:val="clear" w:color="auto" w:fill="000000"/>
          </w:tcPr>
          <w:p>
            <w:pPr>
              <w:pStyle w:val="TableParagraph"/>
              <w:spacing w:before="40"/>
              <w:ind w:right="353"/>
              <w:jc w:val="right"/>
              <w:rPr>
                <w:rFonts w:ascii="Verdana" w:hAnsi="Verdana"/>
                <w:sz w:val="22"/>
              </w:rPr>
            </w:pPr>
            <w:r>
              <w:rPr>
                <w:rFonts w:ascii="Verdana" w:hAnsi="Verdana"/>
                <w:color w:val="FFFFFF"/>
                <w:sz w:val="22"/>
              </w:rPr>
              <w:t>E-</w:t>
            </w:r>
            <w:r>
              <w:rPr>
                <w:rFonts w:ascii="Verdana" w:hAnsi="Verdana"/>
                <w:color w:val="FFFFFF"/>
                <w:spacing w:val="-2"/>
                <w:sz w:val="22"/>
              </w:rPr>
              <w:t>Mini’s</w:t>
            </w:r>
          </w:p>
        </w:tc>
        <w:tc>
          <w:tcPr>
            <w:tcW w:w="4518" w:type="dxa"/>
            <w:tcBorders>
              <w:top w:val="single" w:sz="4" w:space="0" w:color="000000"/>
              <w:bottom w:val="single" w:sz="4" w:space="0" w:color="000000"/>
            </w:tcBorders>
          </w:tcPr>
          <w:p>
            <w:pPr>
              <w:pStyle w:val="TableParagraph"/>
              <w:spacing w:before="41"/>
              <w:ind w:left="117"/>
              <w:rPr>
                <w:sz w:val="22"/>
              </w:rPr>
            </w:pPr>
            <w:r>
              <w:rPr>
                <w:sz w:val="22"/>
              </w:rPr>
              <w:t>9:30</w:t>
            </w:r>
            <w:r>
              <w:rPr>
                <w:spacing w:val="-5"/>
                <w:sz w:val="22"/>
              </w:rPr>
              <w:t> </w:t>
            </w:r>
            <w:r>
              <w:rPr>
                <w:sz w:val="18"/>
              </w:rPr>
              <w:t>A</w:t>
            </w:r>
            <w:r>
              <w:rPr>
                <w:sz w:val="22"/>
              </w:rPr>
              <w:t>.</w:t>
            </w:r>
            <w:r>
              <w:rPr>
                <w:sz w:val="18"/>
              </w:rPr>
              <w:t>M</w:t>
            </w:r>
            <w:r>
              <w:rPr>
                <w:sz w:val="22"/>
              </w:rPr>
              <w:t>.</w:t>
            </w:r>
            <w:r>
              <w:rPr>
                <w:spacing w:val="-6"/>
                <w:sz w:val="22"/>
              </w:rPr>
              <w:t> </w:t>
            </w:r>
            <w:r>
              <w:rPr>
                <w:sz w:val="22"/>
              </w:rPr>
              <w:t>to</w:t>
            </w:r>
            <w:r>
              <w:rPr>
                <w:spacing w:val="-5"/>
                <w:sz w:val="22"/>
              </w:rPr>
              <w:t> </w:t>
            </w:r>
            <w:r>
              <w:rPr>
                <w:sz w:val="22"/>
              </w:rPr>
              <w:t>4:15</w:t>
            </w:r>
            <w:r>
              <w:rPr>
                <w:spacing w:val="-5"/>
                <w:sz w:val="22"/>
              </w:rPr>
              <w:t> </w:t>
            </w:r>
            <w:r>
              <w:rPr>
                <w:sz w:val="18"/>
              </w:rPr>
              <w:t>P</w:t>
            </w:r>
            <w:r>
              <w:rPr>
                <w:sz w:val="22"/>
              </w:rPr>
              <w:t>.</w:t>
            </w:r>
            <w:r>
              <w:rPr>
                <w:sz w:val="18"/>
              </w:rPr>
              <w:t>M</w:t>
            </w:r>
            <w:r>
              <w:rPr>
                <w:sz w:val="22"/>
              </w:rPr>
              <w:t>.</w:t>
            </w:r>
            <w:r>
              <w:rPr>
                <w:spacing w:val="-6"/>
                <w:sz w:val="22"/>
              </w:rPr>
              <w:t> </w:t>
            </w:r>
            <w:r>
              <w:rPr>
                <w:spacing w:val="-5"/>
                <w:sz w:val="22"/>
              </w:rPr>
              <w:t>ET</w:t>
            </w:r>
          </w:p>
        </w:tc>
      </w:tr>
      <w:tr>
        <w:trPr>
          <w:trHeight w:val="350" w:hRule="atLeast"/>
        </w:trPr>
        <w:tc>
          <w:tcPr>
            <w:tcW w:w="1602" w:type="dxa"/>
            <w:tcBorders>
              <w:top w:val="single" w:sz="4" w:space="0" w:color="000000"/>
              <w:bottom w:val="single" w:sz="4" w:space="0" w:color="000000"/>
            </w:tcBorders>
            <w:shd w:val="clear" w:color="auto" w:fill="000000"/>
          </w:tcPr>
          <w:p>
            <w:pPr>
              <w:pStyle w:val="TableParagraph"/>
              <w:spacing w:before="40"/>
              <w:ind w:right="406"/>
              <w:jc w:val="right"/>
              <w:rPr>
                <w:rFonts w:ascii="Verdana"/>
                <w:sz w:val="22"/>
              </w:rPr>
            </w:pPr>
            <w:r>
              <w:rPr>
                <w:rFonts w:ascii="Verdana"/>
                <w:color w:val="FFFFFF"/>
                <w:spacing w:val="-2"/>
                <w:sz w:val="22"/>
              </w:rPr>
              <w:t>Energy</w:t>
            </w:r>
          </w:p>
        </w:tc>
        <w:tc>
          <w:tcPr>
            <w:tcW w:w="4518" w:type="dxa"/>
            <w:tcBorders>
              <w:top w:val="single" w:sz="4" w:space="0" w:color="000000"/>
              <w:bottom w:val="single" w:sz="4" w:space="0" w:color="000000"/>
            </w:tcBorders>
          </w:tcPr>
          <w:p>
            <w:pPr>
              <w:pStyle w:val="TableParagraph"/>
              <w:spacing w:before="41"/>
              <w:ind w:left="117"/>
              <w:rPr>
                <w:sz w:val="22"/>
              </w:rPr>
            </w:pPr>
            <w:r>
              <w:rPr>
                <w:sz w:val="22"/>
              </w:rPr>
              <w:t>9:00</w:t>
            </w:r>
            <w:r>
              <w:rPr>
                <w:spacing w:val="-5"/>
                <w:sz w:val="22"/>
              </w:rPr>
              <w:t> </w:t>
            </w:r>
            <w:r>
              <w:rPr>
                <w:sz w:val="18"/>
              </w:rPr>
              <w:t>A</w:t>
            </w:r>
            <w:r>
              <w:rPr>
                <w:sz w:val="22"/>
              </w:rPr>
              <w:t>.</w:t>
            </w:r>
            <w:r>
              <w:rPr>
                <w:sz w:val="18"/>
              </w:rPr>
              <w:t>M</w:t>
            </w:r>
            <w:r>
              <w:rPr>
                <w:sz w:val="22"/>
              </w:rPr>
              <w:t>.</w:t>
            </w:r>
            <w:r>
              <w:rPr>
                <w:spacing w:val="-6"/>
                <w:sz w:val="22"/>
              </w:rPr>
              <w:t> </w:t>
            </w:r>
            <w:r>
              <w:rPr>
                <w:sz w:val="22"/>
              </w:rPr>
              <w:t>to</w:t>
            </w:r>
            <w:r>
              <w:rPr>
                <w:spacing w:val="-5"/>
                <w:sz w:val="22"/>
              </w:rPr>
              <w:t> </w:t>
            </w:r>
            <w:r>
              <w:rPr>
                <w:sz w:val="22"/>
              </w:rPr>
              <w:t>2:30</w:t>
            </w:r>
            <w:r>
              <w:rPr>
                <w:spacing w:val="-5"/>
                <w:sz w:val="22"/>
              </w:rPr>
              <w:t> </w:t>
            </w:r>
            <w:r>
              <w:rPr>
                <w:sz w:val="18"/>
              </w:rPr>
              <w:t>P</w:t>
            </w:r>
            <w:r>
              <w:rPr>
                <w:sz w:val="22"/>
              </w:rPr>
              <w:t>.</w:t>
            </w:r>
            <w:r>
              <w:rPr>
                <w:sz w:val="18"/>
              </w:rPr>
              <w:t>M</w:t>
            </w:r>
            <w:r>
              <w:rPr>
                <w:sz w:val="22"/>
              </w:rPr>
              <w:t>.</w:t>
            </w:r>
            <w:r>
              <w:rPr>
                <w:spacing w:val="-6"/>
                <w:sz w:val="22"/>
              </w:rPr>
              <w:t> </w:t>
            </w:r>
            <w:r>
              <w:rPr>
                <w:spacing w:val="-5"/>
                <w:sz w:val="22"/>
              </w:rPr>
              <w:t>ET</w:t>
            </w:r>
          </w:p>
        </w:tc>
      </w:tr>
      <w:tr>
        <w:trPr>
          <w:trHeight w:val="349" w:hRule="atLeast"/>
        </w:trPr>
        <w:tc>
          <w:tcPr>
            <w:tcW w:w="1602" w:type="dxa"/>
            <w:tcBorders>
              <w:top w:val="single" w:sz="4" w:space="0" w:color="000000"/>
              <w:bottom w:val="single" w:sz="8" w:space="0" w:color="3F3F3F"/>
            </w:tcBorders>
            <w:shd w:val="clear" w:color="auto" w:fill="000000"/>
          </w:tcPr>
          <w:p>
            <w:pPr>
              <w:pStyle w:val="TableParagraph"/>
              <w:spacing w:before="40"/>
              <w:ind w:right="425"/>
              <w:jc w:val="right"/>
              <w:rPr>
                <w:rFonts w:ascii="Verdana"/>
                <w:sz w:val="22"/>
              </w:rPr>
            </w:pPr>
            <w:r>
              <w:rPr>
                <w:rFonts w:ascii="Verdana"/>
                <w:color w:val="FFFFFF"/>
                <w:spacing w:val="-2"/>
                <w:sz w:val="22"/>
              </w:rPr>
              <w:t>Metals</w:t>
            </w:r>
          </w:p>
        </w:tc>
        <w:tc>
          <w:tcPr>
            <w:tcW w:w="4518" w:type="dxa"/>
            <w:tcBorders>
              <w:top w:val="single" w:sz="4" w:space="0" w:color="000000"/>
              <w:bottom w:val="single" w:sz="8" w:space="0" w:color="3F3F3F"/>
            </w:tcBorders>
          </w:tcPr>
          <w:p>
            <w:pPr>
              <w:pStyle w:val="TableParagraph"/>
              <w:spacing w:before="41"/>
              <w:ind w:left="117"/>
              <w:rPr>
                <w:sz w:val="22"/>
              </w:rPr>
            </w:pPr>
            <w:r>
              <w:rPr>
                <w:sz w:val="22"/>
              </w:rPr>
              <w:t>8:20</w:t>
            </w:r>
            <w:r>
              <w:rPr>
                <w:spacing w:val="-5"/>
                <w:sz w:val="22"/>
              </w:rPr>
              <w:t> </w:t>
            </w:r>
            <w:r>
              <w:rPr>
                <w:sz w:val="18"/>
              </w:rPr>
              <w:t>A</w:t>
            </w:r>
            <w:r>
              <w:rPr>
                <w:sz w:val="22"/>
              </w:rPr>
              <w:t>.</w:t>
            </w:r>
            <w:r>
              <w:rPr>
                <w:sz w:val="18"/>
              </w:rPr>
              <w:t>M</w:t>
            </w:r>
            <w:r>
              <w:rPr>
                <w:sz w:val="22"/>
              </w:rPr>
              <w:t>.</w:t>
            </w:r>
            <w:r>
              <w:rPr>
                <w:spacing w:val="-6"/>
                <w:sz w:val="22"/>
              </w:rPr>
              <w:t> </w:t>
            </w:r>
            <w:r>
              <w:rPr>
                <w:sz w:val="22"/>
              </w:rPr>
              <w:t>to</w:t>
            </w:r>
            <w:r>
              <w:rPr>
                <w:spacing w:val="-5"/>
                <w:sz w:val="22"/>
              </w:rPr>
              <w:t> </w:t>
            </w:r>
            <w:r>
              <w:rPr>
                <w:sz w:val="22"/>
              </w:rPr>
              <w:t>1:30</w:t>
            </w:r>
            <w:r>
              <w:rPr>
                <w:spacing w:val="-5"/>
                <w:sz w:val="22"/>
              </w:rPr>
              <w:t> </w:t>
            </w:r>
            <w:r>
              <w:rPr>
                <w:sz w:val="18"/>
              </w:rPr>
              <w:t>P</w:t>
            </w:r>
            <w:r>
              <w:rPr>
                <w:sz w:val="22"/>
              </w:rPr>
              <w:t>.</w:t>
            </w:r>
            <w:r>
              <w:rPr>
                <w:sz w:val="18"/>
              </w:rPr>
              <w:t>M</w:t>
            </w:r>
            <w:r>
              <w:rPr>
                <w:sz w:val="22"/>
              </w:rPr>
              <w:t>.</w:t>
            </w:r>
            <w:r>
              <w:rPr>
                <w:spacing w:val="-6"/>
                <w:sz w:val="22"/>
              </w:rPr>
              <w:t> </w:t>
            </w:r>
            <w:r>
              <w:rPr>
                <w:spacing w:val="-5"/>
                <w:sz w:val="22"/>
              </w:rPr>
              <w:t>ET</w:t>
            </w:r>
          </w:p>
        </w:tc>
      </w:tr>
      <w:tr>
        <w:trPr>
          <w:trHeight w:val="340" w:hRule="atLeast"/>
        </w:trPr>
        <w:tc>
          <w:tcPr>
            <w:tcW w:w="6120" w:type="dxa"/>
            <w:gridSpan w:val="2"/>
            <w:tcBorders>
              <w:top w:val="single" w:sz="8" w:space="0" w:color="3F3F3F"/>
              <w:left w:val="single" w:sz="8" w:space="0" w:color="3F3F3F"/>
              <w:bottom w:val="single" w:sz="4" w:space="0" w:color="000000"/>
              <w:right w:val="single" w:sz="8" w:space="0" w:color="3F3F3F"/>
            </w:tcBorders>
            <w:shd w:val="clear" w:color="auto" w:fill="000000"/>
          </w:tcPr>
          <w:p>
            <w:pPr>
              <w:pStyle w:val="TableParagraph"/>
              <w:spacing w:before="24"/>
              <w:ind w:left="1990" w:right="1974"/>
              <w:jc w:val="center"/>
              <w:rPr>
                <w:rFonts w:ascii="Verdana"/>
                <w:sz w:val="24"/>
              </w:rPr>
            </w:pPr>
            <w:r>
              <w:rPr>
                <w:rFonts w:ascii="Verdana"/>
                <w:color w:val="FFFFFF"/>
                <w:spacing w:val="-2"/>
                <w:sz w:val="24"/>
              </w:rPr>
              <w:t>Extended</w:t>
            </w:r>
            <w:r>
              <w:rPr>
                <w:rFonts w:ascii="Verdana"/>
                <w:color w:val="FFFFFF"/>
                <w:spacing w:val="-6"/>
                <w:sz w:val="24"/>
              </w:rPr>
              <w:t> </w:t>
            </w:r>
            <w:r>
              <w:rPr>
                <w:rFonts w:ascii="Verdana"/>
                <w:color w:val="FFFFFF"/>
                <w:spacing w:val="-2"/>
                <w:sz w:val="24"/>
              </w:rPr>
              <w:t>Session</w:t>
            </w:r>
          </w:p>
        </w:tc>
      </w:tr>
      <w:tr>
        <w:trPr>
          <w:trHeight w:val="350" w:hRule="atLeast"/>
        </w:trPr>
        <w:tc>
          <w:tcPr>
            <w:tcW w:w="1602" w:type="dxa"/>
            <w:tcBorders>
              <w:top w:val="single" w:sz="4" w:space="0" w:color="000000"/>
              <w:bottom w:val="single" w:sz="4" w:space="0" w:color="000000"/>
            </w:tcBorders>
            <w:shd w:val="clear" w:color="auto" w:fill="000000"/>
          </w:tcPr>
          <w:p>
            <w:pPr>
              <w:pStyle w:val="TableParagraph"/>
              <w:spacing w:before="40"/>
              <w:ind w:right="353"/>
              <w:jc w:val="right"/>
              <w:rPr>
                <w:rFonts w:ascii="Verdana" w:hAnsi="Verdana"/>
                <w:sz w:val="22"/>
              </w:rPr>
            </w:pPr>
            <w:r>
              <w:rPr>
                <w:rFonts w:ascii="Verdana" w:hAnsi="Verdana"/>
                <w:color w:val="FFFFFF"/>
                <w:sz w:val="22"/>
              </w:rPr>
              <w:t>E-</w:t>
            </w:r>
            <w:r>
              <w:rPr>
                <w:rFonts w:ascii="Verdana" w:hAnsi="Verdana"/>
                <w:color w:val="FFFFFF"/>
                <w:spacing w:val="-2"/>
                <w:sz w:val="22"/>
              </w:rPr>
              <w:t>Mini’s</w:t>
            </w:r>
          </w:p>
        </w:tc>
        <w:tc>
          <w:tcPr>
            <w:tcW w:w="4518" w:type="dxa"/>
            <w:tcBorders>
              <w:top w:val="single" w:sz="4" w:space="0" w:color="000000"/>
              <w:bottom w:val="single" w:sz="4" w:space="0" w:color="000000"/>
            </w:tcBorders>
          </w:tcPr>
          <w:p>
            <w:pPr>
              <w:pStyle w:val="TableParagraph"/>
              <w:spacing w:before="41"/>
              <w:ind w:left="117"/>
              <w:rPr>
                <w:sz w:val="22"/>
              </w:rPr>
            </w:pPr>
            <w:r>
              <w:rPr>
                <w:sz w:val="22"/>
              </w:rPr>
              <w:t>4:15</w:t>
            </w:r>
            <w:r>
              <w:rPr>
                <w:spacing w:val="-5"/>
                <w:sz w:val="22"/>
              </w:rPr>
              <w:t> </w:t>
            </w:r>
            <w:r>
              <w:rPr>
                <w:sz w:val="18"/>
              </w:rPr>
              <w:t>P</w:t>
            </w:r>
            <w:r>
              <w:rPr>
                <w:sz w:val="22"/>
              </w:rPr>
              <w:t>.</w:t>
            </w:r>
            <w:r>
              <w:rPr>
                <w:sz w:val="18"/>
              </w:rPr>
              <w:t>M</w:t>
            </w:r>
            <w:r>
              <w:rPr>
                <w:sz w:val="22"/>
              </w:rPr>
              <w:t>.</w:t>
            </w:r>
            <w:r>
              <w:rPr>
                <w:spacing w:val="-5"/>
                <w:sz w:val="22"/>
              </w:rPr>
              <w:t> </w:t>
            </w:r>
            <w:r>
              <w:rPr>
                <w:sz w:val="22"/>
              </w:rPr>
              <w:t>to</w:t>
            </w:r>
            <w:r>
              <w:rPr>
                <w:spacing w:val="-5"/>
                <w:sz w:val="22"/>
              </w:rPr>
              <w:t> </w:t>
            </w:r>
            <w:r>
              <w:rPr>
                <w:sz w:val="22"/>
              </w:rPr>
              <w:t>4:15</w:t>
            </w:r>
            <w:r>
              <w:rPr>
                <w:spacing w:val="-5"/>
                <w:sz w:val="22"/>
              </w:rPr>
              <w:t> </w:t>
            </w:r>
            <w:r>
              <w:rPr>
                <w:sz w:val="18"/>
              </w:rPr>
              <w:t>P</w:t>
            </w:r>
            <w:r>
              <w:rPr>
                <w:sz w:val="22"/>
              </w:rPr>
              <w:t>.</w:t>
            </w:r>
            <w:r>
              <w:rPr>
                <w:sz w:val="18"/>
              </w:rPr>
              <w:t>M</w:t>
            </w:r>
            <w:r>
              <w:rPr>
                <w:sz w:val="22"/>
              </w:rPr>
              <w:t>.</w:t>
            </w:r>
            <w:r>
              <w:rPr>
                <w:spacing w:val="-6"/>
                <w:sz w:val="22"/>
              </w:rPr>
              <w:t> </w:t>
            </w:r>
            <w:r>
              <w:rPr>
                <w:spacing w:val="-5"/>
                <w:sz w:val="22"/>
              </w:rPr>
              <w:t>ET</w:t>
            </w:r>
          </w:p>
        </w:tc>
      </w:tr>
      <w:tr>
        <w:trPr>
          <w:trHeight w:val="350" w:hRule="atLeast"/>
        </w:trPr>
        <w:tc>
          <w:tcPr>
            <w:tcW w:w="1602" w:type="dxa"/>
            <w:tcBorders>
              <w:top w:val="single" w:sz="4" w:space="0" w:color="000000"/>
              <w:bottom w:val="single" w:sz="4" w:space="0" w:color="000000"/>
            </w:tcBorders>
            <w:shd w:val="clear" w:color="auto" w:fill="000000"/>
          </w:tcPr>
          <w:p>
            <w:pPr>
              <w:pStyle w:val="TableParagraph"/>
              <w:spacing w:before="40"/>
              <w:ind w:right="406"/>
              <w:jc w:val="right"/>
              <w:rPr>
                <w:rFonts w:ascii="Verdana"/>
                <w:sz w:val="22"/>
              </w:rPr>
            </w:pPr>
            <w:r>
              <w:rPr>
                <w:rFonts w:ascii="Verdana"/>
                <w:color w:val="FFFFFF"/>
                <w:spacing w:val="-2"/>
                <w:sz w:val="22"/>
              </w:rPr>
              <w:t>Energy</w:t>
            </w:r>
          </w:p>
        </w:tc>
        <w:tc>
          <w:tcPr>
            <w:tcW w:w="4518" w:type="dxa"/>
            <w:tcBorders>
              <w:top w:val="single" w:sz="4" w:space="0" w:color="000000"/>
              <w:bottom w:val="single" w:sz="4" w:space="0" w:color="000000"/>
            </w:tcBorders>
          </w:tcPr>
          <w:p>
            <w:pPr>
              <w:pStyle w:val="TableParagraph"/>
              <w:spacing w:before="41"/>
              <w:ind w:left="117"/>
              <w:rPr>
                <w:sz w:val="22"/>
              </w:rPr>
            </w:pPr>
            <w:r>
              <w:rPr>
                <w:sz w:val="22"/>
              </w:rPr>
              <w:t>2:30</w:t>
            </w:r>
            <w:r>
              <w:rPr>
                <w:spacing w:val="-5"/>
                <w:sz w:val="22"/>
              </w:rPr>
              <w:t> </w:t>
            </w:r>
            <w:r>
              <w:rPr>
                <w:sz w:val="18"/>
              </w:rPr>
              <w:t>P</w:t>
            </w:r>
            <w:r>
              <w:rPr>
                <w:sz w:val="22"/>
              </w:rPr>
              <w:t>.</w:t>
            </w:r>
            <w:r>
              <w:rPr>
                <w:sz w:val="18"/>
              </w:rPr>
              <w:t>M</w:t>
            </w:r>
            <w:r>
              <w:rPr>
                <w:sz w:val="22"/>
              </w:rPr>
              <w:t>.</w:t>
            </w:r>
            <w:r>
              <w:rPr>
                <w:spacing w:val="-5"/>
                <w:sz w:val="22"/>
              </w:rPr>
              <w:t> </w:t>
            </w:r>
            <w:r>
              <w:rPr>
                <w:sz w:val="22"/>
              </w:rPr>
              <w:t>to</w:t>
            </w:r>
            <w:r>
              <w:rPr>
                <w:spacing w:val="-5"/>
                <w:sz w:val="22"/>
              </w:rPr>
              <w:t> </w:t>
            </w:r>
            <w:r>
              <w:rPr>
                <w:sz w:val="22"/>
              </w:rPr>
              <w:t>2:30</w:t>
            </w:r>
            <w:r>
              <w:rPr>
                <w:spacing w:val="-5"/>
                <w:sz w:val="22"/>
              </w:rPr>
              <w:t> </w:t>
            </w:r>
            <w:r>
              <w:rPr>
                <w:sz w:val="18"/>
              </w:rPr>
              <w:t>P</w:t>
            </w:r>
            <w:r>
              <w:rPr>
                <w:sz w:val="22"/>
              </w:rPr>
              <w:t>.</w:t>
            </w:r>
            <w:r>
              <w:rPr>
                <w:sz w:val="18"/>
              </w:rPr>
              <w:t>M</w:t>
            </w:r>
            <w:r>
              <w:rPr>
                <w:sz w:val="22"/>
              </w:rPr>
              <w:t>.</w:t>
            </w:r>
            <w:r>
              <w:rPr>
                <w:spacing w:val="-6"/>
                <w:sz w:val="22"/>
              </w:rPr>
              <w:t> </w:t>
            </w:r>
            <w:r>
              <w:rPr>
                <w:spacing w:val="-5"/>
                <w:sz w:val="22"/>
              </w:rPr>
              <w:t>ET</w:t>
            </w:r>
          </w:p>
        </w:tc>
      </w:tr>
      <w:tr>
        <w:trPr>
          <w:trHeight w:val="350" w:hRule="atLeast"/>
        </w:trPr>
        <w:tc>
          <w:tcPr>
            <w:tcW w:w="1602" w:type="dxa"/>
            <w:tcBorders>
              <w:top w:val="single" w:sz="4" w:space="0" w:color="000000"/>
            </w:tcBorders>
            <w:shd w:val="clear" w:color="auto" w:fill="000000"/>
          </w:tcPr>
          <w:p>
            <w:pPr>
              <w:pStyle w:val="TableParagraph"/>
              <w:spacing w:before="40"/>
              <w:ind w:right="425"/>
              <w:jc w:val="right"/>
              <w:rPr>
                <w:rFonts w:ascii="Verdana"/>
                <w:sz w:val="22"/>
              </w:rPr>
            </w:pPr>
            <w:r>
              <w:rPr>
                <w:rFonts w:ascii="Verdana"/>
                <w:color w:val="FFFFFF"/>
                <w:spacing w:val="-2"/>
                <w:sz w:val="22"/>
              </w:rPr>
              <w:t>Metals</w:t>
            </w:r>
          </w:p>
        </w:tc>
        <w:tc>
          <w:tcPr>
            <w:tcW w:w="4518" w:type="dxa"/>
            <w:tcBorders>
              <w:top w:val="single" w:sz="4" w:space="0" w:color="000000"/>
              <w:bottom w:val="single" w:sz="4" w:space="0" w:color="000000"/>
            </w:tcBorders>
          </w:tcPr>
          <w:p>
            <w:pPr>
              <w:pStyle w:val="TableParagraph"/>
              <w:spacing w:before="41"/>
              <w:ind w:left="117"/>
              <w:rPr>
                <w:sz w:val="22"/>
              </w:rPr>
            </w:pPr>
            <w:r>
              <w:rPr>
                <w:sz w:val="22"/>
              </w:rPr>
              <w:t>1:30</w:t>
            </w:r>
            <w:r>
              <w:rPr>
                <w:spacing w:val="-5"/>
                <w:sz w:val="22"/>
              </w:rPr>
              <w:t> </w:t>
            </w:r>
            <w:r>
              <w:rPr>
                <w:sz w:val="18"/>
              </w:rPr>
              <w:t>P</w:t>
            </w:r>
            <w:r>
              <w:rPr>
                <w:sz w:val="22"/>
              </w:rPr>
              <w:t>.</w:t>
            </w:r>
            <w:r>
              <w:rPr>
                <w:sz w:val="18"/>
              </w:rPr>
              <w:t>M</w:t>
            </w:r>
            <w:r>
              <w:rPr>
                <w:sz w:val="22"/>
              </w:rPr>
              <w:t>.</w:t>
            </w:r>
            <w:r>
              <w:rPr>
                <w:spacing w:val="-5"/>
                <w:sz w:val="22"/>
              </w:rPr>
              <w:t> </w:t>
            </w:r>
            <w:r>
              <w:rPr>
                <w:sz w:val="22"/>
              </w:rPr>
              <w:t>to</w:t>
            </w:r>
            <w:r>
              <w:rPr>
                <w:spacing w:val="-5"/>
                <w:sz w:val="22"/>
              </w:rPr>
              <w:t> </w:t>
            </w:r>
            <w:r>
              <w:rPr>
                <w:sz w:val="22"/>
              </w:rPr>
              <w:t>1:30</w:t>
            </w:r>
            <w:r>
              <w:rPr>
                <w:spacing w:val="-5"/>
                <w:sz w:val="22"/>
              </w:rPr>
              <w:t> </w:t>
            </w:r>
            <w:r>
              <w:rPr>
                <w:sz w:val="18"/>
              </w:rPr>
              <w:t>P</w:t>
            </w:r>
            <w:r>
              <w:rPr>
                <w:sz w:val="22"/>
              </w:rPr>
              <w:t>.</w:t>
            </w:r>
            <w:r>
              <w:rPr>
                <w:sz w:val="18"/>
              </w:rPr>
              <w:t>M</w:t>
            </w:r>
            <w:r>
              <w:rPr>
                <w:sz w:val="22"/>
              </w:rPr>
              <w:t>.</w:t>
            </w:r>
            <w:r>
              <w:rPr>
                <w:spacing w:val="-6"/>
                <w:sz w:val="22"/>
              </w:rPr>
              <w:t> </w:t>
            </w:r>
            <w:r>
              <w:rPr>
                <w:spacing w:val="-5"/>
                <w:sz w:val="22"/>
              </w:rPr>
              <w:t>ET</w:t>
            </w:r>
          </w:p>
        </w:tc>
      </w:tr>
    </w:tbl>
    <w:p>
      <w:pPr>
        <w:spacing w:before="0"/>
        <w:ind w:left="788" w:right="0" w:firstLine="0"/>
        <w:jc w:val="left"/>
        <w:rPr>
          <w:sz w:val="16"/>
        </w:rPr>
      </w:pPr>
      <w:r>
        <w:rPr>
          <w:sz w:val="16"/>
        </w:rPr>
        <w:t>TABLE</w:t>
      </w:r>
      <w:r>
        <w:rPr>
          <w:spacing w:val="1"/>
          <w:sz w:val="16"/>
        </w:rPr>
        <w:t> </w:t>
      </w:r>
      <w:r>
        <w:rPr>
          <w:sz w:val="16"/>
        </w:rPr>
        <w:t>5.3:</w:t>
      </w:r>
      <w:r>
        <w:rPr>
          <w:spacing w:val="1"/>
          <w:sz w:val="16"/>
        </w:rPr>
        <w:t> </w:t>
      </w:r>
      <w:r>
        <w:rPr>
          <w:sz w:val="16"/>
        </w:rPr>
        <w:t>Using</w:t>
      </w:r>
      <w:r>
        <w:rPr>
          <w:spacing w:val="1"/>
          <w:sz w:val="16"/>
        </w:rPr>
        <w:t> </w:t>
      </w:r>
      <w:r>
        <w:rPr>
          <w:sz w:val="16"/>
        </w:rPr>
        <w:t>the</w:t>
      </w:r>
      <w:r>
        <w:rPr>
          <w:spacing w:val="1"/>
          <w:sz w:val="16"/>
        </w:rPr>
        <w:t> </w:t>
      </w:r>
      <w:r>
        <w:rPr>
          <w:sz w:val="16"/>
        </w:rPr>
        <w:t>right</w:t>
      </w:r>
      <w:r>
        <w:rPr>
          <w:spacing w:val="2"/>
          <w:sz w:val="16"/>
        </w:rPr>
        <w:t> </w:t>
      </w:r>
      <w:r>
        <w:rPr>
          <w:sz w:val="16"/>
        </w:rPr>
        <w:t>data</w:t>
      </w:r>
      <w:r>
        <w:rPr>
          <w:spacing w:val="1"/>
          <w:sz w:val="16"/>
        </w:rPr>
        <w:t> </w:t>
      </w:r>
      <w:r>
        <w:rPr>
          <w:sz w:val="16"/>
        </w:rPr>
        <w:t>for</w:t>
      </w:r>
      <w:r>
        <w:rPr>
          <w:spacing w:val="1"/>
          <w:sz w:val="16"/>
        </w:rPr>
        <w:t> </w:t>
      </w:r>
      <w:r>
        <w:rPr>
          <w:sz w:val="16"/>
        </w:rPr>
        <w:t>your</w:t>
      </w:r>
      <w:r>
        <w:rPr>
          <w:spacing w:val="1"/>
          <w:sz w:val="16"/>
        </w:rPr>
        <w:t> </w:t>
      </w:r>
      <w:r>
        <w:rPr>
          <w:sz w:val="16"/>
        </w:rPr>
        <w:t>pivot</w:t>
      </w:r>
      <w:r>
        <w:rPr>
          <w:spacing w:val="2"/>
          <w:sz w:val="16"/>
        </w:rPr>
        <w:t> </w:t>
      </w:r>
      <w:r>
        <w:rPr>
          <w:spacing w:val="-2"/>
          <w:sz w:val="16"/>
        </w:rPr>
        <w:t>calculations</w:t>
      </w:r>
    </w:p>
    <w:p>
      <w:pPr>
        <w:spacing w:after="0"/>
        <w:jc w:val="left"/>
        <w:rPr>
          <w:sz w:val="16"/>
        </w:rPr>
        <w:sectPr>
          <w:pgSz w:w="8640" w:h="12960"/>
          <w:pgMar w:header="536" w:footer="1060" w:top="720" w:bottom="1260" w:left="580" w:right="580"/>
        </w:sectPr>
      </w:pPr>
    </w:p>
    <w:p>
      <w:pPr>
        <w:pStyle w:val="BodyText"/>
        <w:spacing w:before="1"/>
        <w:rPr>
          <w:sz w:val="14"/>
        </w:rPr>
      </w:pPr>
    </w:p>
    <w:p>
      <w:pPr>
        <w:pStyle w:val="Heading3"/>
        <w:spacing w:before="113"/>
      </w:pPr>
      <w:r>
        <w:rPr/>
        <w:pict>
          <v:shape style="position:absolute;margin-left:35.82pt;margin-top:22.620306pt;width:340.95pt;height:.1pt;mso-position-horizontal-relative:page;mso-position-vertical-relative:paragraph;z-index:-15650816;mso-wrap-distance-left:0;mso-wrap-distance-right:0" id="docshape469" coordorigin="716,452" coordsize="6819,0" path="m716,452l7535,452e" filled="false" stroked="true" strokeweight=".75pt" strokecolor="#000000">
            <v:path arrowok="t"/>
            <v:stroke dashstyle="solid"/>
            <w10:wrap type="topAndBottom"/>
          </v:shape>
        </w:pict>
      </w:r>
      <w:bookmarkStart w:name="_TOC_250045" w:id="46"/>
      <w:r>
        <w:rPr>
          <w:smallCaps/>
        </w:rPr>
        <w:t>Pivot</w:t>
      </w:r>
      <w:r>
        <w:rPr>
          <w:smallCaps/>
          <w:spacing w:val="-13"/>
        </w:rPr>
        <w:t> </w:t>
      </w:r>
      <w:r>
        <w:rPr>
          <w:smallCaps/>
        </w:rPr>
        <w:t>Trend</w:t>
      </w:r>
      <w:r>
        <w:rPr>
          <w:smallCaps/>
          <w:spacing w:val="-8"/>
        </w:rPr>
        <w:t> </w:t>
      </w:r>
      <w:bookmarkEnd w:id="46"/>
      <w:r>
        <w:rPr>
          <w:smallCaps/>
          <w:spacing w:val="-2"/>
        </w:rPr>
        <w:t>Analysis</w:t>
      </w:r>
    </w:p>
    <w:p>
      <w:pPr>
        <w:pStyle w:val="BodyText"/>
        <w:spacing w:before="228"/>
        <w:ind w:left="140" w:right="497" w:firstLine="432"/>
        <w:jc w:val="both"/>
      </w:pPr>
      <w:r>
        <w:rPr/>
        <w:t>Once you begin to get a feel for the pivots, you will begin to develop your own ideas for how to incorporate them into your trading. Throughout</w:t>
      </w:r>
      <w:r>
        <w:rPr>
          <w:spacing w:val="40"/>
        </w:rPr>
        <w:t> </w:t>
      </w:r>
      <w:r>
        <w:rPr/>
        <w:t>the</w:t>
      </w:r>
      <w:r>
        <w:rPr>
          <w:spacing w:val="-2"/>
        </w:rPr>
        <w:t> </w:t>
      </w:r>
      <w:r>
        <w:rPr/>
        <w:t>book,</w:t>
      </w:r>
      <w:r>
        <w:rPr>
          <w:spacing w:val="-2"/>
        </w:rPr>
        <w:t> </w:t>
      </w:r>
      <w:r>
        <w:rPr/>
        <w:t>I</w:t>
      </w:r>
      <w:r>
        <w:rPr>
          <w:spacing w:val="-2"/>
        </w:rPr>
        <w:t> </w:t>
      </w:r>
      <w:r>
        <w:rPr/>
        <w:t>am</w:t>
      </w:r>
      <w:r>
        <w:rPr>
          <w:spacing w:val="-1"/>
        </w:rPr>
        <w:t> </w:t>
      </w:r>
      <w:r>
        <w:rPr/>
        <w:t>providing</w:t>
      </w:r>
      <w:r>
        <w:rPr>
          <w:spacing w:val="-3"/>
        </w:rPr>
        <w:t> </w:t>
      </w:r>
      <w:r>
        <w:rPr/>
        <w:t>you</w:t>
      </w:r>
      <w:r>
        <w:rPr>
          <w:spacing w:val="-2"/>
        </w:rPr>
        <w:t> </w:t>
      </w:r>
      <w:r>
        <w:rPr/>
        <w:t>with</w:t>
      </w:r>
      <w:r>
        <w:rPr>
          <w:spacing w:val="-2"/>
        </w:rPr>
        <w:t> </w:t>
      </w:r>
      <w:r>
        <w:rPr/>
        <w:t>incredible</w:t>
      </w:r>
      <w:r>
        <w:rPr>
          <w:spacing w:val="-2"/>
        </w:rPr>
        <w:t> </w:t>
      </w:r>
      <w:r>
        <w:rPr/>
        <w:t>insight</w:t>
      </w:r>
      <w:r>
        <w:rPr>
          <w:spacing w:val="-3"/>
        </w:rPr>
        <w:t> </w:t>
      </w:r>
      <w:r>
        <w:rPr/>
        <w:t>that</w:t>
      </w:r>
      <w:r>
        <w:rPr>
          <w:spacing w:val="-2"/>
        </w:rPr>
        <w:t> </w:t>
      </w:r>
      <w:r>
        <w:rPr/>
        <w:t>took</w:t>
      </w:r>
      <w:r>
        <w:rPr>
          <w:spacing w:val="-2"/>
        </w:rPr>
        <w:t> </w:t>
      </w:r>
      <w:r>
        <w:rPr/>
        <w:t>me many</w:t>
      </w:r>
      <w:r>
        <w:rPr>
          <w:spacing w:val="-3"/>
        </w:rPr>
        <w:t> </w:t>
      </w:r>
      <w:r>
        <w:rPr/>
        <w:t>years of study, research, and practice. But if there is just one concept you take</w:t>
      </w:r>
      <w:r>
        <w:rPr>
          <w:spacing w:val="40"/>
        </w:rPr>
        <w:t> </w:t>
      </w:r>
      <w:r>
        <w:rPr/>
        <w:t>away from this book, it is the one I am about to share with you at this </w:t>
      </w:r>
      <w:r>
        <w:rPr>
          <w:spacing w:val="-2"/>
        </w:rPr>
        <w:t>moment:</w:t>
      </w:r>
    </w:p>
    <w:p>
      <w:pPr>
        <w:pStyle w:val="BodyText"/>
        <w:spacing w:before="2"/>
      </w:pPr>
    </w:p>
    <w:p>
      <w:pPr>
        <w:spacing w:before="0"/>
        <w:ind w:left="611" w:right="0" w:firstLine="0"/>
        <w:jc w:val="left"/>
        <w:rPr>
          <w:i/>
          <w:sz w:val="22"/>
        </w:rPr>
      </w:pPr>
      <w:r>
        <w:rPr>
          <w:i/>
          <w:sz w:val="22"/>
        </w:rPr>
        <w:t>Buy</w:t>
      </w:r>
      <w:r>
        <w:rPr>
          <w:i/>
          <w:spacing w:val="-4"/>
          <w:sz w:val="22"/>
        </w:rPr>
        <w:t> </w:t>
      </w:r>
      <w:r>
        <w:rPr>
          <w:i/>
          <w:sz w:val="22"/>
        </w:rPr>
        <w:t>at</w:t>
      </w:r>
      <w:r>
        <w:rPr>
          <w:i/>
          <w:spacing w:val="-4"/>
          <w:sz w:val="22"/>
        </w:rPr>
        <w:t> </w:t>
      </w:r>
      <w:r>
        <w:rPr>
          <w:i/>
          <w:sz w:val="22"/>
        </w:rPr>
        <w:t>support</w:t>
      </w:r>
      <w:r>
        <w:rPr>
          <w:i/>
          <w:spacing w:val="-4"/>
          <w:sz w:val="22"/>
        </w:rPr>
        <w:t> </w:t>
      </w:r>
      <w:r>
        <w:rPr>
          <w:i/>
          <w:sz w:val="22"/>
        </w:rPr>
        <w:t>in</w:t>
      </w:r>
      <w:r>
        <w:rPr>
          <w:i/>
          <w:spacing w:val="-4"/>
          <w:sz w:val="22"/>
        </w:rPr>
        <w:t> </w:t>
      </w:r>
      <w:r>
        <w:rPr>
          <w:i/>
          <w:sz w:val="22"/>
        </w:rPr>
        <w:t>an</w:t>
      </w:r>
      <w:r>
        <w:rPr>
          <w:i/>
          <w:spacing w:val="-5"/>
          <w:sz w:val="22"/>
        </w:rPr>
        <w:t> </w:t>
      </w:r>
      <w:r>
        <w:rPr>
          <w:i/>
          <w:sz w:val="22"/>
        </w:rPr>
        <w:t>uptrend</w:t>
      </w:r>
      <w:r>
        <w:rPr>
          <w:i/>
          <w:spacing w:val="-4"/>
          <w:sz w:val="22"/>
        </w:rPr>
        <w:t> </w:t>
      </w:r>
      <w:r>
        <w:rPr>
          <w:i/>
          <w:sz w:val="22"/>
        </w:rPr>
        <w:t>and</w:t>
      </w:r>
      <w:r>
        <w:rPr>
          <w:i/>
          <w:spacing w:val="-4"/>
          <w:sz w:val="22"/>
        </w:rPr>
        <w:t> </w:t>
      </w:r>
      <w:r>
        <w:rPr>
          <w:i/>
          <w:sz w:val="22"/>
        </w:rPr>
        <w:t>sell</w:t>
      </w:r>
      <w:r>
        <w:rPr>
          <w:i/>
          <w:spacing w:val="-4"/>
          <w:sz w:val="22"/>
        </w:rPr>
        <w:t> </w:t>
      </w:r>
      <w:r>
        <w:rPr>
          <w:i/>
          <w:sz w:val="22"/>
        </w:rPr>
        <w:t>at</w:t>
      </w:r>
      <w:r>
        <w:rPr>
          <w:i/>
          <w:spacing w:val="-6"/>
          <w:sz w:val="22"/>
        </w:rPr>
        <w:t> </w:t>
      </w:r>
      <w:r>
        <w:rPr>
          <w:i/>
          <w:sz w:val="22"/>
        </w:rPr>
        <w:t>resistance</w:t>
      </w:r>
      <w:r>
        <w:rPr>
          <w:i/>
          <w:spacing w:val="-5"/>
          <w:sz w:val="22"/>
        </w:rPr>
        <w:t> </w:t>
      </w:r>
      <w:r>
        <w:rPr>
          <w:i/>
          <w:sz w:val="22"/>
        </w:rPr>
        <w:t>in</w:t>
      </w:r>
      <w:r>
        <w:rPr>
          <w:i/>
          <w:spacing w:val="-4"/>
          <w:sz w:val="22"/>
        </w:rPr>
        <w:t> </w:t>
      </w:r>
      <w:r>
        <w:rPr>
          <w:i/>
          <w:sz w:val="22"/>
        </w:rPr>
        <w:t>a</w:t>
      </w:r>
      <w:r>
        <w:rPr>
          <w:i/>
          <w:spacing w:val="-3"/>
          <w:sz w:val="22"/>
        </w:rPr>
        <w:t> </w:t>
      </w:r>
      <w:r>
        <w:rPr>
          <w:i/>
          <w:spacing w:val="-2"/>
          <w:sz w:val="22"/>
        </w:rPr>
        <w:t>downtrend.</w:t>
      </w:r>
    </w:p>
    <w:p>
      <w:pPr>
        <w:pStyle w:val="BodyText"/>
        <w:spacing w:before="10"/>
        <w:rPr>
          <w:i/>
          <w:sz w:val="21"/>
        </w:rPr>
      </w:pPr>
    </w:p>
    <w:p>
      <w:pPr>
        <w:pStyle w:val="BodyText"/>
        <w:spacing w:before="1"/>
        <w:ind w:left="140" w:right="495" w:firstLine="432"/>
        <w:jc w:val="both"/>
      </w:pPr>
      <w:r>
        <w:rPr/>
        <w:t>This is a simple concept that can be easily overlooked, but it is one of</w:t>
      </w:r>
      <w:r>
        <w:rPr>
          <w:spacing w:val="40"/>
        </w:rPr>
        <w:t> </w:t>
      </w:r>
      <w:r>
        <w:rPr/>
        <w:t>the most powerful concepts that you can take away from using pivots, or any form</w:t>
      </w:r>
      <w:r>
        <w:rPr>
          <w:spacing w:val="-2"/>
        </w:rPr>
        <w:t> </w:t>
      </w:r>
      <w:r>
        <w:rPr/>
        <w:t>of</w:t>
      </w:r>
      <w:r>
        <w:rPr>
          <w:spacing w:val="-2"/>
        </w:rPr>
        <w:t> </w:t>
      </w:r>
      <w:r>
        <w:rPr/>
        <w:t>technical</w:t>
      </w:r>
      <w:r>
        <w:rPr>
          <w:spacing w:val="-2"/>
        </w:rPr>
        <w:t> </w:t>
      </w:r>
      <w:r>
        <w:rPr/>
        <w:t>analysis,</w:t>
      </w:r>
      <w:r>
        <w:rPr>
          <w:spacing w:val="-2"/>
        </w:rPr>
        <w:t> </w:t>
      </w:r>
      <w:r>
        <w:rPr/>
        <w:t>in</w:t>
      </w:r>
      <w:r>
        <w:rPr>
          <w:spacing w:val="-3"/>
        </w:rPr>
        <w:t> </w:t>
      </w:r>
      <w:r>
        <w:rPr/>
        <w:t>your</w:t>
      </w:r>
      <w:r>
        <w:rPr>
          <w:spacing w:val="-4"/>
        </w:rPr>
        <w:t> </w:t>
      </w:r>
      <w:r>
        <w:rPr/>
        <w:t>trading.</w:t>
      </w:r>
      <w:r>
        <w:rPr>
          <w:spacing w:val="-2"/>
        </w:rPr>
        <w:t> </w:t>
      </w:r>
      <w:r>
        <w:rPr/>
        <w:t>Earlier</w:t>
      </w:r>
      <w:r>
        <w:rPr>
          <w:spacing w:val="-2"/>
        </w:rPr>
        <w:t> </w:t>
      </w:r>
      <w:r>
        <w:rPr/>
        <w:t>in</w:t>
      </w:r>
      <w:r>
        <w:rPr>
          <w:spacing w:val="-2"/>
        </w:rPr>
        <w:t> </w:t>
      </w:r>
      <w:r>
        <w:rPr/>
        <w:t>the</w:t>
      </w:r>
      <w:r>
        <w:rPr>
          <w:spacing w:val="-2"/>
        </w:rPr>
        <w:t> </w:t>
      </w:r>
      <w:r>
        <w:rPr/>
        <w:t>chapter,</w:t>
      </w:r>
      <w:r>
        <w:rPr>
          <w:spacing w:val="-2"/>
        </w:rPr>
        <w:t> </w:t>
      </w:r>
      <w:r>
        <w:rPr/>
        <w:t>I</w:t>
      </w:r>
      <w:r>
        <w:rPr>
          <w:spacing w:val="-2"/>
        </w:rPr>
        <w:t> </w:t>
      </w:r>
      <w:r>
        <w:rPr/>
        <w:t>mentioned Larry Williams divulged his “Pivot Price Formula” in his book </w:t>
      </w:r>
      <w:r>
        <w:rPr>
          <w:i/>
        </w:rPr>
        <w:t>How I Made</w:t>
      </w:r>
      <w:r>
        <w:rPr>
          <w:i/>
        </w:rPr>
        <w:t> One Million Dollars Last Year Trading Commodities</w:t>
      </w:r>
      <w:r>
        <w:rPr/>
        <w:t>. In the text, he also provides this valuable insight:</w:t>
      </w:r>
    </w:p>
    <w:p>
      <w:pPr>
        <w:pStyle w:val="BodyText"/>
      </w:pPr>
    </w:p>
    <w:p>
      <w:pPr>
        <w:spacing w:before="0"/>
        <w:ind w:left="140" w:right="494" w:firstLine="432"/>
        <w:jc w:val="both"/>
        <w:rPr>
          <w:i/>
          <w:sz w:val="22"/>
        </w:rPr>
      </w:pPr>
      <w:r>
        <w:rPr>
          <w:i/>
          <w:sz w:val="22"/>
        </w:rPr>
        <w:t>“In all fairness, I should add that the projected high and low prices are</w:t>
      </w:r>
      <w:r>
        <w:rPr>
          <w:i/>
          <w:sz w:val="22"/>
        </w:rPr>
        <w:t> best to use along this manner; if you expect tomorrow to be an up day, then run the formula for the high. That’s the one most apt to be correct. By the same token, the low forecast will most likely be correct only if the commodity declines from the next day.”</w:t>
      </w:r>
    </w:p>
    <w:p>
      <w:pPr>
        <w:pStyle w:val="BodyText"/>
        <w:spacing w:before="10"/>
        <w:rPr>
          <w:i/>
          <w:sz w:val="21"/>
        </w:rPr>
      </w:pPr>
    </w:p>
    <w:p>
      <w:pPr>
        <w:pStyle w:val="BodyText"/>
        <w:ind w:left="140" w:right="496" w:firstLine="432"/>
        <w:jc w:val="both"/>
      </w:pPr>
      <w:r>
        <w:rPr/>
        <w:t>Essentially, Williams laid the foundation for what would become pivot trend analysis and pivot filtering. John Person took the concept a step further in 2007 with his book </w:t>
      </w:r>
      <w:r>
        <w:rPr>
          <w:i/>
        </w:rPr>
        <w:t>Candlestick and Pivot Point Trading Triggers </w:t>
      </w:r>
      <w:r>
        <w:rPr/>
        <w:t>by including his method for auto-filtering the pivots based on the current trend</w:t>
      </w:r>
      <w:r>
        <w:rPr>
          <w:spacing w:val="40"/>
        </w:rPr>
        <w:t> </w:t>
      </w:r>
      <w:r>
        <w:rPr/>
        <w:t>of the market. In essence, Person filters all pivots except S1, R2, and the central pivot point when the market is in an uptrend. In a downtrend, all pivots are filtered except R1, S2, and the central pivot point.</w:t>
      </w:r>
    </w:p>
    <w:p>
      <w:pPr>
        <w:pStyle w:val="BodyText"/>
        <w:spacing w:before="1"/>
        <w:ind w:left="140" w:right="496" w:firstLine="432"/>
        <w:jc w:val="both"/>
      </w:pPr>
      <w:r>
        <w:rPr/>
        <w:t>Basically, filtering the pivots in this manner forces you to become disciplined to the trend, which increases your chances for a profitable outcome. Filtered pivots decipher the trend for you, allowing you to focus on playing the pivots that are more prone to reversals within the corresponding trend. If you remove all the pivots below S1 support, you are forced to</w:t>
      </w:r>
      <w:r>
        <w:rPr>
          <w:spacing w:val="40"/>
        </w:rPr>
        <w:t> </w:t>
      </w:r>
      <w:r>
        <w:rPr/>
        <w:t>remain disciplined to a bullish trend by looking for long opportunities at S1 and the central pivot range. Likewise, removing all pivots above R1 forces you to prospect in the direction of a bearish trend.</w:t>
      </w:r>
    </w:p>
    <w:p>
      <w:pPr>
        <w:pStyle w:val="BodyText"/>
        <w:ind w:left="140" w:right="496" w:firstLine="432"/>
        <w:jc w:val="both"/>
      </w:pPr>
      <w:r>
        <w:rPr/>
        <w:t>This seems like a simple concept, but many traders can lose focus of the trend</w:t>
      </w:r>
      <w:r>
        <w:rPr>
          <w:spacing w:val="16"/>
        </w:rPr>
        <w:t> </w:t>
      </w:r>
      <w:r>
        <w:rPr/>
        <w:t>through</w:t>
      </w:r>
      <w:r>
        <w:rPr>
          <w:spacing w:val="14"/>
        </w:rPr>
        <w:t> </w:t>
      </w:r>
      <w:r>
        <w:rPr/>
        <w:t>all</w:t>
      </w:r>
      <w:r>
        <w:rPr>
          <w:spacing w:val="17"/>
        </w:rPr>
        <w:t> </w:t>
      </w:r>
      <w:r>
        <w:rPr/>
        <w:t>the</w:t>
      </w:r>
      <w:r>
        <w:rPr>
          <w:spacing w:val="16"/>
        </w:rPr>
        <w:t> </w:t>
      </w:r>
      <w:r>
        <w:rPr/>
        <w:t>noise</w:t>
      </w:r>
      <w:r>
        <w:rPr>
          <w:spacing w:val="18"/>
        </w:rPr>
        <w:t> </w:t>
      </w:r>
      <w:r>
        <w:rPr/>
        <w:t>that</w:t>
      </w:r>
      <w:r>
        <w:rPr>
          <w:spacing w:val="16"/>
        </w:rPr>
        <w:t> </w:t>
      </w:r>
      <w:r>
        <w:rPr/>
        <w:t>comes</w:t>
      </w:r>
      <w:r>
        <w:rPr>
          <w:spacing w:val="17"/>
        </w:rPr>
        <w:t> </w:t>
      </w:r>
      <w:r>
        <w:rPr/>
        <w:t>along</w:t>
      </w:r>
      <w:r>
        <w:rPr>
          <w:spacing w:val="17"/>
        </w:rPr>
        <w:t> </w:t>
      </w:r>
      <w:r>
        <w:rPr/>
        <w:t>with</w:t>
      </w:r>
      <w:r>
        <w:rPr>
          <w:spacing w:val="15"/>
        </w:rPr>
        <w:t> </w:t>
      </w:r>
      <w:r>
        <w:rPr/>
        <w:t>trading.</w:t>
      </w:r>
      <w:r>
        <w:rPr>
          <w:spacing w:val="17"/>
        </w:rPr>
        <w:t> </w:t>
      </w:r>
      <w:r>
        <w:rPr/>
        <w:t>This</w:t>
      </w:r>
      <w:r>
        <w:rPr>
          <w:spacing w:val="16"/>
        </w:rPr>
        <w:t> </w:t>
      </w:r>
      <w:r>
        <w:rPr/>
        <w:t>is</w:t>
      </w:r>
      <w:r>
        <w:rPr>
          <w:spacing w:val="17"/>
        </w:rPr>
        <w:t> </w:t>
      </w:r>
      <w:r>
        <w:rPr>
          <w:spacing w:val="-2"/>
        </w:rPr>
        <w:t>especially</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5"/>
        <w:jc w:val="both"/>
      </w:pPr>
      <w:r>
        <w:rPr/>
        <w:t>the case for intraday traders. The fact is, when the market is moving within</w:t>
      </w:r>
      <w:r>
        <w:rPr>
          <w:spacing w:val="40"/>
        </w:rPr>
        <w:t> </w:t>
      </w:r>
      <w:r>
        <w:rPr/>
        <w:t>an established trend, certain pivots become “retired” for that particular trend. It is at this point that your focus should shift to the pivots that are active for key trading opportunities. For example, in a bullish trend, any pivot level below S1 support is usually just taking up real estate on your chart, since these levels are not tested during a true bullish advance. Likewise, any level above R1 resistance is just noise during a bearish trend, as these levels are rarely</w:t>
      </w:r>
      <w:r>
        <w:rPr>
          <w:spacing w:val="-2"/>
        </w:rPr>
        <w:t> </w:t>
      </w:r>
      <w:r>
        <w:rPr/>
        <w:t>tested</w:t>
      </w:r>
      <w:r>
        <w:rPr>
          <w:spacing w:val="-2"/>
        </w:rPr>
        <w:t> </w:t>
      </w:r>
      <w:r>
        <w:rPr/>
        <w:t>during</w:t>
      </w:r>
      <w:r>
        <w:rPr>
          <w:spacing w:val="-2"/>
        </w:rPr>
        <w:t> </w:t>
      </w:r>
      <w:r>
        <w:rPr/>
        <w:t>a</w:t>
      </w:r>
      <w:r>
        <w:rPr>
          <w:spacing w:val="-2"/>
        </w:rPr>
        <w:t> </w:t>
      </w:r>
      <w:r>
        <w:rPr/>
        <w:t>true</w:t>
      </w:r>
      <w:r>
        <w:rPr>
          <w:spacing w:val="-3"/>
        </w:rPr>
        <w:t> </w:t>
      </w:r>
      <w:r>
        <w:rPr/>
        <w:t>decline.</w:t>
      </w:r>
      <w:r>
        <w:rPr>
          <w:spacing w:val="-2"/>
        </w:rPr>
        <w:t> </w:t>
      </w:r>
      <w:r>
        <w:rPr/>
        <w:t>Therefore,</w:t>
      </w:r>
      <w:r>
        <w:rPr>
          <w:spacing w:val="-2"/>
        </w:rPr>
        <w:t> </w:t>
      </w:r>
      <w:r>
        <w:rPr/>
        <w:t>if</w:t>
      </w:r>
      <w:r>
        <w:rPr>
          <w:spacing w:val="-2"/>
        </w:rPr>
        <w:t> </w:t>
      </w:r>
      <w:r>
        <w:rPr/>
        <w:t>the</w:t>
      </w:r>
      <w:r>
        <w:rPr>
          <w:spacing w:val="-2"/>
        </w:rPr>
        <w:t> </w:t>
      </w:r>
      <w:r>
        <w:rPr/>
        <w:t>market</w:t>
      </w:r>
      <w:r>
        <w:rPr>
          <w:spacing w:val="-2"/>
        </w:rPr>
        <w:t> </w:t>
      </w:r>
      <w:r>
        <w:rPr/>
        <w:t>is</w:t>
      </w:r>
      <w:r>
        <w:rPr>
          <w:spacing w:val="-2"/>
        </w:rPr>
        <w:t> </w:t>
      </w:r>
      <w:r>
        <w:rPr/>
        <w:t>trending</w:t>
      </w:r>
      <w:r>
        <w:rPr>
          <w:spacing w:val="-2"/>
        </w:rPr>
        <w:t> </w:t>
      </w:r>
      <w:r>
        <w:rPr/>
        <w:t>higher, you will look to buy at support at either S1 or the central pivot range with your target set to a new high at either R1 or R2. Likewise, if the market is trending lower, you will look to sell at resistance at either R1 or the central pivot range with your target set to a new low at either S1 or S2. This pattern of trending behavior will usually last as long as price remains above S1 support while in an uptrend, or below R1 resistance while in a downtrend.</w:t>
      </w:r>
    </w:p>
    <w:p>
      <w:pPr>
        <w:pStyle w:val="BodyText"/>
        <w:spacing w:before="1"/>
        <w:ind w:left="500" w:right="135" w:firstLine="432"/>
        <w:jc w:val="both"/>
      </w:pPr>
      <w:r>
        <w:rPr/>
        <w:t>Let’s take a look at Figure 5.8, which is a fifteen-minute chart of</w:t>
      </w:r>
      <w:r>
        <w:rPr>
          <w:spacing w:val="40"/>
        </w:rPr>
        <w:t> </w:t>
      </w:r>
      <w:r>
        <w:rPr/>
        <w:t>Google, Inc. (ticker: GOOG). In this example, Google trended lower beneath the R1 level for six straight days, allowing you to play the reversals within the</w:t>
      </w:r>
      <w:r>
        <w:rPr>
          <w:spacing w:val="-4"/>
        </w:rPr>
        <w:t> </w:t>
      </w:r>
      <w:r>
        <w:rPr/>
        <w:t>downtrending</w:t>
      </w:r>
      <w:r>
        <w:rPr>
          <w:spacing w:val="-4"/>
        </w:rPr>
        <w:t> </w:t>
      </w:r>
      <w:r>
        <w:rPr/>
        <w:t>market.</w:t>
      </w:r>
      <w:r>
        <w:rPr>
          <w:spacing w:val="-3"/>
        </w:rPr>
        <w:t> </w:t>
      </w:r>
      <w:r>
        <w:rPr/>
        <w:t>Notice</w:t>
      </w:r>
      <w:r>
        <w:rPr>
          <w:spacing w:val="-5"/>
        </w:rPr>
        <w:t> </w:t>
      </w:r>
      <w:r>
        <w:rPr/>
        <w:t>that</w:t>
      </w:r>
      <w:r>
        <w:rPr>
          <w:spacing w:val="-4"/>
        </w:rPr>
        <w:t> </w:t>
      </w:r>
      <w:r>
        <w:rPr/>
        <w:t>the</w:t>
      </w:r>
      <w:r>
        <w:rPr>
          <w:spacing w:val="-4"/>
        </w:rPr>
        <w:t> </w:t>
      </w:r>
      <w:r>
        <w:rPr/>
        <w:t>bearish</w:t>
      </w:r>
      <w:r>
        <w:rPr>
          <w:spacing w:val="-4"/>
        </w:rPr>
        <w:t> </w:t>
      </w:r>
      <w:r>
        <w:rPr/>
        <w:t>trend</w:t>
      </w:r>
      <w:r>
        <w:rPr>
          <w:spacing w:val="-4"/>
        </w:rPr>
        <w:t> </w:t>
      </w:r>
      <w:r>
        <w:rPr/>
        <w:t>remained</w:t>
      </w:r>
      <w:r>
        <w:rPr>
          <w:spacing w:val="-4"/>
        </w:rPr>
        <w:t> </w:t>
      </w:r>
      <w:r>
        <w:rPr/>
        <w:t>firmly</w:t>
      </w:r>
      <w:r>
        <w:rPr>
          <w:spacing w:val="-4"/>
        </w:rPr>
        <w:t> </w:t>
      </w:r>
      <w:r>
        <w:rPr/>
        <w:t>intact while trading below the R1 resistance level.</w:t>
      </w:r>
      <w:r>
        <w:rPr/>
        <w:t> However, on the seventh day,</w:t>
      </w:r>
      <w:r>
        <w:rPr>
          <w:spacing w:val="40"/>
        </w:rPr>
        <w:t> </w:t>
      </w:r>
      <w:r>
        <w:rPr/>
        <w:t>the stock jumped above R1 for the first time and closed beyond this level for the day. The adverse close beyond R1 caused a shift in the trend to bullish from bearish, which also caused a shift in the way the pivots would then be played. Notice that once the trend changed, the stock trended steadily higher above S1 support until price closed beneath this level for the day, which occurred six days later.</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97" cy="3094672"/>
            <wp:effectExtent l="0" t="0" r="0" b="0"/>
            <wp:docPr id="129" name="image66.png"/>
            <wp:cNvGraphicFramePr>
              <a:graphicFrameLocks noChangeAspect="1"/>
            </wp:cNvGraphicFramePr>
            <a:graphic>
              <a:graphicData uri="http://schemas.openxmlformats.org/drawingml/2006/picture">
                <pic:pic>
                  <pic:nvPicPr>
                    <pic:cNvPr id="130" name="image66.png"/>
                    <pic:cNvPicPr/>
                  </pic:nvPicPr>
                  <pic:blipFill>
                    <a:blip r:embed="rId160" cstate="print"/>
                    <a:stretch>
                      <a:fillRect/>
                    </a:stretch>
                  </pic:blipFill>
                  <pic:spPr>
                    <a:xfrm>
                      <a:off x="0" y="0"/>
                      <a:ext cx="4304897" cy="3094672"/>
                    </a:xfrm>
                    <a:prstGeom prst="rect">
                      <a:avLst/>
                    </a:prstGeom>
                  </pic:spPr>
                </pic:pic>
              </a:graphicData>
            </a:graphic>
          </wp:inline>
        </w:drawing>
      </w:r>
      <w:r>
        <w:rPr>
          <w:sz w:val="20"/>
        </w:rPr>
      </w:r>
    </w:p>
    <w:p>
      <w:pPr>
        <w:spacing w:before="49"/>
        <w:ind w:left="140" w:right="0" w:firstLine="0"/>
        <w:jc w:val="left"/>
        <w:rPr>
          <w:sz w:val="16"/>
        </w:rPr>
      </w:pPr>
      <w:r>
        <w:rPr>
          <w:sz w:val="16"/>
        </w:rPr>
        <w:t>FIGURE 5.8:</w:t>
      </w:r>
      <w:r>
        <w:rPr>
          <w:spacing w:val="1"/>
          <w:sz w:val="16"/>
        </w:rPr>
        <w:t> </w:t>
      </w:r>
      <w:r>
        <w:rPr>
          <w:sz w:val="16"/>
        </w:rPr>
        <w:t>The</w:t>
      </w:r>
      <w:r>
        <w:rPr>
          <w:spacing w:val="2"/>
          <w:sz w:val="16"/>
        </w:rPr>
        <w:t> </w:t>
      </w:r>
      <w:r>
        <w:rPr>
          <w:sz w:val="16"/>
        </w:rPr>
        <w:t>first layer</w:t>
      </w:r>
      <w:r>
        <w:rPr>
          <w:spacing w:val="1"/>
          <w:sz w:val="16"/>
        </w:rPr>
        <w:t> </w:t>
      </w:r>
      <w:r>
        <w:rPr>
          <w:sz w:val="16"/>
        </w:rPr>
        <w:t>of the</w:t>
      </w:r>
      <w:r>
        <w:rPr>
          <w:spacing w:val="1"/>
          <w:sz w:val="16"/>
        </w:rPr>
        <w:t> </w:t>
      </w:r>
      <w:r>
        <w:rPr>
          <w:sz w:val="16"/>
        </w:rPr>
        <w:t>pivots directs</w:t>
      </w:r>
      <w:r>
        <w:rPr>
          <w:spacing w:val="1"/>
          <w:sz w:val="16"/>
        </w:rPr>
        <w:t> </w:t>
      </w:r>
      <w:r>
        <w:rPr>
          <w:sz w:val="16"/>
        </w:rPr>
        <w:t>the flow</w:t>
      </w:r>
      <w:r>
        <w:rPr>
          <w:spacing w:val="1"/>
          <w:sz w:val="16"/>
        </w:rPr>
        <w:t> </w:t>
      </w:r>
      <w:r>
        <w:rPr>
          <w:sz w:val="16"/>
        </w:rPr>
        <w:t>of the</w:t>
      </w:r>
      <w:r>
        <w:rPr>
          <w:spacing w:val="1"/>
          <w:sz w:val="16"/>
        </w:rPr>
        <w:t> </w:t>
      </w:r>
      <w:r>
        <w:rPr>
          <w:spacing w:val="-2"/>
          <w:sz w:val="16"/>
        </w:rPr>
        <w:t>trend.</w:t>
      </w:r>
    </w:p>
    <w:p>
      <w:pPr>
        <w:pStyle w:val="BodyText"/>
        <w:spacing w:before="2"/>
      </w:pPr>
    </w:p>
    <w:p>
      <w:pPr>
        <w:pStyle w:val="BodyText"/>
        <w:ind w:left="139" w:right="496" w:firstLine="432"/>
        <w:jc w:val="both"/>
      </w:pPr>
      <w:r>
        <w:rPr/>
        <w:t>Let’s take a look at Figure 5.9, which is a fifteen-minute chart of</w:t>
      </w:r>
      <w:r>
        <w:rPr>
          <w:spacing w:val="40"/>
        </w:rPr>
        <w:t> </w:t>
      </w:r>
      <w:r>
        <w:rPr/>
        <w:t>Google, Inc. The stock got a bullish breakout on April 12, 2010, which sparked a four-day rally. During the advance, GOOG remained above S1 support the entire time, and never even tested this pivot. When this occurs, you should obviously be in “bull mode” and look to buy pull-backs to S1 or the central pivot range, which act as support in an uptrend. Furthermore, being in “bull mode” also means setting your targets to a new high at or above R1 resistance. After all, being in an uptrend means higher lows </w:t>
      </w:r>
      <w:r>
        <w:rPr>
          <w:i/>
        </w:rPr>
        <w:t>and</w:t>
      </w:r>
      <w:r>
        <w:rPr>
          <w:i/>
        </w:rPr>
        <w:t> </w:t>
      </w:r>
      <w:r>
        <w:rPr/>
        <w:t>higher highs. Therefore, if you buy the pull-backs within an uptrend (higher lows),</w:t>
      </w:r>
      <w:r>
        <w:rPr>
          <w:spacing w:val="-3"/>
        </w:rPr>
        <w:t> </w:t>
      </w:r>
      <w:r>
        <w:rPr/>
        <w:t>your</w:t>
      </w:r>
      <w:r>
        <w:rPr>
          <w:spacing w:val="-3"/>
        </w:rPr>
        <w:t> </w:t>
      </w:r>
      <w:r>
        <w:rPr/>
        <w:t>goal</w:t>
      </w:r>
      <w:r>
        <w:rPr>
          <w:spacing w:val="-3"/>
        </w:rPr>
        <w:t> </w:t>
      </w:r>
      <w:r>
        <w:rPr/>
        <w:t>then</w:t>
      </w:r>
      <w:r>
        <w:rPr>
          <w:spacing w:val="-3"/>
        </w:rPr>
        <w:t> </w:t>
      </w:r>
      <w:r>
        <w:rPr/>
        <w:t>becomes</w:t>
      </w:r>
      <w:r>
        <w:rPr>
          <w:spacing w:val="-2"/>
        </w:rPr>
        <w:t> </w:t>
      </w:r>
      <w:r>
        <w:rPr/>
        <w:t>to</w:t>
      </w:r>
      <w:r>
        <w:rPr>
          <w:spacing w:val="-3"/>
        </w:rPr>
        <w:t> </w:t>
      </w:r>
      <w:r>
        <w:rPr/>
        <w:t>reach</w:t>
      </w:r>
      <w:r>
        <w:rPr>
          <w:spacing w:val="-2"/>
        </w:rPr>
        <w:t> </w:t>
      </w:r>
      <w:r>
        <w:rPr/>
        <w:t>a</w:t>
      </w:r>
      <w:r>
        <w:rPr>
          <w:spacing w:val="-3"/>
        </w:rPr>
        <w:t> </w:t>
      </w:r>
      <w:r>
        <w:rPr/>
        <w:t>new</w:t>
      </w:r>
      <w:r>
        <w:rPr>
          <w:spacing w:val="-2"/>
        </w:rPr>
        <w:t> </w:t>
      </w:r>
      <w:r>
        <w:rPr/>
        <w:t>high</w:t>
      </w:r>
      <w:r>
        <w:rPr>
          <w:spacing w:val="-3"/>
        </w:rPr>
        <w:t> </w:t>
      </w:r>
      <w:r>
        <w:rPr/>
        <w:t>within</w:t>
      </w:r>
      <w:r>
        <w:rPr>
          <w:spacing w:val="-3"/>
        </w:rPr>
        <w:t> </w:t>
      </w:r>
      <w:r>
        <w:rPr/>
        <w:t>the</w:t>
      </w:r>
      <w:r>
        <w:rPr>
          <w:spacing w:val="-3"/>
        </w:rPr>
        <w:t> </w:t>
      </w:r>
      <w:r>
        <w:rPr/>
        <w:t>uptrend</w:t>
      </w:r>
      <w:r>
        <w:rPr>
          <w:spacing w:val="-3"/>
        </w:rPr>
        <w:t> </w:t>
      </w:r>
      <w:r>
        <w:rPr/>
        <w:t>(higher highs), which usually means playing the trade to R1 or R2 resistance. Every pull-back to the pivot range became a high probability buying opportunity during this four-day stretch, which was clearly identified by the pivots.</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49" cy="3068954"/>
            <wp:effectExtent l="0" t="0" r="0" b="0"/>
            <wp:docPr id="131" name="image67.png"/>
            <wp:cNvGraphicFramePr>
              <a:graphicFrameLocks noChangeAspect="1"/>
            </wp:cNvGraphicFramePr>
            <a:graphic>
              <a:graphicData uri="http://schemas.openxmlformats.org/drawingml/2006/picture">
                <pic:pic>
                  <pic:nvPicPr>
                    <pic:cNvPr id="132" name="image67.png"/>
                    <pic:cNvPicPr/>
                  </pic:nvPicPr>
                  <pic:blipFill>
                    <a:blip r:embed="rId161" cstate="print"/>
                    <a:stretch>
                      <a:fillRect/>
                    </a:stretch>
                  </pic:blipFill>
                  <pic:spPr>
                    <a:xfrm>
                      <a:off x="0" y="0"/>
                      <a:ext cx="4304849" cy="3068954"/>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5.9:</w:t>
      </w:r>
      <w:r>
        <w:rPr>
          <w:spacing w:val="3"/>
          <w:sz w:val="16"/>
        </w:rPr>
        <w:t> </w:t>
      </w:r>
      <w:r>
        <w:rPr>
          <w:sz w:val="16"/>
        </w:rPr>
        <w:t>Every</w:t>
      </w:r>
      <w:r>
        <w:rPr>
          <w:spacing w:val="2"/>
          <w:sz w:val="16"/>
        </w:rPr>
        <w:t> </w:t>
      </w:r>
      <w:r>
        <w:rPr>
          <w:sz w:val="16"/>
        </w:rPr>
        <w:t>pull-back</w:t>
      </w:r>
      <w:r>
        <w:rPr>
          <w:spacing w:val="2"/>
          <w:sz w:val="16"/>
        </w:rPr>
        <w:t> </w:t>
      </w:r>
      <w:r>
        <w:rPr>
          <w:sz w:val="16"/>
        </w:rPr>
        <w:t>to</w:t>
      </w:r>
      <w:r>
        <w:rPr>
          <w:spacing w:val="1"/>
          <w:sz w:val="16"/>
        </w:rPr>
        <w:t> </w:t>
      </w:r>
      <w:r>
        <w:rPr>
          <w:sz w:val="16"/>
        </w:rPr>
        <w:t>the</w:t>
      </w:r>
      <w:r>
        <w:rPr>
          <w:spacing w:val="3"/>
          <w:sz w:val="16"/>
        </w:rPr>
        <w:t> </w:t>
      </w:r>
      <w:r>
        <w:rPr>
          <w:sz w:val="16"/>
        </w:rPr>
        <w:t>pivot</w:t>
      </w:r>
      <w:r>
        <w:rPr>
          <w:spacing w:val="2"/>
          <w:sz w:val="16"/>
        </w:rPr>
        <w:t> </w:t>
      </w:r>
      <w:r>
        <w:rPr>
          <w:sz w:val="16"/>
        </w:rPr>
        <w:t>range</w:t>
      </w:r>
      <w:r>
        <w:rPr>
          <w:spacing w:val="2"/>
          <w:sz w:val="16"/>
        </w:rPr>
        <w:t> </w:t>
      </w:r>
      <w:r>
        <w:rPr>
          <w:sz w:val="16"/>
        </w:rPr>
        <w:t>became</w:t>
      </w:r>
      <w:r>
        <w:rPr>
          <w:spacing w:val="1"/>
          <w:sz w:val="16"/>
        </w:rPr>
        <w:t> </w:t>
      </w:r>
      <w:r>
        <w:rPr>
          <w:sz w:val="16"/>
        </w:rPr>
        <w:t>a</w:t>
      </w:r>
      <w:r>
        <w:rPr>
          <w:spacing w:val="2"/>
          <w:sz w:val="16"/>
        </w:rPr>
        <w:t> </w:t>
      </w:r>
      <w:r>
        <w:rPr>
          <w:sz w:val="16"/>
        </w:rPr>
        <w:t>buying</w:t>
      </w:r>
      <w:r>
        <w:rPr>
          <w:spacing w:val="2"/>
          <w:sz w:val="16"/>
        </w:rPr>
        <w:t> </w:t>
      </w:r>
      <w:r>
        <w:rPr>
          <w:spacing w:val="-2"/>
          <w:sz w:val="16"/>
        </w:rPr>
        <w:t>opportunity.</w:t>
      </w:r>
    </w:p>
    <w:p>
      <w:pPr>
        <w:pStyle w:val="BodyText"/>
        <w:spacing w:before="1"/>
      </w:pPr>
    </w:p>
    <w:p>
      <w:pPr>
        <w:pStyle w:val="BodyText"/>
        <w:ind w:left="499" w:right="134" w:firstLine="432"/>
        <w:jc w:val="both"/>
      </w:pPr>
      <w:r>
        <w:rPr/>
        <w:t>Let’s take a look at an example of pivot trend analysis when the predominant trend is bearish. Figure 5.10 shows a fifteen-minute chart of Research In Motion during a four-day downtrend. During this decline, price remained firmly below the R1 pivot level, which means you should</w:t>
      </w:r>
      <w:r>
        <w:rPr>
          <w:spacing w:val="40"/>
        </w:rPr>
        <w:t> </w:t>
      </w:r>
      <w:r>
        <w:rPr/>
        <w:t>obviously be in “bear mode.” During this type of market,</w:t>
      </w:r>
      <w:r>
        <w:rPr/>
        <w:t> you will look to</w:t>
      </w:r>
      <w:r>
        <w:rPr>
          <w:spacing w:val="80"/>
        </w:rPr>
        <w:t> </w:t>
      </w:r>
      <w:r>
        <w:rPr/>
        <w:t>sell every pull-back to R1 or the central pivot range. Furthermore, every</w:t>
      </w:r>
      <w:r>
        <w:rPr>
          <w:spacing w:val="80"/>
        </w:rPr>
        <w:t> </w:t>
      </w:r>
      <w:r>
        <w:rPr/>
        <w:t>trade taken should have a target of reaching a new low within the trend at either S1 or S2 support. While the market clearly trended lower during this stretch of time, notice how emphatic the reversals were at highs. Each test at the central pivot range or at R1 resistance led to a significant wave of selling pressure, as responsive sellers clearly went to work at these levels.</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97" cy="3094672"/>
            <wp:effectExtent l="0" t="0" r="0" b="0"/>
            <wp:docPr id="133" name="image68.png"/>
            <wp:cNvGraphicFramePr>
              <a:graphicFrameLocks noChangeAspect="1"/>
            </wp:cNvGraphicFramePr>
            <a:graphic>
              <a:graphicData uri="http://schemas.openxmlformats.org/drawingml/2006/picture">
                <pic:pic>
                  <pic:nvPicPr>
                    <pic:cNvPr id="134" name="image68.png"/>
                    <pic:cNvPicPr/>
                  </pic:nvPicPr>
                  <pic:blipFill>
                    <a:blip r:embed="rId162" cstate="print"/>
                    <a:stretch>
                      <a:fillRect/>
                    </a:stretch>
                  </pic:blipFill>
                  <pic:spPr>
                    <a:xfrm>
                      <a:off x="0" y="0"/>
                      <a:ext cx="4304897" cy="3094672"/>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2"/>
          <w:sz w:val="16"/>
        </w:rPr>
        <w:t> </w:t>
      </w:r>
      <w:r>
        <w:rPr>
          <w:sz w:val="16"/>
        </w:rPr>
        <w:t>5.10:</w:t>
      </w:r>
      <w:r>
        <w:rPr>
          <w:spacing w:val="2"/>
          <w:sz w:val="16"/>
        </w:rPr>
        <w:t> </w:t>
      </w:r>
      <w:r>
        <w:rPr>
          <w:sz w:val="16"/>
        </w:rPr>
        <w:t>Selling</w:t>
      </w:r>
      <w:r>
        <w:rPr>
          <w:spacing w:val="2"/>
          <w:sz w:val="16"/>
        </w:rPr>
        <w:t> </w:t>
      </w:r>
      <w:r>
        <w:rPr>
          <w:sz w:val="16"/>
        </w:rPr>
        <w:t>at</w:t>
      </w:r>
      <w:r>
        <w:rPr>
          <w:spacing w:val="2"/>
          <w:sz w:val="16"/>
        </w:rPr>
        <w:t> </w:t>
      </w:r>
      <w:r>
        <w:rPr>
          <w:sz w:val="16"/>
        </w:rPr>
        <w:t>resistance</w:t>
      </w:r>
      <w:r>
        <w:rPr>
          <w:spacing w:val="2"/>
          <w:sz w:val="16"/>
        </w:rPr>
        <w:t> </w:t>
      </w:r>
      <w:r>
        <w:rPr>
          <w:sz w:val="16"/>
        </w:rPr>
        <w:t>in</w:t>
      </w:r>
      <w:r>
        <w:rPr>
          <w:spacing w:val="2"/>
          <w:sz w:val="16"/>
        </w:rPr>
        <w:t> </w:t>
      </w:r>
      <w:r>
        <w:rPr>
          <w:sz w:val="16"/>
        </w:rPr>
        <w:t>a</w:t>
      </w:r>
      <w:r>
        <w:rPr>
          <w:spacing w:val="2"/>
          <w:sz w:val="16"/>
        </w:rPr>
        <w:t> </w:t>
      </w:r>
      <w:r>
        <w:rPr>
          <w:sz w:val="16"/>
        </w:rPr>
        <w:t>bearish</w:t>
      </w:r>
      <w:r>
        <w:rPr>
          <w:spacing w:val="3"/>
          <w:sz w:val="16"/>
        </w:rPr>
        <w:t> </w:t>
      </w:r>
      <w:r>
        <w:rPr>
          <w:spacing w:val="-2"/>
          <w:sz w:val="16"/>
        </w:rPr>
        <w:t>trend</w:t>
      </w:r>
    </w:p>
    <w:p>
      <w:pPr>
        <w:pStyle w:val="BodyText"/>
        <w:spacing w:before="2"/>
      </w:pPr>
    </w:p>
    <w:p>
      <w:pPr>
        <w:pStyle w:val="BodyText"/>
        <w:ind w:left="140"/>
      </w:pPr>
      <w:r>
        <w:rPr/>
        <w:t>BOSS</w:t>
      </w:r>
      <w:r>
        <w:rPr>
          <w:spacing w:val="-5"/>
        </w:rPr>
        <w:t> </w:t>
      </w:r>
      <w:r>
        <w:rPr/>
        <w:t>IN</w:t>
      </w:r>
      <w:r>
        <w:rPr>
          <w:spacing w:val="-5"/>
        </w:rPr>
        <w:t> </w:t>
      </w:r>
      <w:r>
        <w:rPr>
          <w:spacing w:val="-2"/>
        </w:rPr>
        <w:t>ACTION</w:t>
      </w:r>
    </w:p>
    <w:p>
      <w:pPr>
        <w:pStyle w:val="BodyText"/>
        <w:spacing w:before="11"/>
        <w:rPr>
          <w:sz w:val="21"/>
        </w:rPr>
      </w:pPr>
    </w:p>
    <w:p>
      <w:pPr>
        <w:pStyle w:val="BodyText"/>
        <w:ind w:left="140" w:right="494" w:firstLine="432"/>
        <w:jc w:val="both"/>
      </w:pPr>
      <w:r>
        <w:rPr/>
        <w:t>The pivots offer one of the best and easiest ways to profit from well- defined trending markets. However, the market doesn’t always provide clearly established trends. In fact, it is estimated that the market only trends an average of 30 percent of the time, which means you must remain focused and demonstrate the proper discipline to wait for prime trending</w:t>
      </w:r>
      <w:r>
        <w:rPr>
          <w:spacing w:val="40"/>
        </w:rPr>
        <w:t> </w:t>
      </w:r>
      <w:r>
        <w:rPr>
          <w:spacing w:val="-2"/>
        </w:rPr>
        <w:t>opportunities.</w:t>
      </w:r>
    </w:p>
    <w:p>
      <w:pPr>
        <w:pStyle w:val="BodyText"/>
        <w:ind w:left="140" w:right="495" w:firstLine="432"/>
        <w:jc w:val="both"/>
      </w:pPr>
      <w:r>
        <w:rPr/>
        <w:t>One of my favorite trending setups occurs when the market finally breaks</w:t>
      </w:r>
      <w:r>
        <w:rPr>
          <w:spacing w:val="-2"/>
        </w:rPr>
        <w:t> </w:t>
      </w:r>
      <w:r>
        <w:rPr/>
        <w:t>a</w:t>
      </w:r>
      <w:r>
        <w:rPr>
          <w:spacing w:val="-2"/>
        </w:rPr>
        <w:t> </w:t>
      </w:r>
      <w:r>
        <w:rPr/>
        <w:t>dominate</w:t>
      </w:r>
      <w:r>
        <w:rPr>
          <w:spacing w:val="-2"/>
        </w:rPr>
        <w:t> </w:t>
      </w:r>
      <w:r>
        <w:rPr/>
        <w:t>trend</w:t>
      </w:r>
      <w:r>
        <w:rPr>
          <w:spacing w:val="-2"/>
        </w:rPr>
        <w:t> </w:t>
      </w:r>
      <w:r>
        <w:rPr/>
        <w:t>and</w:t>
      </w:r>
      <w:r>
        <w:rPr>
          <w:spacing w:val="-2"/>
        </w:rPr>
        <w:t> </w:t>
      </w:r>
      <w:r>
        <w:rPr/>
        <w:t>begins</w:t>
      </w:r>
      <w:r>
        <w:rPr>
          <w:spacing w:val="-2"/>
        </w:rPr>
        <w:t> </w:t>
      </w:r>
      <w:r>
        <w:rPr/>
        <w:t>to</w:t>
      </w:r>
      <w:r>
        <w:rPr>
          <w:spacing w:val="-2"/>
        </w:rPr>
        <w:t> </w:t>
      </w:r>
      <w:r>
        <w:rPr/>
        <w:t>move</w:t>
      </w:r>
      <w:r>
        <w:rPr>
          <w:spacing w:val="-2"/>
        </w:rPr>
        <w:t> </w:t>
      </w:r>
      <w:r>
        <w:rPr/>
        <w:t>in</w:t>
      </w:r>
      <w:r>
        <w:rPr>
          <w:spacing w:val="-2"/>
        </w:rPr>
        <w:t> </w:t>
      </w:r>
      <w:r>
        <w:rPr/>
        <w:t>the</w:t>
      </w:r>
      <w:r>
        <w:rPr>
          <w:spacing w:val="-2"/>
        </w:rPr>
        <w:t> </w:t>
      </w:r>
      <w:r>
        <w:rPr/>
        <w:t>opposite</w:t>
      </w:r>
      <w:r>
        <w:rPr>
          <w:spacing w:val="-2"/>
        </w:rPr>
        <w:t> </w:t>
      </w:r>
      <w:r>
        <w:rPr/>
        <w:t>direction.</w:t>
      </w:r>
      <w:r>
        <w:rPr>
          <w:spacing w:val="-2"/>
        </w:rPr>
        <w:t> </w:t>
      </w:r>
      <w:r>
        <w:rPr/>
        <w:t>It</w:t>
      </w:r>
      <w:r>
        <w:rPr>
          <w:spacing w:val="-2"/>
        </w:rPr>
        <w:t> </w:t>
      </w:r>
      <w:r>
        <w:rPr/>
        <w:t>takes a lot of conviction to break a trend and push prices in the other direction, which</w:t>
      </w:r>
      <w:r>
        <w:rPr>
          <w:spacing w:val="-1"/>
        </w:rPr>
        <w:t> </w:t>
      </w:r>
      <w:r>
        <w:rPr/>
        <w:t>means</w:t>
      </w:r>
      <w:r>
        <w:rPr>
          <w:spacing w:val="-1"/>
        </w:rPr>
        <w:t> </w:t>
      </w:r>
      <w:r>
        <w:rPr/>
        <w:t>if</w:t>
      </w:r>
      <w:r>
        <w:rPr>
          <w:spacing w:val="-2"/>
        </w:rPr>
        <w:t> </w:t>
      </w:r>
      <w:r>
        <w:rPr/>
        <w:t>you</w:t>
      </w:r>
      <w:r>
        <w:rPr>
          <w:spacing w:val="-1"/>
        </w:rPr>
        <w:t> </w:t>
      </w:r>
      <w:r>
        <w:rPr/>
        <w:t>are</w:t>
      </w:r>
      <w:r>
        <w:rPr>
          <w:spacing w:val="-1"/>
        </w:rPr>
        <w:t> </w:t>
      </w:r>
      <w:r>
        <w:rPr/>
        <w:t>able</w:t>
      </w:r>
      <w:r>
        <w:rPr>
          <w:spacing w:val="-1"/>
        </w:rPr>
        <w:t> </w:t>
      </w:r>
      <w:r>
        <w:rPr/>
        <w:t>to</w:t>
      </w:r>
      <w:r>
        <w:rPr>
          <w:spacing w:val="-1"/>
        </w:rPr>
        <w:t> </w:t>
      </w:r>
      <w:r>
        <w:rPr/>
        <w:t>identify</w:t>
      </w:r>
      <w:r>
        <w:rPr>
          <w:spacing w:val="-2"/>
        </w:rPr>
        <w:t> </w:t>
      </w:r>
      <w:r>
        <w:rPr/>
        <w:t>the</w:t>
      </w:r>
      <w:r>
        <w:rPr>
          <w:spacing w:val="-1"/>
        </w:rPr>
        <w:t> </w:t>
      </w:r>
      <w:r>
        <w:rPr/>
        <w:t>change</w:t>
      </w:r>
      <w:r>
        <w:rPr>
          <w:spacing w:val="-1"/>
        </w:rPr>
        <w:t> </w:t>
      </w:r>
      <w:r>
        <w:rPr/>
        <w:t>in</w:t>
      </w:r>
      <w:r>
        <w:rPr>
          <w:spacing w:val="-2"/>
        </w:rPr>
        <w:t> </w:t>
      </w:r>
      <w:r>
        <w:rPr/>
        <w:t>trend</w:t>
      </w:r>
      <w:r>
        <w:rPr>
          <w:spacing w:val="-1"/>
        </w:rPr>
        <w:t> </w:t>
      </w:r>
      <w:r>
        <w:rPr/>
        <w:t>early</w:t>
      </w:r>
      <w:r>
        <w:rPr>
          <w:spacing w:val="-2"/>
        </w:rPr>
        <w:t> </w:t>
      </w:r>
      <w:r>
        <w:rPr/>
        <w:t>enough,</w:t>
      </w:r>
      <w:r>
        <w:rPr>
          <w:spacing w:val="-2"/>
        </w:rPr>
        <w:t> </w:t>
      </w:r>
      <w:r>
        <w:rPr/>
        <w:t>you can profit from a very enthusiastic price move, which can last a day, or even weeks. For a case in point take a look at Figure 5.11, which shows a daily chart of Research In Motion, Ltd. This stock had been trending steadily</w:t>
      </w:r>
      <w:r>
        <w:rPr>
          <w:spacing w:val="80"/>
        </w:rPr>
        <w:t> </w:t>
      </w:r>
      <w:r>
        <w:rPr/>
        <w:t>lower for the better part of four weeks before a highly bullish day occurred</w:t>
      </w:r>
      <w:r>
        <w:rPr>
          <w:spacing w:val="40"/>
        </w:rPr>
        <w:t> </w:t>
      </w:r>
      <w:r>
        <w:rPr/>
        <w:t>on July 15, 2010. Price rallied over 6 percent during this session and pushed to new five-day highs, which indicated a potential change in trend. If price is to continue to push higher, a perfect “buy the dip” opportunity will likely be seen</w:t>
      </w:r>
      <w:r>
        <w:rPr>
          <w:spacing w:val="53"/>
        </w:rPr>
        <w:t> </w:t>
      </w:r>
      <w:r>
        <w:rPr/>
        <w:t>at</w:t>
      </w:r>
      <w:r>
        <w:rPr>
          <w:spacing w:val="53"/>
        </w:rPr>
        <w:t> </w:t>
      </w:r>
      <w:r>
        <w:rPr/>
        <w:t>S1</w:t>
      </w:r>
      <w:r>
        <w:rPr>
          <w:spacing w:val="53"/>
        </w:rPr>
        <w:t> </w:t>
      </w:r>
      <w:r>
        <w:rPr/>
        <w:t>support</w:t>
      </w:r>
      <w:r>
        <w:rPr>
          <w:spacing w:val="53"/>
        </w:rPr>
        <w:t> </w:t>
      </w:r>
      <w:r>
        <w:rPr/>
        <w:t>or</w:t>
      </w:r>
      <w:r>
        <w:rPr>
          <w:spacing w:val="53"/>
        </w:rPr>
        <w:t> </w:t>
      </w:r>
      <w:r>
        <w:rPr/>
        <w:t>the</w:t>
      </w:r>
      <w:r>
        <w:rPr>
          <w:spacing w:val="53"/>
        </w:rPr>
        <w:t> </w:t>
      </w:r>
      <w:r>
        <w:rPr/>
        <w:t>central</w:t>
      </w:r>
      <w:r>
        <w:rPr>
          <w:spacing w:val="53"/>
        </w:rPr>
        <w:t> </w:t>
      </w:r>
      <w:r>
        <w:rPr/>
        <w:t>pivot</w:t>
      </w:r>
      <w:r>
        <w:rPr>
          <w:spacing w:val="53"/>
        </w:rPr>
        <w:t> </w:t>
      </w:r>
      <w:r>
        <w:rPr/>
        <w:t>range,</w:t>
      </w:r>
      <w:r>
        <w:rPr>
          <w:spacing w:val="53"/>
        </w:rPr>
        <w:t> </w:t>
      </w:r>
      <w:r>
        <w:rPr/>
        <w:t>which</w:t>
      </w:r>
      <w:r>
        <w:rPr>
          <w:spacing w:val="53"/>
        </w:rPr>
        <w:t> </w:t>
      </w:r>
      <w:r>
        <w:rPr/>
        <w:t>you</w:t>
      </w:r>
      <w:r>
        <w:rPr>
          <w:spacing w:val="53"/>
        </w:rPr>
        <w:t> </w:t>
      </w:r>
      <w:r>
        <w:rPr/>
        <w:t>can</w:t>
      </w:r>
      <w:r>
        <w:rPr>
          <w:spacing w:val="53"/>
        </w:rPr>
        <w:t> </w:t>
      </w:r>
      <w:r>
        <w:rPr/>
        <w:t>then</w:t>
      </w:r>
      <w:r>
        <w:rPr>
          <w:spacing w:val="52"/>
        </w:rPr>
        <w:t> </w:t>
      </w:r>
      <w:r>
        <w:rPr>
          <w:spacing w:val="-4"/>
        </w:rPr>
        <w:t>ride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5"/>
        <w:jc w:val="both"/>
      </w:pPr>
      <w:r>
        <w:rPr/>
        <w:t>throughout</w:t>
      </w:r>
      <w:r>
        <w:rPr>
          <w:spacing w:val="-2"/>
        </w:rPr>
        <w:t> </w:t>
      </w:r>
      <w:r>
        <w:rPr/>
        <w:t>the</w:t>
      </w:r>
      <w:r>
        <w:rPr>
          <w:spacing w:val="-1"/>
        </w:rPr>
        <w:t> </w:t>
      </w:r>
      <w:r>
        <w:rPr/>
        <w:t>day,</w:t>
      </w:r>
      <w:r>
        <w:rPr>
          <w:spacing w:val="-1"/>
        </w:rPr>
        <w:t> </w:t>
      </w:r>
      <w:r>
        <w:rPr/>
        <w:t>or</w:t>
      </w:r>
      <w:r>
        <w:rPr>
          <w:spacing w:val="-2"/>
        </w:rPr>
        <w:t> </w:t>
      </w:r>
      <w:r>
        <w:rPr/>
        <w:t>as</w:t>
      </w:r>
      <w:r>
        <w:rPr>
          <w:spacing w:val="-1"/>
        </w:rPr>
        <w:t> </w:t>
      </w:r>
      <w:r>
        <w:rPr/>
        <w:t>long</w:t>
      </w:r>
      <w:r>
        <w:rPr>
          <w:spacing w:val="-1"/>
        </w:rPr>
        <w:t> </w:t>
      </w:r>
      <w:r>
        <w:rPr/>
        <w:t>as</w:t>
      </w:r>
      <w:r>
        <w:rPr>
          <w:spacing w:val="-1"/>
        </w:rPr>
        <w:t> </w:t>
      </w:r>
      <w:r>
        <w:rPr/>
        <w:t>the</w:t>
      </w:r>
      <w:r>
        <w:rPr>
          <w:spacing w:val="-1"/>
        </w:rPr>
        <w:t> </w:t>
      </w:r>
      <w:r>
        <w:rPr/>
        <w:t>trend</w:t>
      </w:r>
      <w:r>
        <w:rPr>
          <w:spacing w:val="-1"/>
        </w:rPr>
        <w:t> </w:t>
      </w:r>
      <w:r>
        <w:rPr/>
        <w:t>lasts.</w:t>
      </w:r>
      <w:r>
        <w:rPr>
          <w:spacing w:val="-1"/>
        </w:rPr>
        <w:t> </w:t>
      </w:r>
      <w:r>
        <w:rPr/>
        <w:t>The</w:t>
      </w:r>
      <w:r>
        <w:rPr>
          <w:spacing w:val="-2"/>
        </w:rPr>
        <w:t> </w:t>
      </w:r>
      <w:r>
        <w:rPr/>
        <w:t>key</w:t>
      </w:r>
      <w:r>
        <w:rPr>
          <w:spacing w:val="-2"/>
        </w:rPr>
        <w:t> </w:t>
      </w:r>
      <w:r>
        <w:rPr/>
        <w:t>is</w:t>
      </w:r>
      <w:r>
        <w:rPr>
          <w:spacing w:val="-1"/>
        </w:rPr>
        <w:t> </w:t>
      </w:r>
      <w:r>
        <w:rPr/>
        <w:t>to</w:t>
      </w:r>
      <w:r>
        <w:rPr>
          <w:spacing w:val="-2"/>
        </w:rPr>
        <w:t> </w:t>
      </w:r>
      <w:r>
        <w:rPr/>
        <w:t>be</w:t>
      </w:r>
      <w:r>
        <w:rPr>
          <w:spacing w:val="-1"/>
        </w:rPr>
        <w:t> </w:t>
      </w:r>
      <w:r>
        <w:rPr/>
        <w:t>ready</w:t>
      </w:r>
      <w:r>
        <w:rPr>
          <w:spacing w:val="-1"/>
        </w:rPr>
        <w:t> </w:t>
      </w:r>
      <w:r>
        <w:rPr/>
        <w:t>to</w:t>
      </w:r>
      <w:r>
        <w:rPr>
          <w:spacing w:val="-2"/>
        </w:rPr>
        <w:t> </w:t>
      </w:r>
      <w:r>
        <w:rPr/>
        <w:t>buy upon any pull-back to S1 or the pivot range, as these are the zones that will likely incite responsive buyers to enter the market.</w:t>
      </w:r>
    </w:p>
    <w:p>
      <w:pPr>
        <w:pStyle w:val="BodyText"/>
        <w:spacing w:before="1"/>
        <w:rPr>
          <w:sz w:val="20"/>
        </w:rPr>
      </w:pPr>
      <w:r>
        <w:rPr/>
        <w:drawing>
          <wp:anchor distT="0" distB="0" distL="0" distR="0" allowOverlap="1" layoutInCell="1" locked="0" behindDoc="0" simplePos="0" relativeHeight="153">
            <wp:simplePos x="0" y="0"/>
            <wp:positionH relativeFrom="page">
              <wp:posOffset>685800</wp:posOffset>
            </wp:positionH>
            <wp:positionV relativeFrom="paragraph">
              <wp:posOffset>162288</wp:posOffset>
            </wp:positionV>
            <wp:extent cx="4342904" cy="3103054"/>
            <wp:effectExtent l="0" t="0" r="0" b="0"/>
            <wp:wrapTopAndBottom/>
            <wp:docPr id="135" name="image69.png"/>
            <wp:cNvGraphicFramePr>
              <a:graphicFrameLocks noChangeAspect="1"/>
            </wp:cNvGraphicFramePr>
            <a:graphic>
              <a:graphicData uri="http://schemas.openxmlformats.org/drawingml/2006/picture">
                <pic:pic>
                  <pic:nvPicPr>
                    <pic:cNvPr id="136" name="image69.png"/>
                    <pic:cNvPicPr/>
                  </pic:nvPicPr>
                  <pic:blipFill>
                    <a:blip r:embed="rId167"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w:t>
      </w:r>
      <w:r>
        <w:rPr>
          <w:spacing w:val="1"/>
          <w:sz w:val="16"/>
        </w:rPr>
        <w:t> </w:t>
      </w:r>
      <w:r>
        <w:rPr>
          <w:sz w:val="16"/>
        </w:rPr>
        <w:t>5.11:</w:t>
      </w:r>
      <w:r>
        <w:rPr>
          <w:spacing w:val="1"/>
          <w:sz w:val="16"/>
        </w:rPr>
        <w:t> </w:t>
      </w:r>
      <w:r>
        <w:rPr>
          <w:sz w:val="16"/>
        </w:rPr>
        <w:t>RIMM</w:t>
      </w:r>
      <w:r>
        <w:rPr>
          <w:spacing w:val="1"/>
          <w:sz w:val="16"/>
        </w:rPr>
        <w:t> </w:t>
      </w:r>
      <w:r>
        <w:rPr>
          <w:sz w:val="16"/>
        </w:rPr>
        <w:t>begins</w:t>
      </w:r>
      <w:r>
        <w:rPr>
          <w:spacing w:val="1"/>
          <w:sz w:val="16"/>
        </w:rPr>
        <w:t> </w:t>
      </w:r>
      <w:r>
        <w:rPr>
          <w:sz w:val="16"/>
        </w:rPr>
        <w:t>to</w:t>
      </w:r>
      <w:r>
        <w:rPr>
          <w:spacing w:val="1"/>
          <w:sz w:val="16"/>
        </w:rPr>
        <w:t> </w:t>
      </w:r>
      <w:r>
        <w:rPr>
          <w:sz w:val="16"/>
        </w:rPr>
        <w:t>break</w:t>
      </w:r>
      <w:r>
        <w:rPr>
          <w:spacing w:val="1"/>
          <w:sz w:val="16"/>
        </w:rPr>
        <w:t> </w:t>
      </w:r>
      <w:r>
        <w:rPr>
          <w:sz w:val="16"/>
        </w:rPr>
        <w:t>a</w:t>
      </w:r>
      <w:r>
        <w:rPr>
          <w:spacing w:val="1"/>
          <w:sz w:val="16"/>
        </w:rPr>
        <w:t> </w:t>
      </w:r>
      <w:r>
        <w:rPr>
          <w:sz w:val="16"/>
        </w:rPr>
        <w:t>dominant</w:t>
      </w:r>
      <w:r>
        <w:rPr>
          <w:spacing w:val="1"/>
          <w:sz w:val="16"/>
        </w:rPr>
        <w:t> </w:t>
      </w:r>
      <w:r>
        <w:rPr>
          <w:sz w:val="16"/>
        </w:rPr>
        <w:t>trend</w:t>
      </w:r>
      <w:r>
        <w:rPr>
          <w:spacing w:val="1"/>
          <w:sz w:val="16"/>
        </w:rPr>
        <w:t> </w:t>
      </w:r>
      <w:r>
        <w:rPr>
          <w:sz w:val="16"/>
        </w:rPr>
        <w:t>with</w:t>
      </w:r>
      <w:r>
        <w:rPr>
          <w:spacing w:val="2"/>
          <w:sz w:val="16"/>
        </w:rPr>
        <w:t> </w:t>
      </w:r>
      <w:r>
        <w:rPr>
          <w:sz w:val="16"/>
        </w:rPr>
        <w:t>a</w:t>
      </w:r>
      <w:r>
        <w:rPr>
          <w:spacing w:val="1"/>
          <w:sz w:val="16"/>
        </w:rPr>
        <w:t> </w:t>
      </w:r>
      <w:r>
        <w:rPr>
          <w:sz w:val="16"/>
        </w:rPr>
        <w:t>big</w:t>
      </w:r>
      <w:r>
        <w:rPr>
          <w:spacing w:val="1"/>
          <w:sz w:val="16"/>
        </w:rPr>
        <w:t> </w:t>
      </w:r>
      <w:r>
        <w:rPr>
          <w:sz w:val="16"/>
        </w:rPr>
        <w:t>one-day</w:t>
      </w:r>
      <w:r>
        <w:rPr>
          <w:spacing w:val="1"/>
          <w:sz w:val="16"/>
        </w:rPr>
        <w:t> </w:t>
      </w:r>
      <w:r>
        <w:rPr>
          <w:spacing w:val="-2"/>
          <w:sz w:val="16"/>
        </w:rPr>
        <w:t>rally</w:t>
      </w:r>
    </w:p>
    <w:p>
      <w:pPr>
        <w:pStyle w:val="BodyText"/>
        <w:spacing w:before="9"/>
        <w:rPr>
          <w:sz w:val="21"/>
        </w:rPr>
      </w:pPr>
    </w:p>
    <w:p>
      <w:pPr>
        <w:pStyle w:val="BodyText"/>
        <w:ind w:left="500" w:right="136" w:firstLine="432"/>
        <w:jc w:val="both"/>
      </w:pPr>
      <w:r>
        <w:rPr/>
        <w:t>Let’s take a look at how the following day turned out in Figure 5.12, which now shows a five-minute chart of RIMM. After a highly bullish rally in the prior session, price pulled back early the following morning. As long</w:t>
      </w:r>
      <w:r>
        <w:rPr>
          <w:spacing w:val="40"/>
        </w:rPr>
        <w:t> </w:t>
      </w:r>
      <w:r>
        <w:rPr/>
        <w:t>as price opens above S1 support, but below R1 resistance, you will look to buy</w:t>
      </w:r>
      <w:r>
        <w:rPr>
          <w:spacing w:val="-3"/>
        </w:rPr>
        <w:t> </w:t>
      </w:r>
      <w:r>
        <w:rPr/>
        <w:t>any</w:t>
      </w:r>
      <w:r>
        <w:rPr>
          <w:spacing w:val="-4"/>
        </w:rPr>
        <w:t> </w:t>
      </w:r>
      <w:r>
        <w:rPr/>
        <w:t>pull-back</w:t>
      </w:r>
      <w:r>
        <w:rPr>
          <w:spacing w:val="-2"/>
        </w:rPr>
        <w:t> </w:t>
      </w:r>
      <w:r>
        <w:rPr/>
        <w:t>to</w:t>
      </w:r>
      <w:r>
        <w:rPr>
          <w:spacing w:val="-2"/>
        </w:rPr>
        <w:t> </w:t>
      </w:r>
      <w:r>
        <w:rPr/>
        <w:t>S1</w:t>
      </w:r>
      <w:r>
        <w:rPr>
          <w:spacing w:val="-2"/>
        </w:rPr>
        <w:t> </w:t>
      </w:r>
      <w:r>
        <w:rPr/>
        <w:t>or</w:t>
      </w:r>
      <w:r>
        <w:rPr>
          <w:spacing w:val="-4"/>
        </w:rPr>
        <w:t> </w:t>
      </w:r>
      <w:r>
        <w:rPr/>
        <w:t>the</w:t>
      </w:r>
      <w:r>
        <w:rPr>
          <w:spacing w:val="-2"/>
        </w:rPr>
        <w:t> </w:t>
      </w:r>
      <w:r>
        <w:rPr/>
        <w:t>pivot</w:t>
      </w:r>
      <w:r>
        <w:rPr>
          <w:spacing w:val="-2"/>
        </w:rPr>
        <w:t> </w:t>
      </w:r>
      <w:r>
        <w:rPr/>
        <w:t>range.</w:t>
      </w:r>
      <w:r>
        <w:rPr>
          <w:spacing w:val="-2"/>
        </w:rPr>
        <w:t> </w:t>
      </w:r>
      <w:r>
        <w:rPr/>
        <w:t>In</w:t>
      </w:r>
      <w:r>
        <w:rPr>
          <w:spacing w:val="-3"/>
        </w:rPr>
        <w:t> </w:t>
      </w:r>
      <w:r>
        <w:rPr/>
        <w:t>this</w:t>
      </w:r>
      <w:r>
        <w:rPr>
          <w:spacing w:val="-2"/>
        </w:rPr>
        <w:t> </w:t>
      </w:r>
      <w:r>
        <w:rPr/>
        <w:t>case,</w:t>
      </w:r>
      <w:r>
        <w:rPr>
          <w:spacing w:val="-3"/>
        </w:rPr>
        <w:t> </w:t>
      </w:r>
      <w:r>
        <w:rPr/>
        <w:t>price</w:t>
      </w:r>
      <w:r>
        <w:rPr>
          <w:spacing w:val="-2"/>
        </w:rPr>
        <w:t> </w:t>
      </w:r>
      <w:r>
        <w:rPr/>
        <w:t>dropped</w:t>
      </w:r>
      <w:r>
        <w:rPr>
          <w:spacing w:val="-2"/>
        </w:rPr>
        <w:t> </w:t>
      </w:r>
      <w:r>
        <w:rPr/>
        <w:t>right</w:t>
      </w:r>
      <w:r>
        <w:rPr>
          <w:spacing w:val="-3"/>
        </w:rPr>
        <w:t> </w:t>
      </w:r>
      <w:r>
        <w:rPr/>
        <w:t>to the central pivot range and began to find initial signs of strength, as responsive buyers began to enter the market. After the first fifteen minutes passed, a bullish wick reversal candlestick pattern formed, which triggered my entry at $69.55. With my fixed loss stop set to a new low, I looked for price to rally to R1 resistance. While R2 can also be a target during this type of trade, the prior day’s price range was extremely large, which caused the pivots to be wide-set on this particular day. When this occurs, you will usually look to trade to the closest pivot.</w:t>
      </w:r>
    </w:p>
    <w:p>
      <w:pPr>
        <w:pStyle w:val="BodyText"/>
        <w:ind w:left="500" w:right="135" w:firstLine="432"/>
        <w:jc w:val="both"/>
      </w:pPr>
      <w:r>
        <w:rPr/>
        <w:t>Price stalled for a bit, but eventually formed a higher low and a bullish extreme reversal setup, thereby confirming my trade entry. Eventually, price pushed</w:t>
      </w:r>
      <w:r>
        <w:rPr>
          <w:spacing w:val="20"/>
        </w:rPr>
        <w:t> </w:t>
      </w:r>
      <w:r>
        <w:rPr/>
        <w:t>higher</w:t>
      </w:r>
      <w:r>
        <w:rPr>
          <w:spacing w:val="21"/>
        </w:rPr>
        <w:t> </w:t>
      </w:r>
      <w:r>
        <w:rPr/>
        <w:t>and</w:t>
      </w:r>
      <w:r>
        <w:rPr>
          <w:spacing w:val="20"/>
        </w:rPr>
        <w:t> </w:t>
      </w:r>
      <w:r>
        <w:rPr/>
        <w:t>ultimately</w:t>
      </w:r>
      <w:r>
        <w:rPr>
          <w:spacing w:val="21"/>
        </w:rPr>
        <w:t> </w:t>
      </w:r>
      <w:r>
        <w:rPr/>
        <w:t>reached</w:t>
      </w:r>
      <w:r>
        <w:rPr>
          <w:spacing w:val="19"/>
        </w:rPr>
        <w:t> </w:t>
      </w:r>
      <w:r>
        <w:rPr/>
        <w:t>R1</w:t>
      </w:r>
      <w:r>
        <w:rPr>
          <w:spacing w:val="21"/>
        </w:rPr>
        <w:t> </w:t>
      </w:r>
      <w:r>
        <w:rPr/>
        <w:t>resistance,</w:t>
      </w:r>
      <w:r>
        <w:rPr>
          <w:spacing w:val="20"/>
        </w:rPr>
        <w:t> </w:t>
      </w:r>
      <w:r>
        <w:rPr/>
        <w:t>where</w:t>
      </w:r>
      <w:r>
        <w:rPr>
          <w:spacing w:val="21"/>
        </w:rPr>
        <w:t> </w:t>
      </w:r>
      <w:r>
        <w:rPr/>
        <w:t>my</w:t>
      </w:r>
      <w:r>
        <w:rPr>
          <w:spacing w:val="20"/>
        </w:rPr>
        <w:t> </w:t>
      </w:r>
      <w:r>
        <w:rPr/>
        <w:t>fixed</w:t>
      </w:r>
      <w:r>
        <w:rPr>
          <w:spacing w:val="21"/>
        </w:rPr>
        <w:t> </w:t>
      </w:r>
      <w:r>
        <w:rPr>
          <w:spacing w:val="-2"/>
        </w:rPr>
        <w:t>profit</w:t>
      </w:r>
    </w:p>
    <w:p>
      <w:pPr>
        <w:pStyle w:val="BodyText"/>
        <w:ind w:left="470"/>
        <w:jc w:val="both"/>
      </w:pPr>
      <w:r>
        <w:rPr>
          <w:spacing w:val="-26"/>
          <w:u w:val="single"/>
        </w:rPr>
        <w:t> </w:t>
      </w:r>
      <w:r>
        <w:rPr>
          <w:u w:val="single"/>
        </w:rPr>
        <w:t>stop</w:t>
      </w:r>
      <w:r>
        <w:rPr>
          <w:spacing w:val="26"/>
          <w:u w:val="single"/>
        </w:rPr>
        <w:t> </w:t>
      </w:r>
      <w:r>
        <w:rPr>
          <w:u w:val="single"/>
        </w:rPr>
        <w:t>automatically</w:t>
      </w:r>
      <w:r>
        <w:rPr>
          <w:spacing w:val="28"/>
          <w:u w:val="single"/>
        </w:rPr>
        <w:t> </w:t>
      </w:r>
      <w:r>
        <w:rPr>
          <w:u w:val="single"/>
        </w:rPr>
        <w:t>liquidated</w:t>
      </w:r>
      <w:r>
        <w:rPr>
          <w:spacing w:val="30"/>
          <w:u w:val="single"/>
        </w:rPr>
        <w:t> </w:t>
      </w:r>
      <w:r>
        <w:rPr>
          <w:u w:val="single"/>
        </w:rPr>
        <w:t>my</w:t>
      </w:r>
      <w:r>
        <w:rPr>
          <w:spacing w:val="28"/>
          <w:u w:val="single"/>
        </w:rPr>
        <w:t> </w:t>
      </w:r>
      <w:r>
        <w:rPr>
          <w:u w:val="single"/>
        </w:rPr>
        <w:t>trade</w:t>
      </w:r>
      <w:r>
        <w:rPr>
          <w:spacing w:val="29"/>
          <w:u w:val="single"/>
        </w:rPr>
        <w:t> </w:t>
      </w:r>
      <w:r>
        <w:rPr>
          <w:u w:val="single"/>
        </w:rPr>
        <w:t>for</w:t>
      </w:r>
      <w:r>
        <w:rPr>
          <w:spacing w:val="28"/>
          <w:u w:val="single"/>
        </w:rPr>
        <w:t> </w:t>
      </w:r>
      <w:r>
        <w:rPr>
          <w:u w:val="single"/>
        </w:rPr>
        <w:t>a</w:t>
      </w:r>
      <w:r>
        <w:rPr>
          <w:spacing w:val="28"/>
          <w:u w:val="single"/>
        </w:rPr>
        <w:t> </w:t>
      </w:r>
      <w:r>
        <w:rPr>
          <w:u w:val="single"/>
        </w:rPr>
        <w:t>nice</w:t>
      </w:r>
      <w:r>
        <w:rPr>
          <w:spacing w:val="29"/>
          <w:u w:val="single"/>
        </w:rPr>
        <w:t> </w:t>
      </w:r>
      <w:r>
        <w:rPr>
          <w:u w:val="single"/>
        </w:rPr>
        <w:t>gain</w:t>
      </w:r>
      <w:r>
        <w:rPr>
          <w:spacing w:val="28"/>
          <w:u w:val="single"/>
        </w:rPr>
        <w:t> </w:t>
      </w:r>
      <w:r>
        <w:rPr>
          <w:u w:val="single"/>
        </w:rPr>
        <w:t>of</w:t>
      </w:r>
      <w:r>
        <w:rPr>
          <w:spacing w:val="28"/>
          <w:u w:val="single"/>
        </w:rPr>
        <w:t> </w:t>
      </w:r>
      <w:r>
        <w:rPr>
          <w:u w:val="single"/>
        </w:rPr>
        <w:t>1.45</w:t>
      </w:r>
      <w:r>
        <w:rPr>
          <w:spacing w:val="28"/>
          <w:u w:val="single"/>
        </w:rPr>
        <w:t> </w:t>
      </w:r>
      <w:r>
        <w:rPr>
          <w:u w:val="single"/>
        </w:rPr>
        <w:t>points—</w:t>
      </w:r>
      <w:r>
        <w:rPr>
          <w:spacing w:val="-5"/>
          <w:u w:val="single"/>
        </w:rPr>
        <w:t>not</w:t>
      </w:r>
    </w:p>
    <w:p>
      <w:pPr>
        <w:spacing w:after="0"/>
        <w:jc w:val="both"/>
        <w:sectPr>
          <w:headerReference w:type="default" r:id="rId163"/>
          <w:headerReference w:type="even" r:id="rId164"/>
          <w:footerReference w:type="default" r:id="rId165"/>
          <w:footerReference w:type="even" r:id="rId166"/>
          <w:pgSz w:w="8640" w:h="12960"/>
          <w:pgMar w:header="536" w:footer="985" w:top="720" w:bottom="1180" w:left="580" w:right="580"/>
          <w:pgNumType w:start="129"/>
        </w:sectPr>
      </w:pPr>
    </w:p>
    <w:p>
      <w:pPr>
        <w:pStyle w:val="BodyText"/>
        <w:spacing w:before="5"/>
        <w:rPr>
          <w:sz w:val="18"/>
        </w:rPr>
      </w:pPr>
    </w:p>
    <w:p>
      <w:pPr>
        <w:pStyle w:val="BodyText"/>
        <w:spacing w:before="64"/>
        <w:ind w:left="140" w:right="519"/>
      </w:pPr>
      <w:r>
        <w:rPr/>
        <w:t>bad for a lazy summer day. As it turns out, price proceeded to trend higher</w:t>
      </w:r>
      <w:r>
        <w:rPr>
          <w:spacing w:val="40"/>
        </w:rPr>
        <w:t> </w:t>
      </w:r>
      <w:r>
        <w:rPr/>
        <w:t>over the next two weeks and eventually reached the $80 price level.</w:t>
      </w:r>
    </w:p>
    <w:p>
      <w:pPr>
        <w:pStyle w:val="BodyText"/>
        <w:spacing w:before="2"/>
        <w:rPr>
          <w:sz w:val="20"/>
        </w:rPr>
      </w:pPr>
      <w:r>
        <w:rPr/>
        <w:drawing>
          <wp:anchor distT="0" distB="0" distL="0" distR="0" allowOverlap="1" layoutInCell="1" locked="0" behindDoc="0" simplePos="0" relativeHeight="154">
            <wp:simplePos x="0" y="0"/>
            <wp:positionH relativeFrom="page">
              <wp:posOffset>457200</wp:posOffset>
            </wp:positionH>
            <wp:positionV relativeFrom="paragraph">
              <wp:posOffset>162958</wp:posOffset>
            </wp:positionV>
            <wp:extent cx="4343034" cy="3129057"/>
            <wp:effectExtent l="0" t="0" r="0" b="0"/>
            <wp:wrapTopAndBottom/>
            <wp:docPr id="137" name="image70.png"/>
            <wp:cNvGraphicFramePr>
              <a:graphicFrameLocks noChangeAspect="1"/>
            </wp:cNvGraphicFramePr>
            <a:graphic>
              <a:graphicData uri="http://schemas.openxmlformats.org/drawingml/2006/picture">
                <pic:pic>
                  <pic:nvPicPr>
                    <pic:cNvPr id="138" name="image70.png"/>
                    <pic:cNvPicPr/>
                  </pic:nvPicPr>
                  <pic:blipFill>
                    <a:blip r:embed="rId168" cstate="print"/>
                    <a:stretch>
                      <a:fillRect/>
                    </a:stretch>
                  </pic:blipFill>
                  <pic:spPr>
                    <a:xfrm>
                      <a:off x="0" y="0"/>
                      <a:ext cx="4343034" cy="3129057"/>
                    </a:xfrm>
                    <a:prstGeom prst="rect">
                      <a:avLst/>
                    </a:prstGeom>
                  </pic:spPr>
                </pic:pic>
              </a:graphicData>
            </a:graphic>
          </wp:anchor>
        </w:drawing>
      </w:r>
    </w:p>
    <w:p>
      <w:pPr>
        <w:spacing w:before="0"/>
        <w:ind w:left="140" w:right="0" w:firstLine="0"/>
        <w:jc w:val="left"/>
        <w:rPr>
          <w:sz w:val="16"/>
        </w:rPr>
      </w:pPr>
      <w:r>
        <w:rPr>
          <w:sz w:val="16"/>
        </w:rPr>
        <w:t>FIGURE</w:t>
      </w:r>
      <w:r>
        <w:rPr>
          <w:spacing w:val="2"/>
          <w:sz w:val="16"/>
        </w:rPr>
        <w:t> </w:t>
      </w:r>
      <w:r>
        <w:rPr>
          <w:sz w:val="16"/>
        </w:rPr>
        <w:t>5.12:</w:t>
      </w:r>
      <w:r>
        <w:rPr>
          <w:spacing w:val="3"/>
          <w:sz w:val="16"/>
        </w:rPr>
        <w:t> </w:t>
      </w:r>
      <w:r>
        <w:rPr>
          <w:sz w:val="16"/>
        </w:rPr>
        <w:t>Buying</w:t>
      </w:r>
      <w:r>
        <w:rPr>
          <w:spacing w:val="2"/>
          <w:sz w:val="16"/>
        </w:rPr>
        <w:t> </w:t>
      </w:r>
      <w:r>
        <w:rPr>
          <w:sz w:val="16"/>
        </w:rPr>
        <w:t>the</w:t>
      </w:r>
      <w:r>
        <w:rPr>
          <w:spacing w:val="2"/>
          <w:sz w:val="16"/>
        </w:rPr>
        <w:t> </w:t>
      </w:r>
      <w:r>
        <w:rPr>
          <w:sz w:val="16"/>
        </w:rPr>
        <w:t>dip</w:t>
      </w:r>
      <w:r>
        <w:rPr>
          <w:spacing w:val="3"/>
          <w:sz w:val="16"/>
        </w:rPr>
        <w:t> </w:t>
      </w:r>
      <w:r>
        <w:rPr>
          <w:sz w:val="16"/>
        </w:rPr>
        <w:t>in</w:t>
      </w:r>
      <w:r>
        <w:rPr>
          <w:spacing w:val="2"/>
          <w:sz w:val="16"/>
        </w:rPr>
        <w:t> </w:t>
      </w:r>
      <w:r>
        <w:rPr>
          <w:sz w:val="16"/>
        </w:rPr>
        <w:t>RIMM</w:t>
      </w:r>
      <w:r>
        <w:rPr>
          <w:spacing w:val="3"/>
          <w:sz w:val="16"/>
        </w:rPr>
        <w:t> </w:t>
      </w:r>
      <w:r>
        <w:rPr>
          <w:sz w:val="16"/>
        </w:rPr>
        <w:t>the</w:t>
      </w:r>
      <w:r>
        <w:rPr>
          <w:spacing w:val="3"/>
          <w:sz w:val="16"/>
        </w:rPr>
        <w:t> </w:t>
      </w:r>
      <w:r>
        <w:rPr>
          <w:sz w:val="16"/>
        </w:rPr>
        <w:t>next</w:t>
      </w:r>
      <w:r>
        <w:rPr>
          <w:spacing w:val="4"/>
          <w:sz w:val="16"/>
        </w:rPr>
        <w:t> </w:t>
      </w:r>
      <w:r>
        <w:rPr>
          <w:spacing w:val="-2"/>
          <w:sz w:val="16"/>
        </w:rPr>
        <w:t>morning</w:t>
      </w:r>
    </w:p>
    <w:p>
      <w:pPr>
        <w:pStyle w:val="BodyText"/>
        <w:spacing w:before="8"/>
        <w:rPr>
          <w:sz w:val="21"/>
        </w:rPr>
      </w:pPr>
    </w:p>
    <w:p>
      <w:pPr>
        <w:pStyle w:val="BodyText"/>
        <w:ind w:left="140" w:right="495" w:firstLine="432"/>
        <w:jc w:val="both"/>
      </w:pPr>
      <w:r>
        <w:rPr/>
        <w:t>Trending markets have an interesting dynamic with the pivots. As you have already seen, the market will remain strictly above S1 in a bullish trend and below R1 in a bearish trend. This will last as long as the market adheres to this paradigm. However, once a severe breach occurs through the first</w:t>
      </w:r>
      <w:r>
        <w:rPr>
          <w:spacing w:val="40"/>
        </w:rPr>
        <w:t> </w:t>
      </w:r>
      <w:r>
        <w:rPr/>
        <w:t>layer of the pivots, you typically see a shift of the trend toward the opposite extreme. That is, a bullish trend becomes a bearish trend, and a bearish trend becomes a bullish trend.</w:t>
      </w:r>
    </w:p>
    <w:p>
      <w:pPr>
        <w:pStyle w:val="BodyText"/>
        <w:ind w:left="140" w:right="496" w:firstLine="432"/>
        <w:jc w:val="both"/>
      </w:pPr>
      <w:r>
        <w:rPr/>
        <w:t>This type of analysis is extremely powerful for all types of traders, including intraday, swing, and position traders. It allows you to focus your attention on two key buying or selling zones, S1 and the central pivot range</w:t>
      </w:r>
      <w:r>
        <w:rPr>
          <w:spacing w:val="40"/>
        </w:rPr>
        <w:t> </w:t>
      </w:r>
      <w:r>
        <w:rPr/>
        <w:t>in an uptrend, and R1 and the central pivot range in a downtrend. By limiting your focus to these levels, you are eliminating the noise and expanding your attention to detail to the trend at hand. As a day trader, you know that when price reaches either the central pivot range or S1 whilst in an uptrend, you will be looking for signs to buy. Conversely, you will be looking for signs to sell at R1 or the central pivot range when the market is trending downward. This</w:t>
      </w:r>
      <w:r>
        <w:rPr>
          <w:spacing w:val="3"/>
        </w:rPr>
        <w:t> </w:t>
      </w:r>
      <w:r>
        <w:rPr/>
        <w:t>cannot</w:t>
      </w:r>
      <w:r>
        <w:rPr>
          <w:spacing w:val="4"/>
        </w:rPr>
        <w:t> </w:t>
      </w:r>
      <w:r>
        <w:rPr/>
        <w:t>be</w:t>
      </w:r>
      <w:r>
        <w:rPr>
          <w:spacing w:val="4"/>
        </w:rPr>
        <w:t> </w:t>
      </w:r>
      <w:r>
        <w:rPr/>
        <w:t>overstated,</w:t>
      </w:r>
      <w:r>
        <w:rPr>
          <w:spacing w:val="5"/>
        </w:rPr>
        <w:t> </w:t>
      </w:r>
      <w:r>
        <w:rPr/>
        <w:t>as</w:t>
      </w:r>
      <w:r>
        <w:rPr>
          <w:spacing w:val="5"/>
        </w:rPr>
        <w:t> </w:t>
      </w:r>
      <w:r>
        <w:rPr/>
        <w:t>most</w:t>
      </w:r>
      <w:r>
        <w:rPr>
          <w:spacing w:val="4"/>
        </w:rPr>
        <w:t> </w:t>
      </w:r>
      <w:r>
        <w:rPr/>
        <w:t>traders,</w:t>
      </w:r>
      <w:r>
        <w:rPr>
          <w:spacing w:val="4"/>
        </w:rPr>
        <w:t> </w:t>
      </w:r>
      <w:r>
        <w:rPr/>
        <w:t>even</w:t>
      </w:r>
      <w:r>
        <w:rPr>
          <w:spacing w:val="4"/>
        </w:rPr>
        <w:t> </w:t>
      </w:r>
      <w:r>
        <w:rPr/>
        <w:t>seasoned</w:t>
      </w:r>
      <w:r>
        <w:rPr>
          <w:spacing w:val="4"/>
        </w:rPr>
        <w:t> </w:t>
      </w:r>
      <w:r>
        <w:rPr/>
        <w:t>pivot</w:t>
      </w:r>
      <w:r>
        <w:rPr>
          <w:spacing w:val="3"/>
        </w:rPr>
        <w:t> </w:t>
      </w:r>
      <w:r>
        <w:rPr/>
        <w:t>traders,</w:t>
      </w:r>
      <w:r>
        <w:rPr>
          <w:spacing w:val="4"/>
        </w:rPr>
        <w:t> </w:t>
      </w:r>
      <w:r>
        <w:rPr>
          <w:spacing w:val="-4"/>
        </w:rPr>
        <w:t>have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5"/>
        <w:jc w:val="both"/>
      </w:pPr>
      <w:r>
        <w:rPr/>
        <w:t>not</w:t>
      </w:r>
      <w:r>
        <w:rPr>
          <w:spacing w:val="-2"/>
        </w:rPr>
        <w:t> </w:t>
      </w:r>
      <w:r>
        <w:rPr/>
        <w:t>yet</w:t>
      </w:r>
      <w:r>
        <w:rPr>
          <w:spacing w:val="-1"/>
        </w:rPr>
        <w:t> </w:t>
      </w:r>
      <w:r>
        <w:rPr/>
        <w:t>made this</w:t>
      </w:r>
      <w:r>
        <w:rPr>
          <w:spacing w:val="-1"/>
        </w:rPr>
        <w:t> </w:t>
      </w:r>
      <w:r>
        <w:rPr/>
        <w:t>fascinating</w:t>
      </w:r>
      <w:r>
        <w:rPr>
          <w:spacing w:val="-1"/>
        </w:rPr>
        <w:t> </w:t>
      </w:r>
      <w:r>
        <w:rPr/>
        <w:t>correlation.</w:t>
      </w:r>
      <w:r>
        <w:rPr>
          <w:spacing w:val="-1"/>
        </w:rPr>
        <w:t> </w:t>
      </w:r>
      <w:r>
        <w:rPr/>
        <w:t>Instead,</w:t>
      </w:r>
      <w:r>
        <w:rPr>
          <w:spacing w:val="-1"/>
        </w:rPr>
        <w:t> </w:t>
      </w:r>
      <w:r>
        <w:rPr/>
        <w:t>most</w:t>
      </w:r>
      <w:r>
        <w:rPr>
          <w:spacing w:val="-1"/>
        </w:rPr>
        <w:t> </w:t>
      </w:r>
      <w:r>
        <w:rPr/>
        <w:t>traders</w:t>
      </w:r>
      <w:r>
        <w:rPr>
          <w:spacing w:val="-1"/>
        </w:rPr>
        <w:t> </w:t>
      </w:r>
      <w:r>
        <w:rPr/>
        <w:t>will</w:t>
      </w:r>
      <w:r>
        <w:rPr>
          <w:spacing w:val="-1"/>
        </w:rPr>
        <w:t> </w:t>
      </w:r>
      <w:r>
        <w:rPr/>
        <w:t>hesitate</w:t>
      </w:r>
      <w:r>
        <w:rPr>
          <w:spacing w:val="-1"/>
        </w:rPr>
        <w:t> </w:t>
      </w:r>
      <w:r>
        <w:rPr/>
        <w:t>at S1 because they can’t decide whether the market is going to break through this level or bounce off it. Buy at support; sell at resistance.</w:t>
      </w:r>
    </w:p>
    <w:p>
      <w:pPr>
        <w:pStyle w:val="BodyText"/>
        <w:spacing w:before="10"/>
        <w:rPr>
          <w:sz w:val="21"/>
        </w:rPr>
      </w:pPr>
    </w:p>
    <w:p>
      <w:pPr>
        <w:pStyle w:val="Heading3"/>
        <w:ind w:left="500"/>
        <w:jc w:val="both"/>
      </w:pPr>
      <w:r>
        <w:rPr/>
        <w:pict>
          <v:shape style="position:absolute;margin-left:54.419998pt;margin-top:17.030289pt;width:340.95pt;height:.1pt;mso-position-horizontal-relative:page;mso-position-vertical-relative:paragraph;z-index:-15649280;mso-wrap-distance-left:0;mso-wrap-distance-right:0" id="docshape481" coordorigin="1088,341" coordsize="6819,0" path="m1088,341l7907,341e" filled="false" stroked="true" strokeweight=".75pt" strokecolor="#000000">
            <v:path arrowok="t"/>
            <v:stroke dashstyle="solid"/>
            <w10:wrap type="topAndBottom"/>
          </v:shape>
        </w:pict>
      </w:r>
      <w:bookmarkStart w:name="_TOC_250044" w:id="47"/>
      <w:r>
        <w:rPr>
          <w:smallCaps/>
          <w:spacing w:val="-8"/>
        </w:rPr>
        <w:t>The</w:t>
      </w:r>
      <w:r>
        <w:rPr>
          <w:smallCaps/>
          <w:spacing w:val="7"/>
        </w:rPr>
        <w:t> </w:t>
      </w:r>
      <w:r>
        <w:rPr>
          <w:smallCaps/>
          <w:spacing w:val="-8"/>
        </w:rPr>
        <w:t>Breakaway</w:t>
      </w:r>
      <w:r>
        <w:rPr>
          <w:smallCaps/>
          <w:spacing w:val="-2"/>
        </w:rPr>
        <w:t> </w:t>
      </w:r>
      <w:bookmarkEnd w:id="47"/>
      <w:r>
        <w:rPr>
          <w:smallCaps/>
          <w:spacing w:val="-8"/>
        </w:rPr>
        <w:t>Play</w:t>
      </w:r>
    </w:p>
    <w:p>
      <w:pPr>
        <w:pStyle w:val="BodyText"/>
        <w:spacing w:before="227"/>
        <w:ind w:left="499" w:right="135" w:firstLine="432"/>
        <w:jc w:val="both"/>
      </w:pPr>
      <w:r>
        <w:rPr/>
        <w:t>In Chapter 4, I introduced how I play highly profitable breakaway days using Money Zone concepts like inside value and narrow value area relationships. While the Money Zone allows you to spot a potential Trend Day easily, the Floor Pivots make entering the trade far easier. First of all, when the market has formed a low-range day in the prior session, the pivots are likely to be tight, or narrow. As I discussed in Chapter 4, and will also cover in Chapter 6, narrow pivots foster breakout and trending sessions. Therefore, you have advanced notice that a potential trending day may be seen in the upcoming session if the pivots are abnormally narrow. Furthermore, if the market opens the session with a gap that is beyond the prior</w:t>
      </w:r>
      <w:r>
        <w:rPr>
          <w:spacing w:val="-2"/>
        </w:rPr>
        <w:t> </w:t>
      </w:r>
      <w:r>
        <w:rPr/>
        <w:t>day’s</w:t>
      </w:r>
      <w:r>
        <w:rPr>
          <w:spacing w:val="-3"/>
        </w:rPr>
        <w:t> </w:t>
      </w:r>
      <w:r>
        <w:rPr/>
        <w:t>price</w:t>
      </w:r>
      <w:r>
        <w:rPr>
          <w:spacing w:val="-2"/>
        </w:rPr>
        <w:t> </w:t>
      </w:r>
      <w:r>
        <w:rPr/>
        <w:t>range</w:t>
      </w:r>
      <w:r>
        <w:rPr>
          <w:spacing w:val="-2"/>
        </w:rPr>
        <w:t> </w:t>
      </w:r>
      <w:r>
        <w:rPr/>
        <w:t>and</w:t>
      </w:r>
      <w:r>
        <w:rPr>
          <w:spacing w:val="-3"/>
        </w:rPr>
        <w:t> </w:t>
      </w:r>
      <w:r>
        <w:rPr/>
        <w:t>beyond</w:t>
      </w:r>
      <w:r>
        <w:rPr>
          <w:spacing w:val="-2"/>
        </w:rPr>
        <w:t> </w:t>
      </w:r>
      <w:r>
        <w:rPr/>
        <w:t>the</w:t>
      </w:r>
      <w:r>
        <w:rPr>
          <w:spacing w:val="-2"/>
        </w:rPr>
        <w:t> </w:t>
      </w:r>
      <w:r>
        <w:rPr/>
        <w:t>first</w:t>
      </w:r>
      <w:r>
        <w:rPr>
          <w:spacing w:val="-2"/>
        </w:rPr>
        <w:t> </w:t>
      </w:r>
      <w:r>
        <w:rPr/>
        <w:t>layer</w:t>
      </w:r>
      <w:r>
        <w:rPr>
          <w:spacing w:val="-3"/>
        </w:rPr>
        <w:t> </w:t>
      </w:r>
      <w:r>
        <w:rPr/>
        <w:t>of</w:t>
      </w:r>
      <w:r>
        <w:rPr>
          <w:spacing w:val="-2"/>
        </w:rPr>
        <w:t> </w:t>
      </w:r>
      <w:r>
        <w:rPr/>
        <w:t>the</w:t>
      </w:r>
      <w:r>
        <w:rPr>
          <w:spacing w:val="-2"/>
        </w:rPr>
        <w:t> </w:t>
      </w:r>
      <w:r>
        <w:rPr/>
        <w:t>indicator,</w:t>
      </w:r>
      <w:r>
        <w:rPr>
          <w:spacing w:val="-2"/>
        </w:rPr>
        <w:t> </w:t>
      </w:r>
      <w:r>
        <w:rPr/>
        <w:t>the</w:t>
      </w:r>
      <w:r>
        <w:rPr>
          <w:spacing w:val="-2"/>
        </w:rPr>
        <w:t> </w:t>
      </w:r>
      <w:r>
        <w:rPr/>
        <w:t>chances of reaching pivots beyond the second layer of the indicator increase </w:t>
      </w:r>
      <w:r>
        <w:rPr>
          <w:spacing w:val="-2"/>
        </w:rPr>
        <w:t>dramatically.</w:t>
      </w:r>
    </w:p>
    <w:p>
      <w:pPr>
        <w:pStyle w:val="BodyText"/>
        <w:spacing w:before="1"/>
        <w:ind w:left="499" w:right="135" w:firstLine="432"/>
        <w:jc w:val="both"/>
      </w:pPr>
      <w:r>
        <w:rPr/>
        <w:t>The breakout play is similar to a great hand in poker. When you have a full house or straight flush, you go “all in” and bet big. Sure, someone might have a better hand than you, but the odds of winning far outweigh the alternative. Similarly, the fact that you are able to anticipate a breakout day allows you to prepare for a potentially big payoff by betting big. Remember, on a true breakaway or trending day, initiative market participants are the driving force behind the market.</w:t>
      </w:r>
      <w:r>
        <w:rPr/>
        <w:t> Initiative buyers and sellers push price to new value by aggressively buying or selling, which invites additional market participation. This conviction leads to explosive moves in the market.</w:t>
      </w:r>
    </w:p>
    <w:p>
      <w:pPr>
        <w:pStyle w:val="BodyText"/>
        <w:ind w:left="499" w:right="135" w:firstLine="432"/>
        <w:jc w:val="both"/>
      </w:pPr>
      <w:r>
        <w:rPr/>
        <w:t>Let’s take a look at an example. Figure 5.13 shows a fifteen-minute</w:t>
      </w:r>
      <w:r>
        <w:rPr>
          <w:spacing w:val="40"/>
        </w:rPr>
        <w:t> </w:t>
      </w:r>
      <w:r>
        <w:rPr/>
        <w:t>chart of NVIDIA Corporation (ticker: NVDA) on a day when price rallied to R4</w:t>
      </w:r>
      <w:r>
        <w:rPr>
          <w:spacing w:val="-1"/>
        </w:rPr>
        <w:t> </w:t>
      </w:r>
      <w:r>
        <w:rPr/>
        <w:t>resistance.</w:t>
      </w:r>
      <w:r>
        <w:rPr>
          <w:spacing w:val="-1"/>
        </w:rPr>
        <w:t> </w:t>
      </w:r>
      <w:r>
        <w:rPr/>
        <w:t>Price</w:t>
      </w:r>
      <w:r>
        <w:rPr>
          <w:spacing w:val="-1"/>
        </w:rPr>
        <w:t> </w:t>
      </w:r>
      <w:r>
        <w:rPr/>
        <w:t>opened</w:t>
      </w:r>
      <w:r>
        <w:rPr>
          <w:spacing w:val="-1"/>
        </w:rPr>
        <w:t> </w:t>
      </w:r>
      <w:r>
        <w:rPr/>
        <w:t>the</w:t>
      </w:r>
      <w:r>
        <w:rPr>
          <w:spacing w:val="-1"/>
        </w:rPr>
        <w:t> </w:t>
      </w:r>
      <w:r>
        <w:rPr/>
        <w:t>day</w:t>
      </w:r>
      <w:r>
        <w:rPr>
          <w:spacing w:val="-1"/>
        </w:rPr>
        <w:t> </w:t>
      </w:r>
      <w:r>
        <w:rPr/>
        <w:t>with</w:t>
      </w:r>
      <w:r>
        <w:rPr>
          <w:spacing w:val="-1"/>
        </w:rPr>
        <w:t> </w:t>
      </w:r>
      <w:r>
        <w:rPr/>
        <w:t>a</w:t>
      </w:r>
      <w:r>
        <w:rPr>
          <w:spacing w:val="-1"/>
        </w:rPr>
        <w:t> </w:t>
      </w:r>
      <w:r>
        <w:rPr/>
        <w:t>gap</w:t>
      </w:r>
      <w:r>
        <w:rPr>
          <w:spacing w:val="-1"/>
        </w:rPr>
        <w:t> </w:t>
      </w:r>
      <w:r>
        <w:rPr/>
        <w:t>that</w:t>
      </w:r>
      <w:r>
        <w:rPr>
          <w:spacing w:val="-1"/>
        </w:rPr>
        <w:t> </w:t>
      </w:r>
      <w:r>
        <w:rPr/>
        <w:t>occurred</w:t>
      </w:r>
      <w:r>
        <w:rPr>
          <w:spacing w:val="-1"/>
        </w:rPr>
        <w:t> </w:t>
      </w:r>
      <w:r>
        <w:rPr/>
        <w:t>beyond</w:t>
      </w:r>
      <w:r>
        <w:rPr>
          <w:spacing w:val="-1"/>
        </w:rPr>
        <w:t> </w:t>
      </w:r>
      <w:r>
        <w:rPr/>
        <w:t>the</w:t>
      </w:r>
      <w:r>
        <w:rPr>
          <w:spacing w:val="-1"/>
        </w:rPr>
        <w:t> </w:t>
      </w:r>
      <w:r>
        <w:rPr/>
        <w:t>prior day’s price range and above R1 resistance. When this occurs, I study price behavior</w:t>
      </w:r>
      <w:r>
        <w:rPr>
          <w:spacing w:val="-3"/>
        </w:rPr>
        <w:t> </w:t>
      </w:r>
      <w:r>
        <w:rPr/>
        <w:t>very</w:t>
      </w:r>
      <w:r>
        <w:rPr>
          <w:spacing w:val="-4"/>
        </w:rPr>
        <w:t> </w:t>
      </w:r>
      <w:r>
        <w:rPr/>
        <w:t>closely</w:t>
      </w:r>
      <w:r>
        <w:rPr>
          <w:spacing w:val="-3"/>
        </w:rPr>
        <w:t> </w:t>
      </w:r>
      <w:r>
        <w:rPr/>
        <w:t>in</w:t>
      </w:r>
      <w:r>
        <w:rPr>
          <w:spacing w:val="-3"/>
        </w:rPr>
        <w:t> </w:t>
      </w:r>
      <w:r>
        <w:rPr/>
        <w:t>order</w:t>
      </w:r>
      <w:r>
        <w:rPr>
          <w:spacing w:val="-3"/>
        </w:rPr>
        <w:t> </w:t>
      </w:r>
      <w:r>
        <w:rPr/>
        <w:t>to</w:t>
      </w:r>
      <w:r>
        <w:rPr>
          <w:spacing w:val="-3"/>
        </w:rPr>
        <w:t> </w:t>
      </w:r>
      <w:r>
        <w:rPr/>
        <w:t>determine</w:t>
      </w:r>
      <w:r>
        <w:rPr>
          <w:spacing w:val="-3"/>
        </w:rPr>
        <w:t> </w:t>
      </w:r>
      <w:r>
        <w:rPr/>
        <w:t>if</w:t>
      </w:r>
      <w:r>
        <w:rPr>
          <w:spacing w:val="-3"/>
        </w:rPr>
        <w:t> </w:t>
      </w:r>
      <w:r>
        <w:rPr/>
        <w:t>the</w:t>
      </w:r>
      <w:r>
        <w:rPr>
          <w:spacing w:val="-3"/>
        </w:rPr>
        <w:t> </w:t>
      </w:r>
      <w:r>
        <w:rPr/>
        <w:t>pivot</w:t>
      </w:r>
      <w:r>
        <w:rPr>
          <w:spacing w:val="-3"/>
        </w:rPr>
        <w:t> </w:t>
      </w:r>
      <w:r>
        <w:rPr/>
        <w:t>that</w:t>
      </w:r>
      <w:r>
        <w:rPr>
          <w:spacing w:val="-3"/>
        </w:rPr>
        <w:t> </w:t>
      </w:r>
      <w:r>
        <w:rPr/>
        <w:t>was</w:t>
      </w:r>
      <w:r>
        <w:rPr>
          <w:spacing w:val="-4"/>
        </w:rPr>
        <w:t> </w:t>
      </w:r>
      <w:r>
        <w:rPr/>
        <w:t>surpassed</w:t>
      </w:r>
      <w:r>
        <w:rPr>
          <w:spacing w:val="-4"/>
        </w:rPr>
        <w:t> </w:t>
      </w:r>
      <w:r>
        <w:rPr/>
        <w:t>via the gap will hold. If the pivot holds as support, you will look to enter the market long with your sights set on R3 or R4 as the target.</w:t>
      </w:r>
    </w:p>
    <w:p>
      <w:pPr>
        <w:pStyle w:val="BodyText"/>
        <w:ind w:left="499" w:right="136" w:firstLine="432"/>
        <w:jc w:val="both"/>
      </w:pPr>
      <w:r>
        <w:rPr/>
        <w:t>In this case, the first fifteen-minute bar of the day initially tested R1 from above and immediately saw buying pressure enter the market at this pivot level. The fact that this pivot held its ground as support gives you the confidence to pull the trigger in one of three ways: at the open of the next fifteen-minute bar, upon a new fifteen-minute high, or by using the </w:t>
      </w:r>
      <w:r>
        <w:rPr>
          <w:i/>
        </w:rPr>
        <w:t>ambush</w:t>
      </w:r>
      <w:r>
        <w:rPr>
          <w:i/>
        </w:rPr>
        <w:t> entry</w:t>
      </w:r>
      <w:r>
        <w:rPr>
          <w:i/>
          <w:spacing w:val="38"/>
        </w:rPr>
        <w:t> </w:t>
      </w:r>
      <w:r>
        <w:rPr/>
        <w:t>technique.</w:t>
      </w:r>
      <w:r>
        <w:rPr>
          <w:spacing w:val="39"/>
        </w:rPr>
        <w:t> </w:t>
      </w:r>
      <w:r>
        <w:rPr/>
        <w:t>I</w:t>
      </w:r>
      <w:r>
        <w:rPr>
          <w:spacing w:val="38"/>
        </w:rPr>
        <w:t> </w:t>
      </w:r>
      <w:r>
        <w:rPr/>
        <w:t>typically</w:t>
      </w:r>
      <w:r>
        <w:rPr>
          <w:spacing w:val="37"/>
        </w:rPr>
        <w:t> </w:t>
      </w:r>
      <w:r>
        <w:rPr/>
        <w:t>like</w:t>
      </w:r>
      <w:r>
        <w:rPr>
          <w:spacing w:val="39"/>
        </w:rPr>
        <w:t> </w:t>
      </w:r>
      <w:r>
        <w:rPr/>
        <w:t>to</w:t>
      </w:r>
      <w:r>
        <w:rPr>
          <w:spacing w:val="39"/>
        </w:rPr>
        <w:t> </w:t>
      </w:r>
      <w:r>
        <w:rPr/>
        <w:t>wait</w:t>
      </w:r>
      <w:r>
        <w:rPr>
          <w:spacing w:val="38"/>
        </w:rPr>
        <w:t> </w:t>
      </w:r>
      <w:r>
        <w:rPr/>
        <w:t>for</w:t>
      </w:r>
      <w:r>
        <w:rPr>
          <w:spacing w:val="38"/>
        </w:rPr>
        <w:t> </w:t>
      </w:r>
      <w:r>
        <w:rPr/>
        <w:t>the</w:t>
      </w:r>
      <w:r>
        <w:rPr>
          <w:spacing w:val="39"/>
        </w:rPr>
        <w:t> </w:t>
      </w:r>
      <w:r>
        <w:rPr/>
        <w:t>first</w:t>
      </w:r>
      <w:r>
        <w:rPr>
          <w:spacing w:val="38"/>
        </w:rPr>
        <w:t> </w:t>
      </w:r>
      <w:r>
        <w:rPr/>
        <w:t>fifteen-minute</w:t>
      </w:r>
      <w:r>
        <w:rPr>
          <w:spacing w:val="39"/>
        </w:rPr>
        <w:t> </w:t>
      </w:r>
      <w:r>
        <w:rPr/>
        <w:t>bar</w:t>
      </w:r>
      <w:r>
        <w:rPr>
          <w:spacing w:val="39"/>
        </w:rPr>
        <w:t> </w:t>
      </w:r>
      <w:r>
        <w:rPr/>
        <w:t>to</w:t>
      </w:r>
    </w:p>
    <w:p>
      <w:pPr>
        <w:spacing w:after="0"/>
        <w:jc w:val="both"/>
        <w:sectPr>
          <w:headerReference w:type="default" r:id="rId169"/>
          <w:headerReference w:type="even" r:id="rId170"/>
          <w:footerReference w:type="default" r:id="rId171"/>
          <w:footerReference w:type="even" r:id="rId172"/>
          <w:pgSz w:w="8640" w:h="12960"/>
          <w:pgMar w:header="536" w:footer="1060" w:top="720" w:bottom="1260" w:left="580" w:right="580"/>
          <w:pgNumType w:start="131"/>
        </w:sectPr>
      </w:pPr>
    </w:p>
    <w:p>
      <w:pPr>
        <w:pStyle w:val="BodyText"/>
        <w:spacing w:before="5"/>
        <w:rPr>
          <w:sz w:val="18"/>
        </w:rPr>
      </w:pPr>
    </w:p>
    <w:p>
      <w:pPr>
        <w:pStyle w:val="BodyText"/>
        <w:spacing w:before="64"/>
        <w:ind w:left="140" w:right="495"/>
        <w:jc w:val="both"/>
      </w:pPr>
      <w:r>
        <w:rPr/>
        <w:t>complete before I enter the trade upon the open of the new fifteen-minute candle. However, traders that have nerves of steel can employ the ambush entry technique, which requires you to place a Limit order at the pivot level that was surpassed in anticipation of a test at that pivot level. When price retreats to test this pivot, your order to buy or sell is already waiting to be filled. After the trade has been entered, you are typically looking for price to reach the third or fourth layer of the indicator. Remember, since the pivots</w:t>
      </w:r>
      <w:r>
        <w:rPr>
          <w:spacing w:val="40"/>
        </w:rPr>
        <w:t> </w:t>
      </w:r>
      <w:r>
        <w:rPr/>
        <w:t>are extra narrow on this type of day, price has a greater chance of reaching pivots beyond the second layer of the indicator. Moreover, the third and fourth layers are 30 percent more likely to be tested when price gaps beyond the first layer of the indicator.</w:t>
      </w:r>
    </w:p>
    <w:p>
      <w:pPr>
        <w:pStyle w:val="BodyText"/>
        <w:spacing w:before="1"/>
        <w:rPr>
          <w:sz w:val="20"/>
        </w:rPr>
      </w:pPr>
      <w:r>
        <w:rPr/>
        <w:drawing>
          <wp:anchor distT="0" distB="0" distL="0" distR="0" allowOverlap="1" layoutInCell="1" locked="0" behindDoc="0" simplePos="0" relativeHeight="156">
            <wp:simplePos x="0" y="0"/>
            <wp:positionH relativeFrom="page">
              <wp:posOffset>457200</wp:posOffset>
            </wp:positionH>
            <wp:positionV relativeFrom="paragraph">
              <wp:posOffset>161938</wp:posOffset>
            </wp:positionV>
            <wp:extent cx="4342239" cy="3111722"/>
            <wp:effectExtent l="0" t="0" r="0" b="0"/>
            <wp:wrapTopAndBottom/>
            <wp:docPr id="139" name="image71.png"/>
            <wp:cNvGraphicFramePr>
              <a:graphicFrameLocks noChangeAspect="1"/>
            </wp:cNvGraphicFramePr>
            <a:graphic>
              <a:graphicData uri="http://schemas.openxmlformats.org/drawingml/2006/picture">
                <pic:pic>
                  <pic:nvPicPr>
                    <pic:cNvPr id="140" name="image71.png"/>
                    <pic:cNvPicPr/>
                  </pic:nvPicPr>
                  <pic:blipFill>
                    <a:blip r:embed="rId173"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5.13:</w:t>
      </w:r>
      <w:r>
        <w:rPr>
          <w:spacing w:val="1"/>
          <w:sz w:val="16"/>
        </w:rPr>
        <w:t> </w:t>
      </w:r>
      <w:r>
        <w:rPr>
          <w:sz w:val="16"/>
        </w:rPr>
        <w:t>A</w:t>
      </w:r>
      <w:r>
        <w:rPr>
          <w:spacing w:val="5"/>
          <w:sz w:val="16"/>
        </w:rPr>
        <w:t> </w:t>
      </w:r>
      <w:r>
        <w:rPr>
          <w:sz w:val="16"/>
        </w:rPr>
        <w:t>bullish</w:t>
      </w:r>
      <w:r>
        <w:rPr>
          <w:spacing w:val="1"/>
          <w:sz w:val="16"/>
        </w:rPr>
        <w:t> </w:t>
      </w:r>
      <w:r>
        <w:rPr>
          <w:sz w:val="16"/>
        </w:rPr>
        <w:t>breakaway</w:t>
      </w:r>
      <w:r>
        <w:rPr>
          <w:spacing w:val="3"/>
          <w:sz w:val="16"/>
        </w:rPr>
        <w:t> </w:t>
      </w:r>
      <w:r>
        <w:rPr>
          <w:sz w:val="16"/>
        </w:rPr>
        <w:t>play</w:t>
      </w:r>
      <w:r>
        <w:rPr>
          <w:spacing w:val="1"/>
          <w:sz w:val="16"/>
        </w:rPr>
        <w:t> </w:t>
      </w:r>
      <w:r>
        <w:rPr>
          <w:sz w:val="16"/>
        </w:rPr>
        <w:t>usually</w:t>
      </w:r>
      <w:r>
        <w:rPr>
          <w:spacing w:val="1"/>
          <w:sz w:val="16"/>
        </w:rPr>
        <w:t> </w:t>
      </w:r>
      <w:r>
        <w:rPr>
          <w:sz w:val="16"/>
        </w:rPr>
        <w:t>leads</w:t>
      </w:r>
      <w:r>
        <w:rPr>
          <w:spacing w:val="3"/>
          <w:sz w:val="16"/>
        </w:rPr>
        <w:t> </w:t>
      </w:r>
      <w:r>
        <w:rPr>
          <w:sz w:val="16"/>
        </w:rPr>
        <w:t>to</w:t>
      </w:r>
      <w:r>
        <w:rPr>
          <w:spacing w:val="1"/>
          <w:sz w:val="16"/>
        </w:rPr>
        <w:t> </w:t>
      </w:r>
      <w:r>
        <w:rPr>
          <w:sz w:val="16"/>
        </w:rPr>
        <w:t>R3</w:t>
      </w:r>
      <w:r>
        <w:rPr>
          <w:spacing w:val="2"/>
          <w:sz w:val="16"/>
        </w:rPr>
        <w:t> </w:t>
      </w:r>
      <w:r>
        <w:rPr>
          <w:sz w:val="16"/>
        </w:rPr>
        <w:t>or</w:t>
      </w:r>
      <w:r>
        <w:rPr>
          <w:spacing w:val="1"/>
          <w:sz w:val="16"/>
        </w:rPr>
        <w:t> </w:t>
      </w:r>
      <w:r>
        <w:rPr>
          <w:sz w:val="16"/>
        </w:rPr>
        <w:t>R4</w:t>
      </w:r>
      <w:r>
        <w:rPr>
          <w:spacing w:val="2"/>
          <w:sz w:val="16"/>
        </w:rPr>
        <w:t> </w:t>
      </w:r>
      <w:r>
        <w:rPr>
          <w:spacing w:val="-2"/>
          <w:sz w:val="16"/>
        </w:rPr>
        <w:t>resistance.</w:t>
      </w:r>
    </w:p>
    <w:p>
      <w:pPr>
        <w:pStyle w:val="BodyText"/>
        <w:spacing w:before="10"/>
        <w:rPr>
          <w:sz w:val="21"/>
        </w:rPr>
      </w:pPr>
    </w:p>
    <w:p>
      <w:pPr>
        <w:pStyle w:val="BodyText"/>
        <w:ind w:left="139"/>
        <w:jc w:val="both"/>
      </w:pPr>
      <w:r>
        <w:rPr/>
        <w:t>BOSS</w:t>
      </w:r>
      <w:r>
        <w:rPr>
          <w:spacing w:val="-5"/>
        </w:rPr>
        <w:t> </w:t>
      </w:r>
      <w:r>
        <w:rPr/>
        <w:t>IN</w:t>
      </w:r>
      <w:r>
        <w:rPr>
          <w:spacing w:val="-5"/>
        </w:rPr>
        <w:t> </w:t>
      </w:r>
      <w:r>
        <w:rPr>
          <w:spacing w:val="-2"/>
        </w:rPr>
        <w:t>ACTION</w:t>
      </w:r>
    </w:p>
    <w:p>
      <w:pPr>
        <w:pStyle w:val="BodyText"/>
        <w:spacing w:before="11"/>
        <w:rPr>
          <w:sz w:val="21"/>
        </w:rPr>
      </w:pPr>
    </w:p>
    <w:p>
      <w:pPr>
        <w:pStyle w:val="BodyText"/>
        <w:ind w:left="139" w:right="496" w:firstLine="432"/>
        <w:jc w:val="both"/>
      </w:pPr>
      <w:r>
        <w:rPr/>
        <w:t>When</w:t>
      </w:r>
      <w:r>
        <w:rPr>
          <w:spacing w:val="-4"/>
        </w:rPr>
        <w:t> </w:t>
      </w:r>
      <w:r>
        <w:rPr/>
        <w:t>trading</w:t>
      </w:r>
      <w:r>
        <w:rPr>
          <w:spacing w:val="-5"/>
        </w:rPr>
        <w:t> </w:t>
      </w:r>
      <w:r>
        <w:rPr/>
        <w:t>the</w:t>
      </w:r>
      <w:r>
        <w:rPr>
          <w:spacing w:val="-3"/>
        </w:rPr>
        <w:t> </w:t>
      </w:r>
      <w:r>
        <w:rPr/>
        <w:t>Breakaway</w:t>
      </w:r>
      <w:r>
        <w:rPr>
          <w:spacing w:val="-4"/>
        </w:rPr>
        <w:t> </w:t>
      </w:r>
      <w:r>
        <w:rPr/>
        <w:t>Play</w:t>
      </w:r>
      <w:r>
        <w:rPr>
          <w:spacing w:val="-3"/>
        </w:rPr>
        <w:t> </w:t>
      </w:r>
      <w:r>
        <w:rPr/>
        <w:t>using</w:t>
      </w:r>
      <w:r>
        <w:rPr>
          <w:spacing w:val="-5"/>
        </w:rPr>
        <w:t> </w:t>
      </w:r>
      <w:r>
        <w:rPr/>
        <w:t>the</w:t>
      </w:r>
      <w:r>
        <w:rPr>
          <w:spacing w:val="-3"/>
        </w:rPr>
        <w:t> </w:t>
      </w:r>
      <w:r>
        <w:rPr/>
        <w:t>Floor</w:t>
      </w:r>
      <w:r>
        <w:rPr>
          <w:spacing w:val="-3"/>
        </w:rPr>
        <w:t> </w:t>
      </w:r>
      <w:r>
        <w:rPr/>
        <w:t>Pivots,</w:t>
      </w:r>
      <w:r>
        <w:rPr>
          <w:spacing w:val="-3"/>
        </w:rPr>
        <w:t> </w:t>
      </w:r>
      <w:r>
        <w:rPr/>
        <w:t>I</w:t>
      </w:r>
      <w:r>
        <w:rPr>
          <w:spacing w:val="-4"/>
        </w:rPr>
        <w:t> </w:t>
      </w:r>
      <w:r>
        <w:rPr/>
        <w:t>typically</w:t>
      </w:r>
      <w:r>
        <w:rPr>
          <w:spacing w:val="-3"/>
        </w:rPr>
        <w:t> </w:t>
      </w:r>
      <w:r>
        <w:rPr/>
        <w:t>like to see the gap occur beyond the prior day’s range and value, preferably just beyond the first layer of the indicator. In addition, the gap should occur no farther than the second layer of the pivots. That is, I like my chances for a Trend Day scenario if the gap occurs beyond R1 for a bullish play, or S1 for</w:t>
      </w:r>
      <w:r>
        <w:rPr>
          <w:spacing w:val="40"/>
        </w:rPr>
        <w:t> </w:t>
      </w:r>
      <w:r>
        <w:rPr/>
        <w:t>a</w:t>
      </w:r>
      <w:r>
        <w:rPr>
          <w:spacing w:val="19"/>
        </w:rPr>
        <w:t> </w:t>
      </w:r>
      <w:r>
        <w:rPr/>
        <w:t>bearish</w:t>
      </w:r>
      <w:r>
        <w:rPr>
          <w:spacing w:val="19"/>
        </w:rPr>
        <w:t> </w:t>
      </w:r>
      <w:r>
        <w:rPr/>
        <w:t>play.</w:t>
      </w:r>
      <w:r>
        <w:rPr>
          <w:spacing w:val="19"/>
        </w:rPr>
        <w:t> </w:t>
      </w:r>
      <w:r>
        <w:rPr/>
        <w:t>If</w:t>
      </w:r>
      <w:r>
        <w:rPr>
          <w:spacing w:val="19"/>
        </w:rPr>
        <w:t> </w:t>
      </w:r>
      <w:r>
        <w:rPr/>
        <w:t>price</w:t>
      </w:r>
      <w:r>
        <w:rPr>
          <w:spacing w:val="19"/>
        </w:rPr>
        <w:t> </w:t>
      </w:r>
      <w:r>
        <w:rPr/>
        <w:t>gaps</w:t>
      </w:r>
      <w:r>
        <w:rPr>
          <w:spacing w:val="19"/>
        </w:rPr>
        <w:t> </w:t>
      </w:r>
      <w:r>
        <w:rPr/>
        <w:t>to</w:t>
      </w:r>
      <w:r>
        <w:rPr>
          <w:spacing w:val="19"/>
        </w:rPr>
        <w:t> </w:t>
      </w:r>
      <w:r>
        <w:rPr/>
        <w:t>the</w:t>
      </w:r>
      <w:r>
        <w:rPr>
          <w:spacing w:val="19"/>
        </w:rPr>
        <w:t> </w:t>
      </w:r>
      <w:r>
        <w:rPr/>
        <w:t>second</w:t>
      </w:r>
      <w:r>
        <w:rPr>
          <w:spacing w:val="19"/>
        </w:rPr>
        <w:t> </w:t>
      </w:r>
      <w:r>
        <w:rPr/>
        <w:t>layer,</w:t>
      </w:r>
      <w:r>
        <w:rPr>
          <w:spacing w:val="19"/>
        </w:rPr>
        <w:t> </w:t>
      </w:r>
      <w:r>
        <w:rPr/>
        <w:t>I</w:t>
      </w:r>
      <w:r>
        <w:rPr>
          <w:spacing w:val="17"/>
        </w:rPr>
        <w:t> </w:t>
      </w:r>
      <w:r>
        <w:rPr/>
        <w:t>will</w:t>
      </w:r>
      <w:r>
        <w:rPr>
          <w:spacing w:val="19"/>
        </w:rPr>
        <w:t> </w:t>
      </w:r>
      <w:r>
        <w:rPr/>
        <w:t>consider</w:t>
      </w:r>
      <w:r>
        <w:rPr>
          <w:spacing w:val="19"/>
        </w:rPr>
        <w:t> </w:t>
      </w:r>
      <w:r>
        <w:rPr/>
        <w:t>the</w:t>
      </w:r>
      <w:r>
        <w:rPr>
          <w:spacing w:val="19"/>
        </w:rPr>
        <w:t> </w:t>
      </w:r>
      <w:r>
        <w:rPr/>
        <w:t>play</w:t>
      </w:r>
      <w:r>
        <w:rPr>
          <w:spacing w:val="19"/>
        </w:rPr>
        <w:t> </w:t>
      </w:r>
      <w:r>
        <w:rPr/>
        <w:t>as</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7"/>
        <w:jc w:val="both"/>
      </w:pPr>
      <w:r>
        <w:rPr/>
        <w:t>long as price is not too far past this zone. If these criteria are satisfied, I will allow the first candle of the day to play out, as price tests any of the pivots that were surpassed via the gap. If a successful test occurs, I will enter the trade in the direction of the gap looking to capture as much of the move as </w:t>
      </w:r>
      <w:r>
        <w:rPr>
          <w:spacing w:val="-2"/>
        </w:rPr>
        <w:t>possible.</w:t>
      </w:r>
    </w:p>
    <w:p>
      <w:pPr>
        <w:pStyle w:val="BodyText"/>
        <w:ind w:left="931"/>
        <w:jc w:val="both"/>
      </w:pPr>
      <w:r>
        <w:rPr/>
        <w:t>Let’s</w:t>
      </w:r>
      <w:r>
        <w:rPr>
          <w:spacing w:val="-3"/>
        </w:rPr>
        <w:t> </w:t>
      </w:r>
      <w:r>
        <w:rPr/>
        <w:t>take</w:t>
      </w:r>
      <w:r>
        <w:rPr>
          <w:spacing w:val="-3"/>
        </w:rPr>
        <w:t> </w:t>
      </w:r>
      <w:r>
        <w:rPr/>
        <w:t>a</w:t>
      </w:r>
      <w:r>
        <w:rPr>
          <w:spacing w:val="-3"/>
        </w:rPr>
        <w:t> </w:t>
      </w:r>
      <w:r>
        <w:rPr/>
        <w:t>look</w:t>
      </w:r>
      <w:r>
        <w:rPr>
          <w:spacing w:val="-3"/>
        </w:rPr>
        <w:t> </w:t>
      </w:r>
      <w:r>
        <w:rPr/>
        <w:t>at</w:t>
      </w:r>
      <w:r>
        <w:rPr>
          <w:spacing w:val="-3"/>
        </w:rPr>
        <w:t> </w:t>
      </w:r>
      <w:r>
        <w:rPr/>
        <w:t>Figure</w:t>
      </w:r>
      <w:r>
        <w:rPr>
          <w:spacing w:val="-4"/>
        </w:rPr>
        <w:t> </w:t>
      </w:r>
      <w:r>
        <w:rPr/>
        <w:t>5.14,</w:t>
      </w:r>
      <w:r>
        <w:rPr>
          <w:spacing w:val="-3"/>
        </w:rPr>
        <w:t> </w:t>
      </w:r>
      <w:r>
        <w:rPr/>
        <w:t>which</w:t>
      </w:r>
      <w:r>
        <w:rPr>
          <w:spacing w:val="-5"/>
        </w:rPr>
        <w:t> </w:t>
      </w:r>
      <w:r>
        <w:rPr/>
        <w:t>you</w:t>
      </w:r>
      <w:r>
        <w:rPr>
          <w:spacing w:val="-3"/>
        </w:rPr>
        <w:t> </w:t>
      </w:r>
      <w:r>
        <w:rPr/>
        <w:t>may</w:t>
      </w:r>
      <w:r>
        <w:rPr>
          <w:spacing w:val="-3"/>
        </w:rPr>
        <w:t> </w:t>
      </w:r>
      <w:r>
        <w:rPr/>
        <w:t>remember</w:t>
      </w:r>
      <w:r>
        <w:rPr>
          <w:spacing w:val="-3"/>
        </w:rPr>
        <w:t> </w:t>
      </w:r>
      <w:r>
        <w:rPr/>
        <w:t>from </w:t>
      </w:r>
      <w:r>
        <w:rPr>
          <w:spacing w:val="-2"/>
        </w:rPr>
        <w:t>Chapter</w:t>
      </w:r>
    </w:p>
    <w:p>
      <w:pPr>
        <w:pStyle w:val="BodyText"/>
        <w:ind w:left="500" w:right="135"/>
        <w:jc w:val="both"/>
      </w:pPr>
      <w:r>
        <w:rPr/>
        <w:t>1. This is a fifteen-minute chart of the E-Mini Russell 2000 futures contract on a day when a major breakout occurred. Notice that price opened the day beyond the two-day range and above R1 resistance. Immediately after opening above R1, price reversed to the pivot for a test, which was successful. What I like to see from a test is a touch at the pivot, with a sharp intra-bar reversal that causes the bar to close bar near the high of its range. When this occurs, you usually see a bullish wick reversal setup develop, which was the case in this instance. Since price confirmed the breakout opportunity, I</w:t>
      </w:r>
      <w:r>
        <w:rPr>
          <w:spacing w:val="-1"/>
        </w:rPr>
        <w:t> </w:t>
      </w:r>
      <w:r>
        <w:rPr/>
        <w:t>entered the trade at the open of the following bar at 655.60 and set my fixed loss stop below the low of the day. I then allowed the 1.5 ATR cushion on my trailing profit stop to do the rest of the work, which kept me</w:t>
      </w:r>
      <w:r>
        <w:rPr>
          <w:spacing w:val="40"/>
        </w:rPr>
        <w:t> </w:t>
      </w:r>
      <w:r>
        <w:rPr/>
        <w:t>in the trade throughout the day. My trade session boundary stop</w:t>
      </w:r>
      <w:r>
        <w:rPr>
          <w:spacing w:val="40"/>
        </w:rPr>
        <w:t> </w:t>
      </w:r>
      <w:r>
        <w:rPr/>
        <w:t>automatically liquidated my position fifteen minutes before the close of the session at 664.90, giving</w:t>
      </w:r>
      <w:r>
        <w:rPr>
          <w:spacing w:val="-1"/>
        </w:rPr>
        <w:t> </w:t>
      </w:r>
      <w:r>
        <w:rPr/>
        <w:t>me a very nice gain of 9.3 points, which amounts to</w:t>
      </w:r>
    </w:p>
    <w:p>
      <w:pPr>
        <w:pStyle w:val="BodyText"/>
        <w:spacing w:line="252" w:lineRule="exact"/>
        <w:ind w:left="500"/>
        <w:jc w:val="both"/>
      </w:pPr>
      <w:r>
        <w:rPr/>
        <w:t>$930</w:t>
      </w:r>
      <w:r>
        <w:rPr>
          <w:spacing w:val="-8"/>
        </w:rPr>
        <w:t> </w:t>
      </w:r>
      <w:r>
        <w:rPr/>
        <w:t>per</w:t>
      </w:r>
      <w:r>
        <w:rPr>
          <w:spacing w:val="-5"/>
        </w:rPr>
        <w:t> </w:t>
      </w:r>
      <w:r>
        <w:rPr/>
        <w:t>contract</w:t>
      </w:r>
      <w:r>
        <w:rPr>
          <w:spacing w:val="-7"/>
        </w:rPr>
        <w:t> </w:t>
      </w:r>
      <w:r>
        <w:rPr>
          <w:spacing w:val="-2"/>
        </w:rPr>
        <w:t>traded.</w:t>
      </w:r>
    </w:p>
    <w:p>
      <w:pPr>
        <w:pStyle w:val="BodyText"/>
        <w:spacing w:before="2"/>
        <w:rPr>
          <w:sz w:val="20"/>
        </w:rPr>
      </w:pPr>
      <w:r>
        <w:rPr/>
        <w:drawing>
          <wp:anchor distT="0" distB="0" distL="0" distR="0" allowOverlap="1" layoutInCell="1" locked="0" behindDoc="0" simplePos="0" relativeHeight="157">
            <wp:simplePos x="0" y="0"/>
            <wp:positionH relativeFrom="page">
              <wp:posOffset>685800</wp:posOffset>
            </wp:positionH>
            <wp:positionV relativeFrom="paragraph">
              <wp:posOffset>162876</wp:posOffset>
            </wp:positionV>
            <wp:extent cx="4332814" cy="2940748"/>
            <wp:effectExtent l="0" t="0" r="0" b="0"/>
            <wp:wrapTopAndBottom/>
            <wp:docPr id="141" name="image72.png"/>
            <wp:cNvGraphicFramePr>
              <a:graphicFrameLocks noChangeAspect="1"/>
            </wp:cNvGraphicFramePr>
            <a:graphic>
              <a:graphicData uri="http://schemas.openxmlformats.org/drawingml/2006/picture">
                <pic:pic>
                  <pic:nvPicPr>
                    <pic:cNvPr id="142" name="image72.png"/>
                    <pic:cNvPicPr/>
                  </pic:nvPicPr>
                  <pic:blipFill>
                    <a:blip r:embed="rId174" cstate="print"/>
                    <a:stretch>
                      <a:fillRect/>
                    </a:stretch>
                  </pic:blipFill>
                  <pic:spPr>
                    <a:xfrm>
                      <a:off x="0" y="0"/>
                      <a:ext cx="4332814" cy="2940748"/>
                    </a:xfrm>
                    <a:prstGeom prst="rect">
                      <a:avLst/>
                    </a:prstGeom>
                  </pic:spPr>
                </pic:pic>
              </a:graphicData>
            </a:graphic>
          </wp:anchor>
        </w:drawing>
      </w:r>
    </w:p>
    <w:p>
      <w:pPr>
        <w:spacing w:before="6"/>
        <w:ind w:left="500" w:right="0" w:firstLine="0"/>
        <w:jc w:val="both"/>
        <w:rPr>
          <w:sz w:val="16"/>
        </w:rPr>
      </w:pPr>
      <w:r>
        <w:rPr>
          <w:sz w:val="16"/>
        </w:rPr>
        <w:t>FIGURE 5.14:</w:t>
      </w:r>
      <w:r>
        <w:rPr>
          <w:spacing w:val="1"/>
          <w:sz w:val="16"/>
        </w:rPr>
        <w:t> </w:t>
      </w:r>
      <w:r>
        <w:rPr>
          <w:sz w:val="16"/>
        </w:rPr>
        <w:t>A</w:t>
      </w:r>
      <w:r>
        <w:rPr>
          <w:spacing w:val="3"/>
          <w:sz w:val="16"/>
        </w:rPr>
        <w:t> </w:t>
      </w:r>
      <w:r>
        <w:rPr>
          <w:sz w:val="16"/>
        </w:rPr>
        <w:t>gap</w:t>
      </w:r>
      <w:r>
        <w:rPr>
          <w:spacing w:val="1"/>
          <w:sz w:val="16"/>
        </w:rPr>
        <w:t> </w:t>
      </w:r>
      <w:r>
        <w:rPr>
          <w:sz w:val="16"/>
        </w:rPr>
        <w:t>beyond the</w:t>
      </w:r>
      <w:r>
        <w:rPr>
          <w:spacing w:val="1"/>
          <w:sz w:val="16"/>
        </w:rPr>
        <w:t> </w:t>
      </w:r>
      <w:r>
        <w:rPr>
          <w:sz w:val="16"/>
        </w:rPr>
        <w:t>prior day’s</w:t>
      </w:r>
      <w:r>
        <w:rPr>
          <w:spacing w:val="2"/>
          <w:sz w:val="16"/>
        </w:rPr>
        <w:t> </w:t>
      </w:r>
      <w:r>
        <w:rPr>
          <w:sz w:val="16"/>
        </w:rPr>
        <w:t>range and</w:t>
      </w:r>
      <w:r>
        <w:rPr>
          <w:spacing w:val="2"/>
          <w:sz w:val="16"/>
        </w:rPr>
        <w:t> </w:t>
      </w:r>
      <w:r>
        <w:rPr>
          <w:sz w:val="16"/>
        </w:rPr>
        <w:t>value led</w:t>
      </w:r>
      <w:r>
        <w:rPr>
          <w:spacing w:val="1"/>
          <w:sz w:val="16"/>
        </w:rPr>
        <w:t> </w:t>
      </w:r>
      <w:r>
        <w:rPr>
          <w:sz w:val="16"/>
        </w:rPr>
        <w:t>to a</w:t>
      </w:r>
      <w:r>
        <w:rPr>
          <w:spacing w:val="1"/>
          <w:sz w:val="16"/>
        </w:rPr>
        <w:t> </w:t>
      </w:r>
      <w:r>
        <w:rPr>
          <w:sz w:val="16"/>
        </w:rPr>
        <w:t>breakaway</w:t>
      </w:r>
      <w:r>
        <w:rPr>
          <w:spacing w:val="1"/>
          <w:sz w:val="16"/>
        </w:rPr>
        <w:t> </w:t>
      </w:r>
      <w:r>
        <w:rPr>
          <w:spacing w:val="-2"/>
          <w:sz w:val="16"/>
        </w:rPr>
        <w:t>rally.</w:t>
      </w:r>
    </w:p>
    <w:p>
      <w:pPr>
        <w:spacing w:after="0"/>
        <w:jc w:val="both"/>
        <w:rPr>
          <w:sz w:val="16"/>
        </w:rPr>
        <w:sectPr>
          <w:pgSz w:w="8640" w:h="12960"/>
          <w:pgMar w:header="536" w:footer="1060" w:top="720" w:bottom="1260" w:left="580" w:right="580"/>
        </w:sectPr>
      </w:pPr>
    </w:p>
    <w:p>
      <w:pPr>
        <w:pStyle w:val="BodyText"/>
        <w:rPr>
          <w:sz w:val="20"/>
        </w:rPr>
      </w:pPr>
    </w:p>
    <w:p>
      <w:pPr>
        <w:pStyle w:val="BodyText"/>
        <w:spacing w:before="5"/>
        <w:rPr>
          <w:sz w:val="20"/>
        </w:rPr>
      </w:pPr>
    </w:p>
    <w:p>
      <w:pPr>
        <w:pStyle w:val="BodyText"/>
        <w:spacing w:before="64"/>
        <w:ind w:left="139" w:right="497" w:firstLine="432"/>
        <w:jc w:val="both"/>
      </w:pPr>
      <w:r>
        <w:rPr/>
        <w:t>You will notice that this particular day had a very narrow central pivot range, which might as well be a dinner bell since experienced pivot players come running out of the woodwork to trade this magnificent day. I will discuss this concept in great detail in the following chapter, as I will cover advanced Floor Pivots concepts using the central pivot range.</w:t>
      </w:r>
    </w:p>
    <w:p>
      <w:pPr>
        <w:pStyle w:val="BodyText"/>
        <w:spacing w:before="11"/>
        <w:rPr>
          <w:sz w:val="21"/>
        </w:rPr>
      </w:pPr>
    </w:p>
    <w:p>
      <w:pPr>
        <w:pStyle w:val="Heading3"/>
      </w:pPr>
      <w:r>
        <w:rPr/>
        <w:pict>
          <v:shape style="position:absolute;margin-left:35.82pt;margin-top:17.030308pt;width:340.95pt;height:.1pt;mso-position-horizontal-relative:page;mso-position-vertical-relative:paragraph;z-index:-15647744;mso-wrap-distance-left:0;mso-wrap-distance-right:0" id="docshape482" coordorigin="716,341" coordsize="6819,0" path="m716,341l7535,341e" filled="false" stroked="true" strokeweight=".75pt" strokecolor="#000000">
            <v:path arrowok="t"/>
            <v:stroke dashstyle="solid"/>
            <w10:wrap type="topAndBottom"/>
          </v:shape>
        </w:pict>
      </w:r>
      <w:bookmarkStart w:name="_TOC_250043" w:id="48"/>
      <w:r>
        <w:rPr>
          <w:smallCaps/>
        </w:rPr>
        <w:t>Building</w:t>
      </w:r>
      <w:r>
        <w:rPr>
          <w:smallCaps/>
          <w:spacing w:val="-14"/>
        </w:rPr>
        <w:t> </w:t>
      </w:r>
      <w:r>
        <w:rPr>
          <w:smallCaps/>
        </w:rPr>
        <w:t>Your</w:t>
      </w:r>
      <w:r>
        <w:rPr>
          <w:smallCaps/>
          <w:spacing w:val="-13"/>
        </w:rPr>
        <w:t> </w:t>
      </w:r>
      <w:r>
        <w:rPr>
          <w:smallCaps/>
        </w:rPr>
        <w:t>Knowledge</w:t>
      </w:r>
      <w:r>
        <w:rPr>
          <w:smallCaps/>
          <w:spacing w:val="-13"/>
        </w:rPr>
        <w:t> </w:t>
      </w:r>
      <w:bookmarkEnd w:id="48"/>
      <w:r>
        <w:rPr>
          <w:smallCaps/>
          <w:spacing w:val="-4"/>
        </w:rPr>
        <w:t>Base</w:t>
      </w:r>
    </w:p>
    <w:p>
      <w:pPr>
        <w:pStyle w:val="BodyText"/>
        <w:spacing w:before="227"/>
        <w:ind w:left="139" w:right="493" w:firstLine="432"/>
        <w:jc w:val="both"/>
      </w:pPr>
      <w:r>
        <w:rPr/>
        <w:t>Without a doubt, the Floor Pivot indicator was the first price-based indicator to single-handedly kick my trading into a higher gear. The pivots opened my eyes to the underlying framework from which the market operates, which allowed me to align myself with a higher caliber of trader. Any time you’re siding with knowledgeable market participants, you are giving yourself the best shot at a profitable outcome. The pivots have also allowed me to diversify my trading approach, giving me a wider variety of trading setups, entries, and targets. Individually, these concepts are quite powerful and valuable to your trading, but they are only the foundation to a greater structure of pivot knowledge. As we move forward, I will continue to expand your knowledge base with layers of new topics, further strengthening your bond with these amazing pivots. It is my sincere hope that the pivot combinations, trading setups, and overall market analysis contained herein will</w:t>
      </w:r>
      <w:r>
        <w:rPr>
          <w:spacing w:val="80"/>
          <w:w w:val="150"/>
        </w:rPr>
        <w:t> </w:t>
      </w:r>
      <w:r>
        <w:rPr/>
        <w:t>be</w:t>
      </w:r>
      <w:r>
        <w:rPr>
          <w:spacing w:val="80"/>
          <w:w w:val="150"/>
        </w:rPr>
        <w:t> </w:t>
      </w:r>
      <w:r>
        <w:rPr/>
        <w:t>nothing</w:t>
      </w:r>
      <w:r>
        <w:rPr>
          <w:spacing w:val="80"/>
          <w:w w:val="150"/>
        </w:rPr>
        <w:t> </w:t>
      </w:r>
      <w:r>
        <w:rPr/>
        <w:t>short</w:t>
      </w:r>
      <w:r>
        <w:rPr>
          <w:spacing w:val="79"/>
          <w:w w:val="150"/>
        </w:rPr>
        <w:t> </w:t>
      </w:r>
      <w:r>
        <w:rPr/>
        <w:t>of</w:t>
      </w:r>
      <w:r>
        <w:rPr>
          <w:spacing w:val="80"/>
          <w:w w:val="150"/>
        </w:rPr>
        <w:t> </w:t>
      </w:r>
      <w:r>
        <w:rPr/>
        <w:t>game-changing</w:t>
      </w:r>
      <w:r>
        <w:rPr>
          <w:spacing w:val="80"/>
          <w:w w:val="150"/>
        </w:rPr>
        <w:t> </w:t>
      </w:r>
      <w:r>
        <w:rPr/>
        <w:t>in</w:t>
      </w:r>
      <w:r>
        <w:rPr>
          <w:spacing w:val="79"/>
          <w:w w:val="150"/>
        </w:rPr>
        <w:t> </w:t>
      </w:r>
      <w:r>
        <w:rPr/>
        <w:t>your</w:t>
      </w:r>
      <w:r>
        <w:rPr>
          <w:spacing w:val="80"/>
          <w:w w:val="150"/>
        </w:rPr>
        <w:t> </w:t>
      </w:r>
      <w:r>
        <w:rPr/>
        <w:t>trading</w:t>
      </w:r>
      <w:r>
        <w:rPr>
          <w:spacing w:val="80"/>
          <w:w w:val="150"/>
        </w:rPr>
        <w:t> </w:t>
      </w:r>
      <w:r>
        <w:rPr/>
        <w:t>endeavors.</w:t>
      </w:r>
    </w:p>
    <w:p>
      <w:pPr>
        <w:spacing w:after="0"/>
        <w:jc w:val="both"/>
        <w:sectPr>
          <w:pgSz w:w="8640" w:h="12960"/>
          <w:pgMar w:header="579" w:footer="1060" w:top="760" w:bottom="126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2"/>
        <w:rPr>
          <w:sz w:val="180"/>
        </w:rPr>
      </w:pPr>
      <w:r>
        <w:rPr/>
        <w:pict>
          <v:line style="position:absolute;mso-position-horizontal-relative:page;mso-position-vertical-relative:paragraph;z-index:-19605504" from="55.560001pt,103.603653pt" to="390.000001pt,103.603653pt" stroked="true" strokeweight=".75pt" strokecolor="#000000">
            <v:stroke dashstyle="solid"/>
            <w10:wrap type="none"/>
          </v:line>
        </w:pict>
      </w:r>
      <w:bookmarkStart w:name="_TOC_250042" w:id="49"/>
      <w:r>
        <w:rPr>
          <w:w w:val="105"/>
        </w:rPr>
        <w:t>C H A P T E R</w:t>
      </w:r>
      <w:r>
        <w:rPr>
          <w:spacing w:val="-1"/>
          <w:w w:val="105"/>
        </w:rPr>
        <w:t> </w:t>
      </w:r>
      <w:bookmarkEnd w:id="49"/>
      <w:r>
        <w:rPr>
          <w:spacing w:val="-12"/>
          <w:w w:val="105"/>
          <w:sz w:val="180"/>
        </w:rPr>
        <w:t>6</w:t>
      </w:r>
    </w:p>
    <w:p>
      <w:pPr>
        <w:pStyle w:val="Heading1"/>
        <w:spacing w:line="276" w:lineRule="auto"/>
        <w:ind w:left="3652" w:hanging="87"/>
      </w:pPr>
      <w:bookmarkStart w:name="_TOC_250041" w:id="50"/>
      <w:r>
        <w:rPr>
          <w:smallCaps/>
          <w:w w:val="90"/>
        </w:rPr>
        <w:t>The </w:t>
      </w:r>
      <w:r>
        <w:rPr>
          <w:smallCaps/>
          <w:w w:val="90"/>
        </w:rPr>
        <w:t>Central Pivot</w:t>
      </w:r>
      <w:r>
        <w:rPr>
          <w:smallCaps/>
        </w:rPr>
        <w:t> </w:t>
      </w:r>
      <w:bookmarkEnd w:id="50"/>
      <w:r>
        <w:rPr>
          <w:smallCaps/>
          <w:spacing w:val="-2"/>
          <w:w w:val="90"/>
        </w:rPr>
        <w:t>Range</w:t>
      </w:r>
    </w:p>
    <w:p>
      <w:pPr>
        <w:spacing w:line="276" w:lineRule="auto" w:before="289"/>
        <w:ind w:left="1219" w:right="224" w:firstLine="0"/>
        <w:jc w:val="left"/>
        <w:rPr>
          <w:i/>
          <w:sz w:val="22"/>
        </w:rPr>
      </w:pPr>
      <w:r>
        <w:rPr>
          <w:i/>
          <w:sz w:val="22"/>
        </w:rPr>
        <w:t>“The way to make money is to make it. The way to make big money</w:t>
      </w:r>
      <w:r>
        <w:rPr>
          <w:i/>
          <w:spacing w:val="80"/>
          <w:sz w:val="22"/>
        </w:rPr>
        <w:t> </w:t>
      </w:r>
      <w:r>
        <w:rPr>
          <w:i/>
          <w:sz w:val="22"/>
        </w:rPr>
        <w:t>is to be right at exactly the right time.”</w:t>
      </w:r>
    </w:p>
    <w:p>
      <w:pPr>
        <w:pStyle w:val="BodyText"/>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pPr>
    </w:p>
    <w:p>
      <w:pPr>
        <w:pStyle w:val="BodyText"/>
      </w:pPr>
    </w:p>
    <w:p>
      <w:pPr>
        <w:pStyle w:val="BodyText"/>
        <w:rPr>
          <w:sz w:val="23"/>
        </w:rPr>
      </w:pPr>
    </w:p>
    <w:p>
      <w:pPr>
        <w:pStyle w:val="BodyText"/>
        <w:ind w:left="499" w:right="135" w:firstLine="432"/>
        <w:jc w:val="both"/>
      </w:pPr>
      <w:r>
        <w:rPr/>
        <w:t>The </w:t>
      </w:r>
      <w:r>
        <w:rPr>
          <w:i/>
        </w:rPr>
        <w:t>Central Pivot Range (CPR) </w:t>
      </w:r>
      <w:r>
        <w:rPr/>
        <w:t>is absolutely, without a doubt, the most powerful part of the Floor Pivots indicator.</w:t>
      </w:r>
      <w:r>
        <w:rPr/>
        <w:t> Some authors have called the range the meat of the market, while others refer to the central pivot point as the heartbeat of the indicator. In my opinion, the central pivot range is the Swiss</w:t>
      </w:r>
      <w:r>
        <w:rPr>
          <w:spacing w:val="15"/>
        </w:rPr>
        <w:t> </w:t>
      </w:r>
      <w:r>
        <w:rPr/>
        <w:t>Army</w:t>
      </w:r>
      <w:r>
        <w:rPr>
          <w:spacing w:val="15"/>
        </w:rPr>
        <w:t> </w:t>
      </w:r>
      <w:r>
        <w:rPr/>
        <w:t>knife of pivots. At any given time, the range can be support or</w:t>
      </w:r>
    </w:p>
    <w:p>
      <w:pPr>
        <w:spacing w:after="0"/>
        <w:jc w:val="both"/>
        <w:sectPr>
          <w:headerReference w:type="default" r:id="rId175"/>
          <w:footerReference w:type="default" r:id="rId176"/>
          <w:footerReference w:type="even" r:id="rId177"/>
          <w:pgSz w:w="8640" w:h="12960"/>
          <w:pgMar w:header="0" w:footer="1060" w:top="1480" w:bottom="1260" w:left="580" w:right="580"/>
          <w:pgNumType w:start="135"/>
        </w:sectPr>
      </w:pPr>
    </w:p>
    <w:p>
      <w:pPr>
        <w:pStyle w:val="BodyText"/>
        <w:spacing w:before="5"/>
        <w:rPr>
          <w:sz w:val="18"/>
        </w:rPr>
      </w:pPr>
    </w:p>
    <w:p>
      <w:pPr>
        <w:pStyle w:val="BodyText"/>
        <w:spacing w:before="64"/>
        <w:ind w:left="140" w:right="494"/>
        <w:jc w:val="both"/>
      </w:pPr>
      <w:r>
        <w:rPr/>
        <w:t>resistance, it can forecast trending or sideways price behavior, dictate the day’s direction, or serve as an integral part of a trend. This range can tell you so much about the potential movement of the upcoming day and even how</w:t>
      </w:r>
      <w:r>
        <w:rPr>
          <w:spacing w:val="40"/>
        </w:rPr>
        <w:t> </w:t>
      </w:r>
      <w:r>
        <w:rPr/>
        <w:t>the prior day transpired. Moreover, the placement of the CPR can give you a certain bias about the upcoming day. Knowing the location of the CPR at all times allows you to keep your finger on the pulse of the market and provides you with a significant trading edge. In trading, an edge is all you need to make money.</w:t>
      </w:r>
    </w:p>
    <w:p>
      <w:pPr>
        <w:pStyle w:val="BodyText"/>
        <w:spacing w:before="1"/>
      </w:pPr>
    </w:p>
    <w:p>
      <w:pPr>
        <w:spacing w:before="0"/>
        <w:ind w:left="444" w:right="0" w:firstLine="0"/>
        <w:jc w:val="left"/>
        <w:rPr>
          <w:i/>
          <w:sz w:val="22"/>
        </w:rPr>
      </w:pPr>
      <w:r>
        <w:rPr>
          <w:i/>
          <w:sz w:val="22"/>
        </w:rPr>
        <w:t>Like</w:t>
      </w:r>
      <w:r>
        <w:rPr>
          <w:i/>
          <w:spacing w:val="-3"/>
          <w:sz w:val="22"/>
        </w:rPr>
        <w:t> </w:t>
      </w:r>
      <w:r>
        <w:rPr>
          <w:i/>
          <w:sz w:val="22"/>
        </w:rPr>
        <w:t>the</w:t>
      </w:r>
      <w:r>
        <w:rPr>
          <w:i/>
          <w:spacing w:val="-2"/>
          <w:sz w:val="22"/>
        </w:rPr>
        <w:t> </w:t>
      </w:r>
      <w:r>
        <w:rPr>
          <w:i/>
          <w:sz w:val="22"/>
        </w:rPr>
        <w:t>Moon,</w:t>
      </w:r>
      <w:r>
        <w:rPr>
          <w:i/>
          <w:spacing w:val="-3"/>
          <w:sz w:val="22"/>
        </w:rPr>
        <w:t> </w:t>
      </w:r>
      <w:r>
        <w:rPr>
          <w:i/>
          <w:sz w:val="22"/>
        </w:rPr>
        <w:t>the</w:t>
      </w:r>
      <w:r>
        <w:rPr>
          <w:i/>
          <w:spacing w:val="-2"/>
          <w:sz w:val="22"/>
        </w:rPr>
        <w:t> </w:t>
      </w:r>
      <w:r>
        <w:rPr>
          <w:i/>
          <w:sz w:val="22"/>
        </w:rPr>
        <w:t>central</w:t>
      </w:r>
      <w:r>
        <w:rPr>
          <w:i/>
          <w:spacing w:val="-4"/>
          <w:sz w:val="22"/>
        </w:rPr>
        <w:t> </w:t>
      </w:r>
      <w:r>
        <w:rPr>
          <w:i/>
          <w:sz w:val="22"/>
        </w:rPr>
        <w:t>pivot</w:t>
      </w:r>
      <w:r>
        <w:rPr>
          <w:i/>
          <w:spacing w:val="-3"/>
          <w:sz w:val="22"/>
        </w:rPr>
        <w:t> </w:t>
      </w:r>
      <w:r>
        <w:rPr>
          <w:i/>
          <w:sz w:val="22"/>
        </w:rPr>
        <w:t>range</w:t>
      </w:r>
      <w:r>
        <w:rPr>
          <w:i/>
          <w:spacing w:val="-3"/>
          <w:sz w:val="22"/>
        </w:rPr>
        <w:t> </w:t>
      </w:r>
      <w:r>
        <w:rPr>
          <w:i/>
          <w:sz w:val="22"/>
        </w:rPr>
        <w:t>controls</w:t>
      </w:r>
      <w:r>
        <w:rPr>
          <w:i/>
          <w:spacing w:val="-3"/>
          <w:sz w:val="22"/>
        </w:rPr>
        <w:t> </w:t>
      </w:r>
      <w:r>
        <w:rPr>
          <w:i/>
          <w:sz w:val="22"/>
        </w:rPr>
        <w:t>the</w:t>
      </w:r>
      <w:r>
        <w:rPr>
          <w:i/>
          <w:spacing w:val="-2"/>
          <w:sz w:val="22"/>
        </w:rPr>
        <w:t> </w:t>
      </w:r>
      <w:r>
        <w:rPr>
          <w:i/>
          <w:sz w:val="22"/>
        </w:rPr>
        <w:t>tides</w:t>
      </w:r>
      <w:r>
        <w:rPr>
          <w:i/>
          <w:spacing w:val="-2"/>
          <w:sz w:val="22"/>
        </w:rPr>
        <w:t> </w:t>
      </w:r>
      <w:r>
        <w:rPr>
          <w:i/>
          <w:sz w:val="22"/>
        </w:rPr>
        <w:t>of</w:t>
      </w:r>
      <w:r>
        <w:rPr>
          <w:i/>
          <w:spacing w:val="-3"/>
          <w:sz w:val="22"/>
        </w:rPr>
        <w:t> </w:t>
      </w:r>
      <w:r>
        <w:rPr>
          <w:i/>
          <w:sz w:val="22"/>
        </w:rPr>
        <w:t>the</w:t>
      </w:r>
      <w:r>
        <w:rPr>
          <w:i/>
          <w:spacing w:val="-2"/>
          <w:sz w:val="22"/>
        </w:rPr>
        <w:t> market.</w:t>
      </w:r>
    </w:p>
    <w:p>
      <w:pPr>
        <w:pStyle w:val="BodyText"/>
        <w:spacing w:before="10"/>
        <w:rPr>
          <w:i/>
          <w:sz w:val="21"/>
        </w:rPr>
      </w:pPr>
    </w:p>
    <w:p>
      <w:pPr>
        <w:pStyle w:val="BodyText"/>
        <w:spacing w:before="1"/>
        <w:ind w:left="139" w:right="494" w:firstLine="432"/>
        <w:jc w:val="both"/>
      </w:pPr>
      <w:r>
        <w:rPr/>
        <w:t>Mark Fisher introduced the concept of the pivot range in his book </w:t>
      </w:r>
      <w:r>
        <w:rPr>
          <w:i/>
        </w:rPr>
        <w:t>The</w:t>
      </w:r>
      <w:r>
        <w:rPr>
          <w:i/>
        </w:rPr>
        <w:t> Logical Trader</w:t>
      </w:r>
      <w:r>
        <w:rPr/>
        <w:t>. He explains the pivot range concept in great detail and illustrates how he combines the range with his ACD Method to profit in the market. While he only uses the outermost boundaries of the range, I prefer to include the central pivot point to add another dimension to the range, which I affectionately call the </w:t>
      </w:r>
      <w:r>
        <w:rPr>
          <w:i/>
        </w:rPr>
        <w:t>centrals</w:t>
      </w:r>
      <w:r>
        <w:rPr/>
        <w:t>. To refresh your memory, I’ve included the formula for the centrals below; where TC is the top central pivot, BC is the bottom central pivot, and pivot is the central pivot point:</w:t>
      </w:r>
    </w:p>
    <w:p>
      <w:pPr>
        <w:pStyle w:val="BodyText"/>
        <w:spacing w:before="1"/>
        <w:rPr>
          <w:sz w:val="20"/>
        </w:rPr>
      </w:pPr>
      <w:r>
        <w:rPr/>
        <w:pict>
          <v:group style="position:absolute;margin-left:60.48pt;margin-top:12.754619pt;width:293pt;height:18.5pt;mso-position-horizontal-relative:page;mso-position-vertical-relative:paragraph;z-index:-15646720;mso-wrap-distance-left:0;mso-wrap-distance-right:0" id="docshapegroup489" coordorigin="1210,255" coordsize="5860,370">
            <v:rect style="position:absolute;left:1228;top:275;width:5822;height:340" id="docshape490" filled="true" fillcolor="#000000" stroked="false">
              <v:fill type="solid"/>
            </v:rect>
            <v:shape style="position:absolute;left:1209;top:255;width:5841;height:21" id="docshape491" coordorigin="1210,255" coordsize="5841,21" path="m7050,255l1229,255,1210,255,1210,274,1210,275,1229,275,1229,274,7050,274,7050,255xe" filled="true" fillcolor="#3f3f3f" stroked="false">
              <v:path arrowok="t"/>
              <v:fill type="solid"/>
            </v:shape>
            <v:rect style="position:absolute;left:1228;top:274;width:5822;height:2" id="docshape492" filled="true" fillcolor="#000000" stroked="false">
              <v:fill type="solid"/>
            </v:rect>
            <v:shape style="position:absolute;left:1209;top:255;width:5860;height:360" id="docshape493" coordorigin="1210,255" coordsize="5860,360" path="m1229,275l1210,275,1210,615,1229,615,1229,275xm7069,255l7050,255,7050,255,7050,274,7050,275,7050,615,7069,615,7069,275,7069,274,7069,255,7069,255xe" filled="true" fillcolor="#3f3f3f" stroked="false">
              <v:path arrowok="t"/>
              <v:fill type="solid"/>
            </v:shape>
            <v:rect style="position:absolute;left:1209;top:615;width:5860;height:10" id="docshape494" filled="true" fillcolor="#000000" stroked="false">
              <v:fill type="solid"/>
            </v:rect>
            <v:shape style="position:absolute;left:1228;top:275;width:5822;height:340" type="#_x0000_t202" id="docshape495" filled="false" stroked="false">
              <v:textbox inset="0,0,0,0">
                <w:txbxContent>
                  <w:p>
                    <w:pPr>
                      <w:spacing w:before="24"/>
                      <w:ind w:left="924" w:right="0" w:firstLine="0"/>
                      <w:jc w:val="left"/>
                      <w:rPr>
                        <w:rFonts w:ascii="Verdana"/>
                        <w:sz w:val="24"/>
                      </w:rPr>
                    </w:pPr>
                    <w:r>
                      <w:rPr>
                        <w:rFonts w:ascii="Verdana"/>
                        <w:color w:val="FFFFFF"/>
                        <w:sz w:val="24"/>
                      </w:rPr>
                      <w:t>The</w:t>
                    </w:r>
                    <w:r>
                      <w:rPr>
                        <w:rFonts w:ascii="Verdana"/>
                        <w:color w:val="FFFFFF"/>
                        <w:spacing w:val="-11"/>
                        <w:sz w:val="24"/>
                      </w:rPr>
                      <w:t> </w:t>
                    </w:r>
                    <w:r>
                      <w:rPr>
                        <w:rFonts w:ascii="Verdana"/>
                        <w:color w:val="FFFFFF"/>
                        <w:sz w:val="24"/>
                      </w:rPr>
                      <w:t>Central</w:t>
                    </w:r>
                    <w:r>
                      <w:rPr>
                        <w:rFonts w:ascii="Verdana"/>
                        <w:color w:val="FFFFFF"/>
                        <w:spacing w:val="-10"/>
                        <w:sz w:val="24"/>
                      </w:rPr>
                      <w:t> </w:t>
                    </w:r>
                    <w:r>
                      <w:rPr>
                        <w:rFonts w:ascii="Verdana"/>
                        <w:color w:val="FFFFFF"/>
                        <w:sz w:val="24"/>
                      </w:rPr>
                      <w:t>Pivot</w:t>
                    </w:r>
                    <w:r>
                      <w:rPr>
                        <w:rFonts w:ascii="Verdana"/>
                        <w:color w:val="FFFFFF"/>
                        <w:spacing w:val="-10"/>
                        <w:sz w:val="24"/>
                      </w:rPr>
                      <w:t> </w:t>
                    </w:r>
                    <w:r>
                      <w:rPr>
                        <w:rFonts w:ascii="Verdana"/>
                        <w:color w:val="FFFFFF"/>
                        <w:sz w:val="24"/>
                      </w:rPr>
                      <w:t>Range</w:t>
                    </w:r>
                    <w:r>
                      <w:rPr>
                        <w:rFonts w:ascii="Verdana"/>
                        <w:color w:val="FFFFFF"/>
                        <w:spacing w:val="-10"/>
                        <w:sz w:val="24"/>
                      </w:rPr>
                      <w:t> </w:t>
                    </w:r>
                    <w:r>
                      <w:rPr>
                        <w:rFonts w:ascii="Verdana"/>
                        <w:color w:val="FFFFFF"/>
                        <w:spacing w:val="-2"/>
                        <w:sz w:val="24"/>
                      </w:rPr>
                      <w:t>Formula</w:t>
                    </w:r>
                  </w:p>
                </w:txbxContent>
              </v:textbox>
              <w10:wrap type="none"/>
            </v:shape>
            <w10:wrap type="topAndBottom"/>
          </v:group>
        </w:pict>
      </w:r>
    </w:p>
    <w:p>
      <w:pPr>
        <w:pStyle w:val="BodyText"/>
        <w:spacing w:before="42"/>
        <w:ind w:left="747"/>
        <w:rPr>
          <w:rFonts w:ascii="Tahoma"/>
        </w:rPr>
      </w:pPr>
      <w:r>
        <w:rPr>
          <w:rFonts w:ascii="Tahoma"/>
        </w:rPr>
        <w:t>TC</w:t>
      </w:r>
      <w:r>
        <w:rPr>
          <w:rFonts w:ascii="Tahoma"/>
          <w:spacing w:val="-5"/>
        </w:rPr>
        <w:t> </w:t>
      </w:r>
      <w:r>
        <w:rPr>
          <w:rFonts w:ascii="Tahoma"/>
        </w:rPr>
        <w:t>=</w:t>
      </w:r>
      <w:r>
        <w:rPr>
          <w:rFonts w:ascii="Tahoma"/>
          <w:spacing w:val="-4"/>
        </w:rPr>
        <w:t> </w:t>
      </w:r>
      <w:r>
        <w:rPr>
          <w:rFonts w:ascii="Tahoma"/>
        </w:rPr>
        <w:t>(Pivot</w:t>
      </w:r>
      <w:r>
        <w:rPr>
          <w:rFonts w:ascii="Tahoma"/>
          <w:spacing w:val="-1"/>
        </w:rPr>
        <w:t> </w:t>
      </w:r>
      <w:r>
        <w:rPr>
          <w:rFonts w:ascii="Tahoma"/>
        </w:rPr>
        <w:t>-</w:t>
      </w:r>
      <w:r>
        <w:rPr>
          <w:rFonts w:ascii="Tahoma"/>
          <w:spacing w:val="-5"/>
        </w:rPr>
        <w:t> </w:t>
      </w:r>
      <w:r>
        <w:rPr>
          <w:rFonts w:ascii="Tahoma"/>
        </w:rPr>
        <w:t>BC)</w:t>
      </w:r>
      <w:r>
        <w:rPr>
          <w:rFonts w:ascii="Tahoma"/>
          <w:spacing w:val="-3"/>
        </w:rPr>
        <w:t> </w:t>
      </w:r>
      <w:r>
        <w:rPr>
          <w:rFonts w:ascii="Tahoma"/>
        </w:rPr>
        <w:t>+</w:t>
      </w:r>
      <w:r>
        <w:rPr>
          <w:rFonts w:ascii="Tahoma"/>
          <w:spacing w:val="-4"/>
        </w:rPr>
        <w:t> Pivot</w:t>
      </w:r>
    </w:p>
    <w:p>
      <w:pPr>
        <w:pStyle w:val="BodyText"/>
        <w:spacing w:line="360" w:lineRule="atLeast"/>
        <w:ind w:left="747" w:right="3443"/>
        <w:rPr>
          <w:rFonts w:ascii="Tahoma"/>
        </w:rPr>
      </w:pPr>
      <w:r>
        <w:rPr/>
        <w:pict>
          <v:rect style="position:absolute;margin-left:60.240002pt;margin-top:38.168018pt;width:292.74pt;height:.48001pt;mso-position-horizontal-relative:page;mso-position-vertical-relative:paragraph;z-index:-15646208;mso-wrap-distance-left:0;mso-wrap-distance-right:0" id="docshape496" filled="true" fillcolor="#000000" stroked="false">
            <v:fill type="solid"/>
            <w10:wrap type="topAndBottom"/>
          </v:rect>
        </w:pict>
      </w:r>
      <w:r>
        <w:rPr/>
        <w:pict>
          <v:rect style="position:absolute;margin-left:60.959999pt;margin-top:2.108017pt;width:292.02pt;height:.48001pt;mso-position-horizontal-relative:page;mso-position-vertical-relative:paragraph;z-index:15811584" id="docshape497" filled="true" fillcolor="#000000" stroked="false">
            <v:fill type="solid"/>
            <w10:wrap type="none"/>
          </v:rect>
        </w:pict>
      </w:r>
      <w:r>
        <w:rPr/>
        <w:pict>
          <v:rect style="position:absolute;margin-left:60.959999pt;margin-top:20.108017pt;width:292.02pt;height:.48001pt;mso-position-horizontal-relative:page;mso-position-vertical-relative:paragraph;z-index:15812096" id="docshape498" filled="true" fillcolor="#000000" stroked="false">
            <v:fill type="solid"/>
            <w10:wrap type="none"/>
          </v:rect>
        </w:pict>
      </w:r>
      <w:r>
        <w:rPr>
          <w:rFonts w:ascii="Tahoma"/>
        </w:rPr>
        <w:t>Pivot</w:t>
      </w:r>
      <w:r>
        <w:rPr>
          <w:rFonts w:ascii="Tahoma"/>
          <w:spacing w:val="-6"/>
        </w:rPr>
        <w:t> </w:t>
      </w:r>
      <w:r>
        <w:rPr>
          <w:rFonts w:ascii="Tahoma"/>
        </w:rPr>
        <w:t>=</w:t>
      </w:r>
      <w:r>
        <w:rPr>
          <w:rFonts w:ascii="Tahoma"/>
          <w:spacing w:val="-8"/>
        </w:rPr>
        <w:t> </w:t>
      </w:r>
      <w:r>
        <w:rPr>
          <w:rFonts w:ascii="Tahoma"/>
        </w:rPr>
        <w:t>(High</w:t>
      </w:r>
      <w:r>
        <w:rPr>
          <w:rFonts w:ascii="Tahoma"/>
          <w:spacing w:val="-8"/>
        </w:rPr>
        <w:t> </w:t>
      </w:r>
      <w:r>
        <w:rPr>
          <w:rFonts w:ascii="Tahoma"/>
        </w:rPr>
        <w:t>+</w:t>
      </w:r>
      <w:r>
        <w:rPr>
          <w:rFonts w:ascii="Tahoma"/>
          <w:spacing w:val="-8"/>
        </w:rPr>
        <w:t> </w:t>
      </w:r>
      <w:r>
        <w:rPr>
          <w:rFonts w:ascii="Tahoma"/>
        </w:rPr>
        <w:t>Low</w:t>
      </w:r>
      <w:r>
        <w:rPr>
          <w:rFonts w:ascii="Tahoma"/>
          <w:spacing w:val="-7"/>
        </w:rPr>
        <w:t> </w:t>
      </w:r>
      <w:r>
        <w:rPr>
          <w:rFonts w:ascii="Tahoma"/>
        </w:rPr>
        <w:t>+</w:t>
      </w:r>
      <w:r>
        <w:rPr>
          <w:rFonts w:ascii="Tahoma"/>
          <w:spacing w:val="-6"/>
        </w:rPr>
        <w:t> </w:t>
      </w:r>
      <w:r>
        <w:rPr>
          <w:rFonts w:ascii="Tahoma"/>
        </w:rPr>
        <w:t>Close)/3 BC = (High + Low)/2</w:t>
      </w:r>
    </w:p>
    <w:p>
      <w:pPr>
        <w:spacing w:before="0"/>
        <w:ind w:left="615" w:right="0" w:firstLine="0"/>
        <w:jc w:val="left"/>
        <w:rPr>
          <w:sz w:val="16"/>
        </w:rPr>
      </w:pPr>
      <w:r>
        <w:rPr>
          <w:sz w:val="16"/>
        </w:rPr>
        <w:t>TABLE</w:t>
      </w:r>
      <w:r>
        <w:rPr>
          <w:spacing w:val="5"/>
          <w:sz w:val="16"/>
        </w:rPr>
        <w:t> </w:t>
      </w:r>
      <w:r>
        <w:rPr>
          <w:sz w:val="16"/>
        </w:rPr>
        <w:t>6.1:</w:t>
      </w:r>
      <w:r>
        <w:rPr>
          <w:spacing w:val="5"/>
          <w:sz w:val="16"/>
        </w:rPr>
        <w:t> </w:t>
      </w:r>
      <w:r>
        <w:rPr>
          <w:sz w:val="16"/>
        </w:rPr>
        <w:t>Central</w:t>
      </w:r>
      <w:r>
        <w:rPr>
          <w:spacing w:val="5"/>
          <w:sz w:val="16"/>
        </w:rPr>
        <w:t> </w:t>
      </w:r>
      <w:r>
        <w:rPr>
          <w:sz w:val="16"/>
        </w:rPr>
        <w:t>Pivot</w:t>
      </w:r>
      <w:r>
        <w:rPr>
          <w:spacing w:val="5"/>
          <w:sz w:val="16"/>
        </w:rPr>
        <w:t> </w:t>
      </w:r>
      <w:r>
        <w:rPr>
          <w:sz w:val="16"/>
        </w:rPr>
        <w:t>Range</w:t>
      </w:r>
      <w:r>
        <w:rPr>
          <w:spacing w:val="5"/>
          <w:sz w:val="16"/>
        </w:rPr>
        <w:t> </w:t>
      </w:r>
      <w:r>
        <w:rPr>
          <w:spacing w:val="-2"/>
          <w:sz w:val="16"/>
        </w:rPr>
        <w:t>Formula</w:t>
      </w:r>
    </w:p>
    <w:p>
      <w:pPr>
        <w:pStyle w:val="BodyText"/>
        <w:spacing w:before="8"/>
        <w:rPr>
          <w:sz w:val="21"/>
        </w:rPr>
      </w:pPr>
    </w:p>
    <w:p>
      <w:pPr>
        <w:pStyle w:val="BodyText"/>
        <w:ind w:left="139" w:right="495" w:firstLine="432"/>
        <w:jc w:val="both"/>
      </w:pPr>
      <w:r>
        <w:rPr/>
        <w:t>It is important to note that I am referring to the level </w:t>
      </w:r>
      <w:r>
        <w:rPr>
          <w:i/>
        </w:rPr>
        <w:t>above </w:t>
      </w:r>
      <w:r>
        <w:rPr/>
        <w:t>the central pivot point as TC, while the level </w:t>
      </w:r>
      <w:r>
        <w:rPr>
          <w:i/>
        </w:rPr>
        <w:t>below </w:t>
      </w:r>
      <w:r>
        <w:rPr/>
        <w:t>the central pivot point is BC. However, depending on the market’s activity the prior day, the formulas for TC and BC may lead to the creation of the opposing pivot level. That is, at times, the formula for TC may in fact create the level for the bottom central pivot,</w:t>
      </w:r>
      <w:r>
        <w:rPr>
          <w:spacing w:val="-1"/>
        </w:rPr>
        <w:t> </w:t>
      </w:r>
      <w:r>
        <w:rPr/>
        <w:t>and the formula for BC would create the level for the top central pivot. This is just something to be aware of if you are calculating the pivots by hand.</w:t>
      </w:r>
      <w:r>
        <w:rPr>
          <w:spacing w:val="-1"/>
        </w:rPr>
        <w:t> </w:t>
      </w:r>
      <w:r>
        <w:rPr/>
        <w:t>Using</w:t>
      </w:r>
      <w:r>
        <w:rPr>
          <w:spacing w:val="-2"/>
        </w:rPr>
        <w:t> </w:t>
      </w:r>
      <w:r>
        <w:rPr/>
        <w:t>our</w:t>
      </w:r>
      <w:r>
        <w:rPr>
          <w:spacing w:val="-1"/>
        </w:rPr>
        <w:t> </w:t>
      </w:r>
      <w:r>
        <w:rPr/>
        <w:t>company’s</w:t>
      </w:r>
      <w:r>
        <w:rPr>
          <w:spacing w:val="-1"/>
        </w:rPr>
        <w:t> </w:t>
      </w:r>
      <w:r>
        <w:rPr/>
        <w:t>software,</w:t>
      </w:r>
      <w:r>
        <w:rPr>
          <w:spacing w:val="-1"/>
        </w:rPr>
        <w:t> </w:t>
      </w:r>
      <w:r>
        <w:rPr/>
        <w:t>however,</w:t>
      </w:r>
      <w:r>
        <w:rPr>
          <w:spacing w:val="-1"/>
        </w:rPr>
        <w:t> </w:t>
      </w:r>
      <w:r>
        <w:rPr/>
        <w:t>the</w:t>
      </w:r>
      <w:r>
        <w:rPr>
          <w:spacing w:val="-1"/>
        </w:rPr>
        <w:t> </w:t>
      </w:r>
      <w:r>
        <w:rPr/>
        <w:t>highest</w:t>
      </w:r>
      <w:r>
        <w:rPr>
          <w:spacing w:val="-1"/>
        </w:rPr>
        <w:t> </w:t>
      </w:r>
      <w:r>
        <w:rPr/>
        <w:t>level</w:t>
      </w:r>
      <w:r>
        <w:rPr>
          <w:spacing w:val="-1"/>
        </w:rPr>
        <w:t> </w:t>
      </w:r>
      <w:r>
        <w:rPr/>
        <w:t>of</w:t>
      </w:r>
      <w:r>
        <w:rPr>
          <w:spacing w:val="-1"/>
        </w:rPr>
        <w:t> </w:t>
      </w:r>
      <w:r>
        <w:rPr/>
        <w:t>the</w:t>
      </w:r>
      <w:r>
        <w:rPr>
          <w:spacing w:val="-1"/>
        </w:rPr>
        <w:t> </w:t>
      </w:r>
      <w:r>
        <w:rPr/>
        <w:t>two</w:t>
      </w:r>
      <w:r>
        <w:rPr>
          <w:spacing w:val="-1"/>
        </w:rPr>
        <w:t> </w:t>
      </w:r>
      <w:r>
        <w:rPr/>
        <w:t>is automatically designated TC, while the lowest level is always assigned the label of BC. This is done seamlessly behind the scenes.</w:t>
      </w:r>
    </w:p>
    <w:p>
      <w:pPr>
        <w:pStyle w:val="BodyText"/>
        <w:ind w:left="139" w:right="493" w:firstLine="432"/>
        <w:jc w:val="both"/>
      </w:pPr>
      <w:r>
        <w:rPr/>
        <w:t>Figure 6.1 illustrates the central pivot range along with the first layer of support and resistance. As I mentioned in Chapter 5, the central pivot range</w:t>
      </w:r>
      <w:r>
        <w:rPr>
          <w:spacing w:val="40"/>
        </w:rPr>
        <w:t> </w:t>
      </w:r>
      <w:r>
        <w:rPr/>
        <w:t>is not part of the traditional Floor Pivots indicator. The standard Floor Pivots indicator</w:t>
      </w:r>
      <w:r>
        <w:rPr>
          <w:spacing w:val="39"/>
        </w:rPr>
        <w:t> </w:t>
      </w:r>
      <w:r>
        <w:rPr/>
        <w:t>includes</w:t>
      </w:r>
      <w:r>
        <w:rPr>
          <w:spacing w:val="40"/>
        </w:rPr>
        <w:t> </w:t>
      </w:r>
      <w:r>
        <w:rPr/>
        <w:t>only</w:t>
      </w:r>
      <w:r>
        <w:rPr>
          <w:spacing w:val="39"/>
        </w:rPr>
        <w:t> </w:t>
      </w:r>
      <w:r>
        <w:rPr/>
        <w:t>the</w:t>
      </w:r>
      <w:r>
        <w:rPr>
          <w:spacing w:val="40"/>
        </w:rPr>
        <w:t> </w:t>
      </w:r>
      <w:r>
        <w:rPr/>
        <w:t>central</w:t>
      </w:r>
      <w:r>
        <w:rPr>
          <w:spacing w:val="40"/>
        </w:rPr>
        <w:t> </w:t>
      </w:r>
      <w:r>
        <w:rPr/>
        <w:t>pivot</w:t>
      </w:r>
      <w:r>
        <w:rPr>
          <w:spacing w:val="40"/>
        </w:rPr>
        <w:t> </w:t>
      </w:r>
      <w:r>
        <w:rPr/>
        <w:t>point,</w:t>
      </w:r>
      <w:r>
        <w:rPr>
          <w:spacing w:val="40"/>
        </w:rPr>
        <w:t> </w:t>
      </w:r>
      <w:r>
        <w:rPr/>
        <w:t>along</w:t>
      </w:r>
      <w:r>
        <w:rPr>
          <w:spacing w:val="40"/>
        </w:rPr>
        <w:t> </w:t>
      </w:r>
      <w:r>
        <w:rPr/>
        <w:t>with</w:t>
      </w:r>
      <w:r>
        <w:rPr>
          <w:spacing w:val="39"/>
        </w:rPr>
        <w:t> </w:t>
      </w:r>
      <w:r>
        <w:rPr/>
        <w:t>three</w:t>
      </w:r>
      <w:r>
        <w:rPr>
          <w:spacing w:val="40"/>
        </w:rPr>
        <w:t> </w:t>
      </w:r>
      <w:r>
        <w:rPr/>
        <w:t>levels</w:t>
      </w:r>
      <w:r>
        <w:rPr>
          <w:spacing w:val="40"/>
        </w:rPr>
        <w:t> </w:t>
      </w:r>
      <w:r>
        <w:rPr>
          <w:spacing w:val="-5"/>
        </w:rPr>
        <w:t>of</w:t>
      </w:r>
    </w:p>
    <w:p>
      <w:pPr>
        <w:spacing w:after="0"/>
        <w:jc w:val="both"/>
        <w:sectPr>
          <w:headerReference w:type="even" r:id="rId178"/>
          <w:headerReference w:type="default" r:id="rId179"/>
          <w:pgSz w:w="8640" w:h="12960"/>
          <w:pgMar w:header="579" w:footer="1060" w:top="760" w:bottom="1260" w:left="580" w:right="580"/>
        </w:sectPr>
      </w:pPr>
    </w:p>
    <w:p>
      <w:pPr>
        <w:pStyle w:val="BodyText"/>
        <w:spacing w:before="3"/>
      </w:pPr>
    </w:p>
    <w:p>
      <w:pPr>
        <w:pStyle w:val="BodyText"/>
        <w:spacing w:before="64"/>
        <w:ind w:left="500" w:right="135"/>
        <w:jc w:val="both"/>
      </w:pPr>
      <w:r>
        <w:rPr/>
        <w:t>support and three levels of resistance. When our company decided to include the Floor Pivots to our base indicator library for our customers many years ago, I decided to include the pivot range to the indicator to create a more dynamic</w:t>
      </w:r>
      <w:r>
        <w:rPr>
          <w:spacing w:val="-3"/>
        </w:rPr>
        <w:t> </w:t>
      </w:r>
      <w:r>
        <w:rPr/>
        <w:t>and</w:t>
      </w:r>
      <w:r>
        <w:rPr>
          <w:spacing w:val="-3"/>
        </w:rPr>
        <w:t> </w:t>
      </w:r>
      <w:r>
        <w:rPr/>
        <w:t>unique</w:t>
      </w:r>
      <w:r>
        <w:rPr>
          <w:spacing w:val="-3"/>
        </w:rPr>
        <w:t> </w:t>
      </w:r>
      <w:r>
        <w:rPr/>
        <w:t>trading</w:t>
      </w:r>
      <w:r>
        <w:rPr>
          <w:spacing w:val="-3"/>
        </w:rPr>
        <w:t> </w:t>
      </w:r>
      <w:r>
        <w:rPr/>
        <w:t>tool.</w:t>
      </w:r>
      <w:r>
        <w:rPr>
          <w:spacing w:val="-3"/>
        </w:rPr>
        <w:t> </w:t>
      </w:r>
      <w:r>
        <w:rPr/>
        <w:t>By</w:t>
      </w:r>
      <w:r>
        <w:rPr>
          <w:spacing w:val="-3"/>
        </w:rPr>
        <w:t> </w:t>
      </w:r>
      <w:r>
        <w:rPr/>
        <w:t>adding</w:t>
      </w:r>
      <w:r>
        <w:rPr>
          <w:spacing w:val="-3"/>
        </w:rPr>
        <w:t> </w:t>
      </w:r>
      <w:r>
        <w:rPr/>
        <w:t>this</w:t>
      </w:r>
      <w:r>
        <w:rPr>
          <w:spacing w:val="-3"/>
        </w:rPr>
        <w:t> </w:t>
      </w:r>
      <w:r>
        <w:rPr/>
        <w:t>range,</w:t>
      </w:r>
      <w:r>
        <w:rPr>
          <w:spacing w:val="-3"/>
        </w:rPr>
        <w:t> </w:t>
      </w:r>
      <w:r>
        <w:rPr/>
        <w:t>the</w:t>
      </w:r>
      <w:r>
        <w:rPr>
          <w:spacing w:val="-3"/>
        </w:rPr>
        <w:t> </w:t>
      </w:r>
      <w:r>
        <w:rPr/>
        <w:t>indicator</w:t>
      </w:r>
      <w:r>
        <w:rPr>
          <w:spacing w:val="-3"/>
        </w:rPr>
        <w:t> </w:t>
      </w:r>
      <w:r>
        <w:rPr/>
        <w:t>becomes exponentially more valuable in helping traders keep an edge over their </w:t>
      </w:r>
      <w:r>
        <w:rPr>
          <w:spacing w:val="-2"/>
        </w:rPr>
        <w:t>competition.</w:t>
      </w:r>
    </w:p>
    <w:p>
      <w:pPr>
        <w:pStyle w:val="BodyText"/>
        <w:spacing w:before="1"/>
        <w:rPr>
          <w:sz w:val="20"/>
        </w:rPr>
      </w:pPr>
      <w:r>
        <w:rPr/>
        <w:pict>
          <v:group style="position:absolute;margin-left:80.625pt;margin-top:12.796844pt;width:288.75pt;height:206.05pt;mso-position-horizontal-relative:page;mso-position-vertical-relative:paragraph;z-index:-15644672;mso-wrap-distance-left:0;mso-wrap-distance-right:0" id="docshapegroup503" coordorigin="1613,256" coordsize="5775,4121">
            <v:rect style="position:absolute;left:1621;top:263;width:5759;height:4106" id="docshape504" filled="false" stroked="true" strokeweight=".75pt" strokecolor="#000000">
              <v:stroke dashstyle="solid"/>
            </v:rect>
            <v:line style="position:absolute" from="3554,1071" to="6054,1072" stroked="true" strokeweight=".75pt" strokecolor="#000000">
              <v:stroke dashstyle="solid"/>
            </v:line>
            <v:line style="position:absolute" from="3554,4113" to="6054,4113" stroked="true" strokeweight=".75pt" strokecolor="#000000">
              <v:stroke dashstyle="solid"/>
            </v:line>
            <v:line style="position:absolute" from="3554,2228" to="6054,2228" stroked="true" strokeweight=".75pt" strokecolor="#000000">
              <v:stroke dashstyle="solid"/>
            </v:line>
            <v:line style="position:absolute" from="3554,2948" to="6054,2948" stroked="true" strokeweight=".75pt" strokecolor="#000000">
              <v:stroke dashstyle="solid"/>
            </v:line>
            <v:line style="position:absolute" from="3554,2596" to="6054,2596" stroked="true" strokeweight=".75pt" strokecolor="#000000">
              <v:stroke dashstyle="solid"/>
            </v:line>
            <v:rect style="position:absolute;left:1620;top:273;width:5759;height:527" id="docshape505" filled="false" stroked="true" strokeweight=".75pt" strokecolor="#000000">
              <v:stroke dashstyle="solid"/>
            </v:rect>
            <v:shape style="position:absolute;left:3098;top:4041;width:241;height:201" type="#_x0000_t202" id="docshape506" filled="false" stroked="false">
              <v:textbox inset="0,0,0,0">
                <w:txbxContent>
                  <w:p>
                    <w:pPr>
                      <w:spacing w:line="199" w:lineRule="exact" w:before="0"/>
                      <w:ind w:left="0" w:right="0" w:firstLine="0"/>
                      <w:jc w:val="left"/>
                      <w:rPr>
                        <w:rFonts w:ascii="Tahoma"/>
                        <w:sz w:val="20"/>
                      </w:rPr>
                    </w:pPr>
                    <w:r>
                      <w:rPr>
                        <w:rFonts w:ascii="Tahoma"/>
                        <w:spacing w:val="-5"/>
                        <w:sz w:val="20"/>
                      </w:rPr>
                      <w:t>S1</w:t>
                    </w:r>
                  </w:p>
                </w:txbxContent>
              </v:textbox>
              <w10:wrap type="none"/>
            </v:shape>
            <v:shape style="position:absolute;left:2750;top:2157;width:607;height:915" type="#_x0000_t202" id="docshape507" filled="false" stroked="false">
              <v:textbox inset="0,0,0,0">
                <w:txbxContent>
                  <w:p>
                    <w:pPr>
                      <w:spacing w:line="199" w:lineRule="exact" w:before="0"/>
                      <w:ind w:left="0" w:right="18" w:firstLine="0"/>
                      <w:jc w:val="right"/>
                      <w:rPr>
                        <w:rFonts w:ascii="Tahoma"/>
                        <w:sz w:val="20"/>
                      </w:rPr>
                    </w:pPr>
                    <w:r>
                      <w:rPr>
                        <w:rFonts w:ascii="Tahoma"/>
                        <w:spacing w:val="-5"/>
                        <w:sz w:val="20"/>
                      </w:rPr>
                      <w:t>TC</w:t>
                    </w:r>
                  </w:p>
                  <w:p>
                    <w:pPr>
                      <w:spacing w:before="115"/>
                      <w:ind w:left="0" w:right="40" w:firstLine="0"/>
                      <w:jc w:val="right"/>
                      <w:rPr>
                        <w:rFonts w:ascii="Tahoma"/>
                        <w:sz w:val="20"/>
                      </w:rPr>
                    </w:pPr>
                    <w:r>
                      <w:rPr>
                        <w:rFonts w:ascii="Tahoma"/>
                        <w:spacing w:val="-2"/>
                        <w:sz w:val="20"/>
                      </w:rPr>
                      <w:t>PIVOT</w:t>
                    </w:r>
                  </w:p>
                  <w:p>
                    <w:pPr>
                      <w:spacing w:before="116"/>
                      <w:ind w:left="0" w:right="27" w:firstLine="0"/>
                      <w:jc w:val="right"/>
                      <w:rPr>
                        <w:rFonts w:ascii="Tahoma"/>
                        <w:sz w:val="20"/>
                      </w:rPr>
                    </w:pPr>
                    <w:r>
                      <w:rPr>
                        <w:rFonts w:ascii="Tahoma"/>
                        <w:spacing w:val="-5"/>
                        <w:sz w:val="20"/>
                      </w:rPr>
                      <w:t>BC</w:t>
                    </w:r>
                  </w:p>
                </w:txbxContent>
              </v:textbox>
              <w10:wrap type="none"/>
            </v:shape>
            <v:shape style="position:absolute;left:3084;top:999;width:255;height:201" type="#_x0000_t202" id="docshape508" filled="false" stroked="false">
              <v:textbox inset="0,0,0,0">
                <w:txbxContent>
                  <w:p>
                    <w:pPr>
                      <w:spacing w:line="199" w:lineRule="exact" w:before="0"/>
                      <w:ind w:left="0" w:right="0" w:firstLine="0"/>
                      <w:jc w:val="left"/>
                      <w:rPr>
                        <w:rFonts w:ascii="Tahoma"/>
                        <w:sz w:val="20"/>
                      </w:rPr>
                    </w:pPr>
                    <w:r>
                      <w:rPr>
                        <w:rFonts w:ascii="Tahoma"/>
                        <w:spacing w:val="-5"/>
                        <w:sz w:val="20"/>
                      </w:rPr>
                      <w:t>R1</w:t>
                    </w:r>
                  </w:p>
                </w:txbxContent>
              </v:textbox>
              <w10:wrap type="none"/>
            </v:shape>
            <v:shape style="position:absolute;left:1620;top:273;width:5759;height:527" type="#_x0000_t202" id="docshape509" filled="true" fillcolor="#000000" stroked="false">
              <v:textbox inset="0,0,0,0">
                <w:txbxContent>
                  <w:p>
                    <w:pPr>
                      <w:spacing w:before="77"/>
                      <w:ind w:left="1181" w:right="0" w:firstLine="0"/>
                      <w:jc w:val="left"/>
                      <w:rPr>
                        <w:rFonts w:ascii="Verdana"/>
                        <w:color w:val="000000"/>
                        <w:sz w:val="28"/>
                      </w:rPr>
                    </w:pPr>
                    <w:r>
                      <w:rPr>
                        <w:rFonts w:ascii="Verdana"/>
                        <w:color w:val="FFFFFF"/>
                        <w:sz w:val="28"/>
                      </w:rPr>
                      <w:t>The</w:t>
                    </w:r>
                    <w:r>
                      <w:rPr>
                        <w:rFonts w:ascii="Verdana"/>
                        <w:color w:val="FFFFFF"/>
                        <w:spacing w:val="-12"/>
                        <w:sz w:val="28"/>
                      </w:rPr>
                      <w:t> </w:t>
                    </w:r>
                    <w:r>
                      <w:rPr>
                        <w:rFonts w:ascii="Verdana"/>
                        <w:color w:val="FFFFFF"/>
                        <w:sz w:val="28"/>
                      </w:rPr>
                      <w:t>Central</w:t>
                    </w:r>
                    <w:r>
                      <w:rPr>
                        <w:rFonts w:ascii="Verdana"/>
                        <w:color w:val="FFFFFF"/>
                        <w:spacing w:val="-12"/>
                        <w:sz w:val="28"/>
                      </w:rPr>
                      <w:t> </w:t>
                    </w:r>
                    <w:r>
                      <w:rPr>
                        <w:rFonts w:ascii="Verdana"/>
                        <w:color w:val="FFFFFF"/>
                        <w:sz w:val="28"/>
                      </w:rPr>
                      <w:t>Pivot</w:t>
                    </w:r>
                    <w:r>
                      <w:rPr>
                        <w:rFonts w:ascii="Verdana"/>
                        <w:color w:val="FFFFFF"/>
                        <w:spacing w:val="-12"/>
                        <w:sz w:val="28"/>
                      </w:rPr>
                      <w:t> </w:t>
                    </w:r>
                    <w:r>
                      <w:rPr>
                        <w:rFonts w:ascii="Verdana"/>
                        <w:color w:val="FFFFFF"/>
                        <w:spacing w:val="-2"/>
                        <w:sz w:val="28"/>
                      </w:rPr>
                      <w:t>Range</w:t>
                    </w:r>
                  </w:p>
                </w:txbxContent>
              </v:textbox>
              <v:fill type="solid"/>
              <w10:wrap type="none"/>
            </v:shape>
            <w10:wrap type="topAndBottom"/>
          </v:group>
        </w:pict>
      </w:r>
    </w:p>
    <w:p>
      <w:pPr>
        <w:spacing w:before="0"/>
        <w:ind w:left="975" w:right="0" w:firstLine="0"/>
        <w:jc w:val="left"/>
        <w:rPr>
          <w:sz w:val="16"/>
        </w:rPr>
      </w:pPr>
      <w:r>
        <w:rPr>
          <w:sz w:val="16"/>
        </w:rPr>
        <w:t>FIGURE</w:t>
      </w:r>
      <w:r>
        <w:rPr>
          <w:spacing w:val="1"/>
          <w:sz w:val="16"/>
        </w:rPr>
        <w:t> </w:t>
      </w:r>
      <w:r>
        <w:rPr>
          <w:sz w:val="16"/>
        </w:rPr>
        <w:t>6.1:</w:t>
      </w:r>
      <w:r>
        <w:rPr>
          <w:spacing w:val="2"/>
          <w:sz w:val="16"/>
        </w:rPr>
        <w:t> </w:t>
      </w:r>
      <w:r>
        <w:rPr>
          <w:sz w:val="16"/>
        </w:rPr>
        <w:t>The</w:t>
      </w:r>
      <w:r>
        <w:rPr>
          <w:spacing w:val="2"/>
          <w:sz w:val="16"/>
        </w:rPr>
        <w:t> </w:t>
      </w:r>
      <w:r>
        <w:rPr>
          <w:sz w:val="16"/>
        </w:rPr>
        <w:t>centrals</w:t>
      </w:r>
      <w:r>
        <w:rPr>
          <w:spacing w:val="2"/>
          <w:sz w:val="16"/>
        </w:rPr>
        <w:t> </w:t>
      </w:r>
      <w:r>
        <w:rPr>
          <w:sz w:val="16"/>
        </w:rPr>
        <w:t>with</w:t>
      </w:r>
      <w:r>
        <w:rPr>
          <w:spacing w:val="1"/>
          <w:sz w:val="16"/>
        </w:rPr>
        <w:t> </w:t>
      </w:r>
      <w:r>
        <w:rPr>
          <w:sz w:val="16"/>
        </w:rPr>
        <w:t>the</w:t>
      </w:r>
      <w:r>
        <w:rPr>
          <w:spacing w:val="1"/>
          <w:sz w:val="16"/>
        </w:rPr>
        <w:t> </w:t>
      </w:r>
      <w:r>
        <w:rPr>
          <w:sz w:val="16"/>
        </w:rPr>
        <w:t>first</w:t>
      </w:r>
      <w:r>
        <w:rPr>
          <w:spacing w:val="1"/>
          <w:sz w:val="16"/>
        </w:rPr>
        <w:t> </w:t>
      </w:r>
      <w:r>
        <w:rPr>
          <w:sz w:val="16"/>
        </w:rPr>
        <w:t>layer</w:t>
      </w:r>
      <w:r>
        <w:rPr>
          <w:spacing w:val="1"/>
          <w:sz w:val="16"/>
        </w:rPr>
        <w:t> </w:t>
      </w:r>
      <w:r>
        <w:rPr>
          <w:sz w:val="16"/>
        </w:rPr>
        <w:t>of</w:t>
      </w:r>
      <w:r>
        <w:rPr>
          <w:spacing w:val="1"/>
          <w:sz w:val="16"/>
        </w:rPr>
        <w:t> </w:t>
      </w:r>
      <w:r>
        <w:rPr>
          <w:sz w:val="16"/>
        </w:rPr>
        <w:t>support</w:t>
      </w:r>
      <w:r>
        <w:rPr>
          <w:spacing w:val="1"/>
          <w:sz w:val="16"/>
        </w:rPr>
        <w:t> </w:t>
      </w:r>
      <w:r>
        <w:rPr>
          <w:sz w:val="16"/>
        </w:rPr>
        <w:t>and</w:t>
      </w:r>
      <w:r>
        <w:rPr>
          <w:spacing w:val="1"/>
          <w:sz w:val="16"/>
        </w:rPr>
        <w:t> </w:t>
      </w:r>
      <w:r>
        <w:rPr>
          <w:spacing w:val="-2"/>
          <w:sz w:val="16"/>
        </w:rPr>
        <w:t>resistance</w:t>
      </w:r>
    </w:p>
    <w:p>
      <w:pPr>
        <w:pStyle w:val="BodyText"/>
        <w:spacing w:before="8"/>
        <w:rPr>
          <w:sz w:val="21"/>
        </w:rPr>
      </w:pPr>
    </w:p>
    <w:p>
      <w:pPr>
        <w:pStyle w:val="BodyText"/>
        <w:ind w:left="500" w:right="136" w:firstLine="432"/>
        <w:jc w:val="both"/>
      </w:pPr>
      <w:r>
        <w:rPr/>
        <w:t>To my knowledge, we were the first company to release this version of the indicator to the trading public. Due to this fact, I have provided the code for the central pivot range indicator (file name: iCentralPivotRange) in Appendix B since this indicator may not be included in your platform’s base indicator library. The CPR indicator solely plots the pivot range without the support and resistance levels, thereby reducing the clutter and allowing you</w:t>
      </w:r>
      <w:r>
        <w:rPr>
          <w:spacing w:val="40"/>
        </w:rPr>
        <w:t> </w:t>
      </w:r>
      <w:r>
        <w:rPr/>
        <w:t>to focus on important pivot range analysis, which will be a huge emphasis in this chapter.</w:t>
      </w:r>
    </w:p>
    <w:p>
      <w:pPr>
        <w:pStyle w:val="BodyText"/>
        <w:spacing w:before="10"/>
        <w:rPr>
          <w:sz w:val="21"/>
        </w:rPr>
      </w:pPr>
    </w:p>
    <w:p>
      <w:pPr>
        <w:pStyle w:val="Heading3"/>
        <w:ind w:left="500"/>
        <w:jc w:val="both"/>
      </w:pPr>
      <w:r>
        <w:rPr/>
        <w:pict>
          <v:shape style="position:absolute;margin-left:54.779999pt;margin-top:18.290308pt;width:341pt;height:.1pt;mso-position-horizontal-relative:page;mso-position-vertical-relative:paragraph;z-index:-15644160;mso-wrap-distance-left:0;mso-wrap-distance-right:0" id="docshape510" coordorigin="1096,366" coordsize="6820,0" path="m1096,366l7915,366e" filled="false" stroked="true" strokeweight=".75pt" strokecolor="#000000">
            <v:path arrowok="t"/>
            <v:stroke dashstyle="solid"/>
            <w10:wrap type="topAndBottom"/>
          </v:shape>
        </w:pict>
      </w:r>
      <w:bookmarkStart w:name="_TOC_250040" w:id="51"/>
      <w:r>
        <w:rPr>
          <w:smallCaps/>
        </w:rPr>
        <w:t>The</w:t>
      </w:r>
      <w:r>
        <w:rPr>
          <w:smallCaps/>
          <w:spacing w:val="-10"/>
        </w:rPr>
        <w:t> </w:t>
      </w:r>
      <w:r>
        <w:rPr>
          <w:smallCaps/>
        </w:rPr>
        <w:t>Developing</w:t>
      </w:r>
      <w:r>
        <w:rPr>
          <w:smallCaps/>
          <w:spacing w:val="-10"/>
        </w:rPr>
        <w:t> </w:t>
      </w:r>
      <w:r>
        <w:rPr>
          <w:smallCaps/>
        </w:rPr>
        <w:t>Pivot</w:t>
      </w:r>
      <w:r>
        <w:rPr>
          <w:smallCaps/>
          <w:spacing w:val="-13"/>
        </w:rPr>
        <w:t> </w:t>
      </w:r>
      <w:bookmarkEnd w:id="51"/>
      <w:r>
        <w:rPr>
          <w:smallCaps/>
          <w:spacing w:val="-4"/>
        </w:rPr>
        <w:t>Range</w:t>
      </w:r>
    </w:p>
    <w:p>
      <w:pPr>
        <w:pStyle w:val="BodyText"/>
        <w:spacing w:before="202"/>
        <w:ind w:left="499" w:right="137" w:firstLine="432"/>
        <w:jc w:val="both"/>
      </w:pPr>
      <w:r>
        <w:rPr/>
        <w:t>In keeping with the theme of the developing Money Zone indicators, I conceptualized the idea for creating a developing pivot range indicator that shows the central pivot range as it dynamically develops throughout the day.</w:t>
      </w:r>
      <w:r>
        <w:rPr>
          <w:spacing w:val="40"/>
        </w:rPr>
        <w:t> </w:t>
      </w:r>
      <w:r>
        <w:rPr/>
        <w:t>I typically code my own VBA indicators, systems, and stops because our scripting</w:t>
      </w:r>
      <w:r>
        <w:rPr>
          <w:spacing w:val="24"/>
        </w:rPr>
        <w:t> </w:t>
      </w:r>
      <w:r>
        <w:rPr/>
        <w:t>language</w:t>
      </w:r>
      <w:r>
        <w:rPr>
          <w:spacing w:val="24"/>
        </w:rPr>
        <w:t> </w:t>
      </w:r>
      <w:r>
        <w:rPr/>
        <w:t>is</w:t>
      </w:r>
      <w:r>
        <w:rPr>
          <w:spacing w:val="24"/>
        </w:rPr>
        <w:t> </w:t>
      </w:r>
      <w:r>
        <w:rPr/>
        <w:t>easy</w:t>
      </w:r>
      <w:r>
        <w:rPr>
          <w:spacing w:val="24"/>
        </w:rPr>
        <w:t> </w:t>
      </w:r>
      <w:r>
        <w:rPr/>
        <w:t>to</w:t>
      </w:r>
      <w:r>
        <w:rPr>
          <w:spacing w:val="25"/>
        </w:rPr>
        <w:t> </w:t>
      </w:r>
      <w:r>
        <w:rPr/>
        <w:t>learn</w:t>
      </w:r>
      <w:r>
        <w:rPr>
          <w:spacing w:val="24"/>
        </w:rPr>
        <w:t> </w:t>
      </w:r>
      <w:r>
        <w:rPr/>
        <w:t>and</w:t>
      </w:r>
      <w:r>
        <w:rPr>
          <w:spacing w:val="24"/>
        </w:rPr>
        <w:t> </w:t>
      </w:r>
      <w:r>
        <w:rPr/>
        <w:t>is</w:t>
      </w:r>
      <w:r>
        <w:rPr>
          <w:spacing w:val="24"/>
        </w:rPr>
        <w:t> </w:t>
      </w:r>
      <w:r>
        <w:rPr/>
        <w:t>quite</w:t>
      </w:r>
      <w:r>
        <w:rPr>
          <w:spacing w:val="25"/>
        </w:rPr>
        <w:t> </w:t>
      </w:r>
      <w:r>
        <w:rPr/>
        <w:t>efficient</w:t>
      </w:r>
      <w:r>
        <w:rPr>
          <w:spacing w:val="22"/>
        </w:rPr>
        <w:t> </w:t>
      </w:r>
      <w:r>
        <w:rPr/>
        <w:t>compared</w:t>
      </w:r>
      <w:r>
        <w:rPr>
          <w:spacing w:val="25"/>
        </w:rPr>
        <w:t> </w:t>
      </w:r>
      <w:r>
        <w:rPr/>
        <w:t>to</w:t>
      </w:r>
      <w:r>
        <w:rPr>
          <w:spacing w:val="24"/>
        </w:rPr>
        <w:t> </w:t>
      </w:r>
      <w:r>
        <w:rPr>
          <w:spacing w:val="-2"/>
        </w:rPr>
        <w:t>other</w:t>
      </w:r>
    </w:p>
    <w:p>
      <w:pPr>
        <w:spacing w:after="0"/>
        <w:jc w:val="both"/>
        <w:sectPr>
          <w:footerReference w:type="default" r:id="rId180"/>
          <w:footerReference w:type="even" r:id="rId181"/>
          <w:pgSz w:w="8640" w:h="12960"/>
          <w:pgMar w:footer="1060" w:header="536" w:top="720" w:bottom="1260" w:left="580" w:right="580"/>
          <w:pgNumType w:start="137"/>
        </w:sectPr>
      </w:pPr>
    </w:p>
    <w:p>
      <w:pPr>
        <w:pStyle w:val="BodyText"/>
        <w:spacing w:before="5"/>
        <w:rPr>
          <w:sz w:val="18"/>
        </w:rPr>
      </w:pPr>
    </w:p>
    <w:p>
      <w:pPr>
        <w:pStyle w:val="BodyText"/>
        <w:spacing w:before="64"/>
        <w:ind w:left="140" w:right="496"/>
        <w:jc w:val="both"/>
      </w:pPr>
      <w:r>
        <w:rPr/>
        <w:t>trading platforms. In this case, however, I asked one of our company’s</w:t>
      </w:r>
      <w:r>
        <w:rPr>
          <w:spacing w:val="80"/>
        </w:rPr>
        <w:t> </w:t>
      </w:r>
      <w:r>
        <w:rPr/>
        <w:t>bright, young developers to code the indicator for me, as this particular script was a bit beyond my capabilities. Needless to say, I was ecstatic when I received the code that very same day!</w:t>
      </w:r>
    </w:p>
    <w:p>
      <w:pPr>
        <w:pStyle w:val="BodyText"/>
        <w:ind w:left="139" w:right="496" w:firstLine="432"/>
        <w:jc w:val="both"/>
      </w:pPr>
      <w:r>
        <w:rPr/>
        <w:t>The</w:t>
      </w:r>
      <w:r>
        <w:rPr>
          <w:spacing w:val="-4"/>
        </w:rPr>
        <w:t> </w:t>
      </w:r>
      <w:r>
        <w:rPr>
          <w:i/>
        </w:rPr>
        <w:t>Developing</w:t>
      </w:r>
      <w:r>
        <w:rPr>
          <w:i/>
          <w:spacing w:val="-4"/>
        </w:rPr>
        <w:t> </w:t>
      </w:r>
      <w:r>
        <w:rPr>
          <w:i/>
        </w:rPr>
        <w:t>Pivot</w:t>
      </w:r>
      <w:r>
        <w:rPr>
          <w:i/>
          <w:spacing w:val="-4"/>
        </w:rPr>
        <w:t> </w:t>
      </w:r>
      <w:r>
        <w:rPr>
          <w:i/>
        </w:rPr>
        <w:t>Range</w:t>
      </w:r>
      <w:r>
        <w:rPr>
          <w:i/>
          <w:spacing w:val="-4"/>
        </w:rPr>
        <w:t> </w:t>
      </w:r>
      <w:r>
        <w:rPr>
          <w:i/>
        </w:rPr>
        <w:t>(DPR)</w:t>
      </w:r>
      <w:r>
        <w:rPr>
          <w:i/>
          <w:spacing w:val="-5"/>
        </w:rPr>
        <w:t> </w:t>
      </w:r>
      <w:r>
        <w:rPr/>
        <w:t>indicator</w:t>
      </w:r>
      <w:r>
        <w:rPr>
          <w:spacing w:val="-4"/>
        </w:rPr>
        <w:t> </w:t>
      </w:r>
      <w:r>
        <w:rPr/>
        <w:t>dynamically</w:t>
      </w:r>
      <w:r>
        <w:rPr>
          <w:spacing w:val="-4"/>
        </w:rPr>
        <w:t> </w:t>
      </w:r>
      <w:r>
        <w:rPr/>
        <w:t>calculates</w:t>
      </w:r>
      <w:r>
        <w:rPr>
          <w:spacing w:val="-4"/>
        </w:rPr>
        <w:t> </w:t>
      </w:r>
      <w:r>
        <w:rPr/>
        <w:t>the central pivot range in real time as new data enters the market bar by bar. Essentially, this indicator allows you to see the “meat of the market” as the day’s trading</w:t>
      </w:r>
      <w:r>
        <w:rPr>
          <w:spacing w:val="-1"/>
        </w:rPr>
        <w:t> </w:t>
      </w:r>
      <w:r>
        <w:rPr/>
        <w:t>activity is taking place. More importantly, however, the closing values for the indicator tell you where the central pivot range will be located for the following session, which paves the way for analyzing extremely important two-day pivot range relationships and key width characteristics. Having this information in advance allows us to prepare properly for the upcoming session. After all, preparation is paramount to trading success.</w:t>
      </w:r>
      <w:r>
        <w:rPr>
          <w:spacing w:val="40"/>
        </w:rPr>
        <w:t> </w:t>
      </w:r>
      <w:r>
        <w:rPr/>
        <w:t>This indicator offers an extremely powerful way of viewing the pivot range and I’m happy to share the code with you in Appendix B (file name: </w:t>
      </w:r>
      <w:r>
        <w:rPr>
          <w:spacing w:val="-2"/>
        </w:rPr>
        <w:t>iDevPivotRange).</w:t>
      </w:r>
    </w:p>
    <w:p>
      <w:pPr>
        <w:pStyle w:val="BodyText"/>
        <w:spacing w:before="2"/>
        <w:rPr>
          <w:sz w:val="20"/>
        </w:rPr>
      </w:pPr>
      <w:r>
        <w:rPr/>
        <w:drawing>
          <wp:anchor distT="0" distB="0" distL="0" distR="0" allowOverlap="1" layoutInCell="1" locked="0" behindDoc="0" simplePos="0" relativeHeight="166">
            <wp:simplePos x="0" y="0"/>
            <wp:positionH relativeFrom="page">
              <wp:posOffset>457200</wp:posOffset>
            </wp:positionH>
            <wp:positionV relativeFrom="paragraph">
              <wp:posOffset>162641</wp:posOffset>
            </wp:positionV>
            <wp:extent cx="4342239" cy="3111722"/>
            <wp:effectExtent l="0" t="0" r="0" b="0"/>
            <wp:wrapTopAndBottom/>
            <wp:docPr id="143" name="image73.png"/>
            <wp:cNvGraphicFramePr>
              <a:graphicFrameLocks noChangeAspect="1"/>
            </wp:cNvGraphicFramePr>
            <a:graphic>
              <a:graphicData uri="http://schemas.openxmlformats.org/drawingml/2006/picture">
                <pic:pic>
                  <pic:nvPicPr>
                    <pic:cNvPr id="144" name="image73.png"/>
                    <pic:cNvPicPr/>
                  </pic:nvPicPr>
                  <pic:blipFill>
                    <a:blip r:embed="rId182"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6.2:</w:t>
      </w:r>
      <w:r>
        <w:rPr>
          <w:spacing w:val="1"/>
          <w:sz w:val="16"/>
        </w:rPr>
        <w:t> </w:t>
      </w:r>
      <w:r>
        <w:rPr>
          <w:sz w:val="16"/>
        </w:rPr>
        <w:t>The</w:t>
      </w:r>
      <w:r>
        <w:rPr>
          <w:spacing w:val="1"/>
          <w:sz w:val="16"/>
        </w:rPr>
        <w:t> </w:t>
      </w:r>
      <w:r>
        <w:rPr>
          <w:sz w:val="16"/>
        </w:rPr>
        <w:t>DPR indicator allows you to see the</w:t>
      </w:r>
      <w:r>
        <w:rPr>
          <w:spacing w:val="1"/>
          <w:sz w:val="16"/>
        </w:rPr>
        <w:t> </w:t>
      </w:r>
      <w:r>
        <w:rPr>
          <w:sz w:val="16"/>
        </w:rPr>
        <w:t>pivot range for the next </w:t>
      </w:r>
      <w:r>
        <w:rPr>
          <w:spacing w:val="-4"/>
          <w:sz w:val="16"/>
        </w:rPr>
        <w:t>day.</w:t>
      </w:r>
    </w:p>
    <w:p>
      <w:pPr>
        <w:pStyle w:val="BodyText"/>
        <w:spacing w:before="9"/>
        <w:rPr>
          <w:sz w:val="21"/>
        </w:rPr>
      </w:pPr>
    </w:p>
    <w:p>
      <w:pPr>
        <w:pStyle w:val="BodyText"/>
        <w:ind w:left="140" w:right="497" w:firstLine="432"/>
        <w:jc w:val="both"/>
      </w:pPr>
      <w:r>
        <w:rPr/>
        <w:t>Figure 6.2 shows the developing pivot range indicator plotted on a five- minute chart of the Mini-Sized Dow futures contract. Notice how the central pivot</w:t>
      </w:r>
      <w:r>
        <w:rPr>
          <w:spacing w:val="24"/>
        </w:rPr>
        <w:t> </w:t>
      </w:r>
      <w:r>
        <w:rPr/>
        <w:t>range</w:t>
      </w:r>
      <w:r>
        <w:rPr>
          <w:spacing w:val="24"/>
        </w:rPr>
        <w:t> </w:t>
      </w:r>
      <w:r>
        <w:rPr/>
        <w:t>dynamically</w:t>
      </w:r>
      <w:r>
        <w:rPr>
          <w:spacing w:val="24"/>
        </w:rPr>
        <w:t> </w:t>
      </w:r>
      <w:r>
        <w:rPr/>
        <w:t>updates</w:t>
      </w:r>
      <w:r>
        <w:rPr>
          <w:spacing w:val="24"/>
        </w:rPr>
        <w:t> </w:t>
      </w:r>
      <w:r>
        <w:rPr/>
        <w:t>throughout</w:t>
      </w:r>
      <w:r>
        <w:rPr>
          <w:spacing w:val="24"/>
        </w:rPr>
        <w:t> </w:t>
      </w:r>
      <w:r>
        <w:rPr/>
        <w:t>the</w:t>
      </w:r>
      <w:r>
        <w:rPr>
          <w:spacing w:val="24"/>
        </w:rPr>
        <w:t> </w:t>
      </w:r>
      <w:r>
        <w:rPr/>
        <w:t>session</w:t>
      </w:r>
      <w:r>
        <w:rPr>
          <w:spacing w:val="24"/>
        </w:rPr>
        <w:t> </w:t>
      </w:r>
      <w:r>
        <w:rPr/>
        <w:t>as</w:t>
      </w:r>
      <w:r>
        <w:rPr>
          <w:spacing w:val="24"/>
        </w:rPr>
        <w:t> </w:t>
      </w:r>
      <w:r>
        <w:rPr/>
        <w:t>new</w:t>
      </w:r>
      <w:r>
        <w:rPr>
          <w:spacing w:val="24"/>
        </w:rPr>
        <w:t> </w:t>
      </w:r>
      <w:r>
        <w:rPr/>
        <w:t>data</w:t>
      </w:r>
      <w:r>
        <w:rPr>
          <w:spacing w:val="24"/>
        </w:rPr>
        <w:t> </w:t>
      </w:r>
      <w:r>
        <w:rPr/>
        <w:t>enters</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6"/>
        <w:jc w:val="both"/>
      </w:pPr>
      <w:r>
        <w:rPr/>
        <w:t>the market. Pay special attention to where the indicator closes the session, however, as these ending values will become the levels for the static central pivot range for the following day. That is, the levels for tomorrow’s central pivot range are derived from the ending values of the developing pivot range indicator. Therefore, looking at the chart shows the developing values closed February 16 from 10,595 to 10,614, which essentially became the levels for the static pivot range for the following day, February 17.</w:t>
      </w:r>
    </w:p>
    <w:p>
      <w:pPr>
        <w:pStyle w:val="BodyText"/>
        <w:ind w:left="500" w:right="134" w:firstLine="432"/>
        <w:jc w:val="both"/>
      </w:pPr>
      <w:r>
        <w:rPr/>
        <w:t>Throughout the rest of the chapter, I will explain how powerful and useful the central pivot range and the developing pivot range can be to your trading. From serving as support or resistance to forecasting price behavior and directing price trends, the pivot range is a multi-faceted tool that can certainly bring a huge boost to your bottom line.</w:t>
      </w:r>
    </w:p>
    <w:p>
      <w:pPr>
        <w:pStyle w:val="BodyText"/>
        <w:spacing w:before="11"/>
        <w:rPr>
          <w:sz w:val="21"/>
        </w:rPr>
      </w:pPr>
    </w:p>
    <w:p>
      <w:pPr>
        <w:pStyle w:val="Heading3"/>
        <w:ind w:left="500"/>
        <w:jc w:val="both"/>
      </w:pPr>
      <w:r>
        <w:rPr/>
        <w:pict>
          <v:shape style="position:absolute;margin-left:54.240002pt;margin-top:17.210314pt;width:341pt;height:.1pt;mso-position-horizontal-relative:page;mso-position-vertical-relative:paragraph;z-index:-15643136;mso-wrap-distance-left:0;mso-wrap-distance-right:0" id="docshape511" coordorigin="1085,344" coordsize="6820,0" path="m1085,344l7904,344e" filled="false" stroked="true" strokeweight=".75pt" strokecolor="#000000">
            <v:path arrowok="t"/>
            <v:stroke dashstyle="solid"/>
            <w10:wrap type="topAndBottom"/>
          </v:shape>
        </w:pict>
      </w:r>
      <w:bookmarkStart w:name="_TOC_250039" w:id="52"/>
      <w:r>
        <w:rPr>
          <w:smallCaps/>
          <w:spacing w:val="-4"/>
        </w:rPr>
        <w:t>Two-Day</w:t>
      </w:r>
      <w:r>
        <w:rPr>
          <w:smallCaps/>
          <w:spacing w:val="-10"/>
        </w:rPr>
        <w:t> </w:t>
      </w:r>
      <w:r>
        <w:rPr>
          <w:smallCaps/>
          <w:spacing w:val="-4"/>
        </w:rPr>
        <w:t>Pivot</w:t>
      </w:r>
      <w:r>
        <w:rPr>
          <w:smallCaps/>
          <w:spacing w:val="-5"/>
        </w:rPr>
        <w:t> </w:t>
      </w:r>
      <w:r>
        <w:rPr>
          <w:smallCaps/>
          <w:spacing w:val="-4"/>
        </w:rPr>
        <w:t>Range</w:t>
      </w:r>
      <w:r>
        <w:rPr>
          <w:smallCaps/>
          <w:spacing w:val="-1"/>
        </w:rPr>
        <w:t> </w:t>
      </w:r>
      <w:bookmarkEnd w:id="52"/>
      <w:r>
        <w:rPr>
          <w:smallCaps/>
          <w:spacing w:val="-4"/>
        </w:rPr>
        <w:t>Relationships</w:t>
      </w:r>
    </w:p>
    <w:p>
      <w:pPr>
        <w:pStyle w:val="BodyText"/>
        <w:spacing w:before="224"/>
        <w:ind w:left="499" w:right="136" w:firstLine="432"/>
        <w:jc w:val="both"/>
      </w:pPr>
      <w:r>
        <w:rPr/>
        <w:t>In Chapter 4, I introduced seven value area relationships that are very important when trading with the Money Zone. The same type of analysis can be</w:t>
      </w:r>
      <w:r>
        <w:rPr>
          <w:spacing w:val="-2"/>
        </w:rPr>
        <w:t> </w:t>
      </w:r>
      <w:r>
        <w:rPr/>
        <w:t>used</w:t>
      </w:r>
      <w:r>
        <w:rPr>
          <w:spacing w:val="-2"/>
        </w:rPr>
        <w:t> </w:t>
      </w:r>
      <w:r>
        <w:rPr/>
        <w:t>when</w:t>
      </w:r>
      <w:r>
        <w:rPr>
          <w:spacing w:val="-1"/>
        </w:rPr>
        <w:t> </w:t>
      </w:r>
      <w:r>
        <w:rPr/>
        <w:t>trading</w:t>
      </w:r>
      <w:r>
        <w:rPr>
          <w:spacing w:val="-2"/>
        </w:rPr>
        <w:t> </w:t>
      </w:r>
      <w:r>
        <w:rPr/>
        <w:t>within</w:t>
      </w:r>
      <w:r>
        <w:rPr>
          <w:spacing w:val="-2"/>
        </w:rPr>
        <w:t> </w:t>
      </w:r>
      <w:r>
        <w:rPr/>
        <w:t>the</w:t>
      </w:r>
      <w:r>
        <w:rPr>
          <w:spacing w:val="-2"/>
        </w:rPr>
        <w:t> </w:t>
      </w:r>
      <w:r>
        <w:rPr/>
        <w:t>central</w:t>
      </w:r>
      <w:r>
        <w:rPr>
          <w:spacing w:val="-1"/>
        </w:rPr>
        <w:t> </w:t>
      </w:r>
      <w:r>
        <w:rPr/>
        <w:t>pivot</w:t>
      </w:r>
      <w:r>
        <w:rPr>
          <w:spacing w:val="-2"/>
        </w:rPr>
        <w:t> </w:t>
      </w:r>
      <w:r>
        <w:rPr/>
        <w:t>range.</w:t>
      </w:r>
      <w:r>
        <w:rPr>
          <w:spacing w:val="-3"/>
        </w:rPr>
        <w:t> </w:t>
      </w:r>
      <w:r>
        <w:rPr/>
        <w:t>While</w:t>
      </w:r>
      <w:r>
        <w:rPr>
          <w:spacing w:val="-2"/>
        </w:rPr>
        <w:t> </w:t>
      </w:r>
      <w:r>
        <w:rPr/>
        <w:t>the</w:t>
      </w:r>
      <w:r>
        <w:rPr>
          <w:spacing w:val="-2"/>
        </w:rPr>
        <w:t> </w:t>
      </w:r>
      <w:r>
        <w:rPr/>
        <w:t>value</w:t>
      </w:r>
      <w:r>
        <w:rPr>
          <w:spacing w:val="-2"/>
        </w:rPr>
        <w:t> </w:t>
      </w:r>
      <w:r>
        <w:rPr/>
        <w:t>area</w:t>
      </w:r>
      <w:r>
        <w:rPr>
          <w:spacing w:val="-1"/>
        </w:rPr>
        <w:t> </w:t>
      </w:r>
      <w:r>
        <w:rPr/>
        <w:t>and the central pivot range differ from one another on</w:t>
      </w:r>
      <w:r>
        <w:rPr>
          <w:spacing w:val="-1"/>
        </w:rPr>
        <w:t> </w:t>
      </w:r>
      <w:r>
        <w:rPr/>
        <w:t>most days in</w:t>
      </w:r>
      <w:r>
        <w:rPr>
          <w:spacing w:val="-1"/>
        </w:rPr>
        <w:t> </w:t>
      </w:r>
      <w:r>
        <w:rPr/>
        <w:t>terms of price location, this type of analysis still offers important market-generated information. Understanding how the current central pivot range relates to a prior day’s CPR will go a long way toward understanding current market behavior and future price movement.</w:t>
      </w:r>
    </w:p>
    <w:p>
      <w:pPr>
        <w:spacing w:before="0"/>
        <w:ind w:left="499" w:right="138" w:firstLine="432"/>
        <w:jc w:val="both"/>
        <w:rPr>
          <w:sz w:val="22"/>
        </w:rPr>
      </w:pPr>
      <w:r>
        <w:rPr>
          <w:sz w:val="22"/>
        </w:rPr>
        <w:t>To refresh your memory, there are seven types of pivot range relationships that should be considered when analyzing the current strength and attempted direction of the market: </w:t>
      </w:r>
      <w:r>
        <w:rPr>
          <w:i/>
          <w:sz w:val="22"/>
        </w:rPr>
        <w:t>Higher Value</w:t>
      </w:r>
      <w:r>
        <w:rPr>
          <w:sz w:val="22"/>
        </w:rPr>
        <w:t>, </w:t>
      </w:r>
      <w:r>
        <w:rPr>
          <w:i/>
          <w:sz w:val="22"/>
        </w:rPr>
        <w:t>Overlapping Higher</w:t>
      </w:r>
      <w:r>
        <w:rPr>
          <w:i/>
          <w:sz w:val="22"/>
        </w:rPr>
        <w:t> Value</w:t>
      </w:r>
      <w:r>
        <w:rPr>
          <w:sz w:val="22"/>
        </w:rPr>
        <w:t>, </w:t>
      </w:r>
      <w:r>
        <w:rPr>
          <w:i/>
          <w:sz w:val="22"/>
        </w:rPr>
        <w:t>Lower Value</w:t>
      </w:r>
      <w:r>
        <w:rPr>
          <w:sz w:val="22"/>
        </w:rPr>
        <w:t>, </w:t>
      </w:r>
      <w:r>
        <w:rPr>
          <w:i/>
          <w:sz w:val="22"/>
        </w:rPr>
        <w:t>Overlapping Lower Value</w:t>
      </w:r>
      <w:r>
        <w:rPr>
          <w:sz w:val="22"/>
        </w:rPr>
        <w:t>, </w:t>
      </w:r>
      <w:r>
        <w:rPr>
          <w:i/>
          <w:sz w:val="22"/>
        </w:rPr>
        <w:t>Unchanged Value</w:t>
      </w:r>
      <w:r>
        <w:rPr>
          <w:sz w:val="22"/>
        </w:rPr>
        <w:t>, </w:t>
      </w:r>
      <w:r>
        <w:rPr>
          <w:i/>
          <w:sz w:val="22"/>
        </w:rPr>
        <w:t>Outside</w:t>
      </w:r>
      <w:r>
        <w:rPr>
          <w:i/>
          <w:sz w:val="22"/>
        </w:rPr>
        <w:t> Value</w:t>
      </w:r>
      <w:r>
        <w:rPr>
          <w:sz w:val="22"/>
        </w:rPr>
        <w:t>, and </w:t>
      </w:r>
      <w:r>
        <w:rPr>
          <w:i/>
          <w:sz w:val="22"/>
        </w:rPr>
        <w:t>Inside Value</w:t>
      </w:r>
      <w:r>
        <w:rPr>
          <w:sz w:val="22"/>
        </w:rPr>
        <w:t>. Each pivot range relationship brings with it a directional</w:t>
      </w:r>
      <w:r>
        <w:rPr>
          <w:spacing w:val="-3"/>
          <w:sz w:val="22"/>
        </w:rPr>
        <w:t> </w:t>
      </w:r>
      <w:r>
        <w:rPr>
          <w:sz w:val="22"/>
        </w:rPr>
        <w:t>bias</w:t>
      </w:r>
      <w:r>
        <w:rPr>
          <w:spacing w:val="-3"/>
          <w:sz w:val="22"/>
        </w:rPr>
        <w:t> </w:t>
      </w:r>
      <w:r>
        <w:rPr>
          <w:sz w:val="22"/>
        </w:rPr>
        <w:t>or</w:t>
      </w:r>
      <w:r>
        <w:rPr>
          <w:spacing w:val="-3"/>
          <w:sz w:val="22"/>
        </w:rPr>
        <w:t> </w:t>
      </w:r>
      <w:r>
        <w:rPr>
          <w:sz w:val="22"/>
        </w:rPr>
        <w:t>expected</w:t>
      </w:r>
      <w:r>
        <w:rPr>
          <w:spacing w:val="-3"/>
          <w:sz w:val="22"/>
        </w:rPr>
        <w:t> </w:t>
      </w:r>
      <w:r>
        <w:rPr>
          <w:sz w:val="22"/>
        </w:rPr>
        <w:t>outcome,</w:t>
      </w:r>
      <w:r>
        <w:rPr>
          <w:spacing w:val="-3"/>
          <w:sz w:val="22"/>
        </w:rPr>
        <w:t> </w:t>
      </w:r>
      <w:r>
        <w:rPr>
          <w:sz w:val="22"/>
        </w:rPr>
        <w:t>which</w:t>
      </w:r>
      <w:r>
        <w:rPr>
          <w:spacing w:val="-3"/>
          <w:sz w:val="22"/>
        </w:rPr>
        <w:t> </w:t>
      </w:r>
      <w:r>
        <w:rPr>
          <w:sz w:val="22"/>
        </w:rPr>
        <w:t>can</w:t>
      </w:r>
      <w:r>
        <w:rPr>
          <w:spacing w:val="-3"/>
          <w:sz w:val="22"/>
        </w:rPr>
        <w:t> </w:t>
      </w:r>
      <w:r>
        <w:rPr>
          <w:sz w:val="22"/>
        </w:rPr>
        <w:t>prepare</w:t>
      </w:r>
      <w:r>
        <w:rPr>
          <w:spacing w:val="-3"/>
          <w:sz w:val="22"/>
        </w:rPr>
        <w:t> </w:t>
      </w:r>
      <w:r>
        <w:rPr>
          <w:sz w:val="22"/>
        </w:rPr>
        <w:t>you</w:t>
      </w:r>
      <w:r>
        <w:rPr>
          <w:spacing w:val="-3"/>
          <w:sz w:val="22"/>
        </w:rPr>
        <w:t> </w:t>
      </w:r>
      <w:r>
        <w:rPr>
          <w:sz w:val="22"/>
        </w:rPr>
        <w:t>for</w:t>
      </w:r>
      <w:r>
        <w:rPr>
          <w:spacing w:val="-5"/>
          <w:sz w:val="22"/>
        </w:rPr>
        <w:t> </w:t>
      </w:r>
      <w:r>
        <w:rPr>
          <w:sz w:val="22"/>
        </w:rPr>
        <w:t>certain</w:t>
      </w:r>
      <w:r>
        <w:rPr>
          <w:spacing w:val="-3"/>
          <w:sz w:val="22"/>
        </w:rPr>
        <w:t> </w:t>
      </w:r>
      <w:r>
        <w:rPr>
          <w:sz w:val="22"/>
        </w:rPr>
        <w:t>types of trading scenarios in the upcoming session (see Table 4.2).</w:t>
      </w:r>
    </w:p>
    <w:p>
      <w:pPr>
        <w:pStyle w:val="BodyText"/>
        <w:spacing w:before="1"/>
        <w:rPr>
          <w:sz w:val="20"/>
        </w:rPr>
      </w:pPr>
      <w:r>
        <w:rPr/>
        <w:pict>
          <v:group style="position:absolute;margin-left:72.300003pt;margin-top:12.771103pt;width:305.4pt;height:15.5pt;mso-position-horizontal-relative:page;mso-position-vertical-relative:paragraph;z-index:-15642624;mso-wrap-distance-left:0;mso-wrap-distance-right:0" id="docshapegroup512" coordorigin="1446,255" coordsize="6108,310">
            <v:rect style="position:absolute;left:1466;top:275;width:6068;height:290" id="docshape513" filled="true" fillcolor="#000000" stroked="false">
              <v:fill type="solid"/>
            </v:rect>
            <v:shape style="position:absolute;left:1446;top:255;width:6089;height:21" id="docshape514" coordorigin="1446,255" coordsize="6089,21" path="m7535,255l1465,255,1446,255,1446,275,1446,276,1465,276,1465,275,7535,275,7535,255xe" filled="true" fillcolor="#3f3f3f" stroked="false">
              <v:path arrowok="t"/>
              <v:fill type="solid"/>
            </v:shape>
            <v:rect style="position:absolute;left:1465;top:274;width:6070;height:2" id="docshape515" filled="true" fillcolor="#000000" stroked="false">
              <v:fill type="solid"/>
            </v:rect>
            <v:shape style="position:absolute;left:1446;top:255;width:6108;height:310" id="docshape516" coordorigin="1446,255" coordsize="6108,310" path="m1465,276l1446,276,1446,565,1465,565,1465,276xm7554,255l7535,255,7535,275,7535,276,7535,565,7554,565,7554,276,7554,275,7554,255xe" filled="true" fillcolor="#3f3f3f" stroked="false">
              <v:path arrowok="t"/>
              <v:fill type="solid"/>
            </v:shape>
            <v:shape style="position:absolute;left:1465;top:275;width:6070;height:290" type="#_x0000_t202" id="docshape517" filled="false" stroked="false">
              <v:textbox inset="0,0,0,0">
                <w:txbxContent>
                  <w:p>
                    <w:pPr>
                      <w:spacing w:line="289" w:lineRule="exact" w:before="0"/>
                      <w:ind w:left="1301" w:right="0" w:firstLine="0"/>
                      <w:jc w:val="left"/>
                      <w:rPr>
                        <w:rFonts w:ascii="Verdana"/>
                        <w:sz w:val="24"/>
                      </w:rPr>
                    </w:pPr>
                    <w:r>
                      <w:rPr>
                        <w:rFonts w:ascii="Verdana"/>
                        <w:color w:val="FFFFFF"/>
                        <w:sz w:val="24"/>
                      </w:rPr>
                      <w:t>Two-Day</w:t>
                    </w:r>
                    <w:r>
                      <w:rPr>
                        <w:rFonts w:ascii="Verdana"/>
                        <w:color w:val="FFFFFF"/>
                        <w:spacing w:val="-5"/>
                        <w:sz w:val="24"/>
                      </w:rPr>
                      <w:t> </w:t>
                    </w:r>
                    <w:r>
                      <w:rPr>
                        <w:rFonts w:ascii="Verdana"/>
                        <w:color w:val="FFFFFF"/>
                        <w:sz w:val="24"/>
                      </w:rPr>
                      <w:t>Pivot</w:t>
                    </w:r>
                    <w:r>
                      <w:rPr>
                        <w:rFonts w:ascii="Verdana"/>
                        <w:color w:val="FFFFFF"/>
                        <w:spacing w:val="-4"/>
                        <w:sz w:val="24"/>
                      </w:rPr>
                      <w:t> </w:t>
                    </w:r>
                    <w:r>
                      <w:rPr>
                        <w:rFonts w:ascii="Verdana"/>
                        <w:color w:val="FFFFFF"/>
                        <w:spacing w:val="-2"/>
                        <w:sz w:val="24"/>
                      </w:rPr>
                      <w:t>Relationships</w:t>
                    </w:r>
                  </w:p>
                </w:txbxContent>
              </v:textbox>
              <w10:wrap type="none"/>
            </v:shape>
            <w10:wrap type="topAndBottom"/>
          </v:group>
        </w:pict>
      </w:r>
    </w:p>
    <w:p>
      <w:pPr>
        <w:pStyle w:val="BodyText"/>
        <w:tabs>
          <w:tab w:pos="3934" w:val="left" w:leader="none"/>
        </w:tabs>
        <w:spacing w:line="268" w:lineRule="auto" w:before="10"/>
        <w:ind w:left="983" w:right="1693"/>
        <w:rPr>
          <w:rFonts w:ascii="Tahoma"/>
        </w:rPr>
      </w:pPr>
      <w:r>
        <w:rPr>
          <w:rFonts w:ascii="Tahoma"/>
        </w:rPr>
        <w:t>Higher Value</w:t>
        <w:tab/>
      </w:r>
      <w:r>
        <w:rPr>
          <w:rFonts w:ascii="Tahoma"/>
          <w:spacing w:val="-69"/>
        </w:rPr>
        <w:t> </w:t>
      </w:r>
      <w:r>
        <w:rPr>
          <w:rFonts w:ascii="Tahoma"/>
          <w:spacing w:val="-2"/>
        </w:rPr>
        <w:t>Bullish</w:t>
      </w:r>
      <w:r>
        <w:rPr>
          <w:rFonts w:ascii="Tahoma"/>
          <w:spacing w:val="80"/>
        </w:rPr>
        <w:t> </w:t>
      </w:r>
      <w:r>
        <w:rPr>
          <w:rFonts w:ascii="Tahoma"/>
        </w:rPr>
        <w:t>Overlapping Higher Value</w:t>
        <w:tab/>
      </w:r>
      <w:r>
        <w:rPr>
          <w:rFonts w:ascii="Tahoma"/>
          <w:spacing w:val="-68"/>
        </w:rPr>
        <w:t> </w:t>
      </w:r>
      <w:r>
        <w:rPr>
          <w:rFonts w:ascii="Tahoma"/>
        </w:rPr>
        <w:t>Moderately Bullish Lower Value</w:t>
        <w:tab/>
      </w:r>
      <w:r>
        <w:rPr>
          <w:rFonts w:ascii="Tahoma"/>
          <w:spacing w:val="-69"/>
        </w:rPr>
        <w:t> </w:t>
      </w:r>
      <w:r>
        <w:rPr>
          <w:rFonts w:ascii="Tahoma"/>
          <w:spacing w:val="-2"/>
        </w:rPr>
        <w:t>Bearish </w:t>
      </w:r>
      <w:r>
        <w:rPr>
          <w:rFonts w:ascii="Tahoma"/>
        </w:rPr>
        <w:t>Overlapping Lower Value</w:t>
        <w:tab/>
        <w:t>Moderately</w:t>
      </w:r>
      <w:r>
        <w:rPr>
          <w:rFonts w:ascii="Tahoma"/>
          <w:spacing w:val="-18"/>
        </w:rPr>
        <w:t> </w:t>
      </w:r>
      <w:r>
        <w:rPr>
          <w:rFonts w:ascii="Tahoma"/>
        </w:rPr>
        <w:t>Bearish Unchanged</w:t>
      </w:r>
      <w:r>
        <w:rPr>
          <w:rFonts w:ascii="Tahoma"/>
          <w:spacing w:val="-10"/>
        </w:rPr>
        <w:t> </w:t>
      </w:r>
      <w:r>
        <w:rPr>
          <w:rFonts w:ascii="Tahoma"/>
          <w:spacing w:val="-2"/>
        </w:rPr>
        <w:t>Value</w:t>
      </w:r>
      <w:r>
        <w:rPr>
          <w:rFonts w:ascii="Tahoma"/>
        </w:rPr>
        <w:tab/>
      </w:r>
      <w:r>
        <w:rPr>
          <w:rFonts w:ascii="Tahoma"/>
          <w:spacing w:val="-68"/>
        </w:rPr>
        <w:t> </w:t>
      </w:r>
      <w:r>
        <w:rPr>
          <w:rFonts w:ascii="Tahoma"/>
          <w:spacing w:val="-2"/>
        </w:rPr>
        <w:t>Sideways/Breakout</w:t>
      </w:r>
    </w:p>
    <w:p>
      <w:pPr>
        <w:pStyle w:val="BodyText"/>
        <w:spacing w:line="20" w:lineRule="exact"/>
        <w:ind w:left="875"/>
        <w:rPr>
          <w:rFonts w:ascii="Tahoma"/>
          <w:sz w:val="2"/>
        </w:rPr>
      </w:pPr>
      <w:r>
        <w:rPr>
          <w:rFonts w:ascii="Tahoma"/>
          <w:sz w:val="2"/>
        </w:rPr>
        <w:pict>
          <v:group style="width:304.45pt;height:.5pt;mso-position-horizontal-relative:char;mso-position-vertical-relative:line" id="docshapegroup518" coordorigin="0,0" coordsize="6089,10">
            <v:rect style="position:absolute;left:0;top:0;width:6089;height:10" id="docshape519" filled="true" fillcolor="#000000" stroked="false">
              <v:fill type="solid"/>
            </v:rect>
          </v:group>
        </w:pict>
      </w:r>
      <w:r>
        <w:rPr>
          <w:rFonts w:ascii="Tahoma"/>
          <w:sz w:val="2"/>
        </w:rPr>
      </w:r>
    </w:p>
    <w:p>
      <w:pPr>
        <w:pStyle w:val="BodyText"/>
        <w:tabs>
          <w:tab w:pos="3935" w:val="left" w:leader="none"/>
        </w:tabs>
        <w:ind w:left="983"/>
        <w:rPr>
          <w:rFonts w:ascii="Tahoma"/>
        </w:rPr>
      </w:pPr>
      <w:r>
        <w:rPr/>
        <w:pict>
          <v:rect style="position:absolute;margin-left:72.779999pt;margin-top:-60.634624pt;width:304.44pt;height:.48pt;mso-position-horizontal-relative:page;mso-position-vertical-relative:paragraph;z-index:15816704" id="docshape520" filled="true" fillcolor="#000000" stroked="false">
            <v:fill type="solid"/>
            <w10:wrap type="none"/>
          </v:rect>
        </w:pict>
      </w:r>
      <w:r>
        <w:rPr/>
        <w:pict>
          <v:rect style="position:absolute;margin-left:72.779999pt;margin-top:-45.754627pt;width:304.44pt;height:.48pt;mso-position-horizontal-relative:page;mso-position-vertical-relative:paragraph;z-index:15817216" id="docshape521" filled="true" fillcolor="#000000" stroked="false">
            <v:fill type="solid"/>
            <w10:wrap type="none"/>
          </v:rect>
        </w:pict>
      </w:r>
      <w:r>
        <w:rPr/>
        <w:pict>
          <v:rect style="position:absolute;margin-left:72.779999pt;margin-top:-30.814625pt;width:304.44pt;height:.48pt;mso-position-horizontal-relative:page;mso-position-vertical-relative:paragraph;z-index:15817728" id="docshape522" filled="true" fillcolor="#000000" stroked="false">
            <v:fill type="solid"/>
            <w10:wrap type="none"/>
          </v:rect>
        </w:pict>
      </w:r>
      <w:r>
        <w:rPr/>
        <w:pict>
          <v:rect style="position:absolute;margin-left:72.779999pt;margin-top:-15.934626pt;width:304.44pt;height:.48pt;mso-position-horizontal-relative:page;mso-position-vertical-relative:paragraph;z-index:15818240" id="docshape523" filled="true" fillcolor="#000000" stroked="false">
            <v:fill type="solid"/>
            <w10:wrap type="none"/>
          </v:rect>
        </w:pict>
      </w:r>
      <w:r>
        <w:rPr>
          <w:rFonts w:ascii="Tahoma"/>
        </w:rPr>
        <w:t>Outside</w:t>
      </w:r>
      <w:r>
        <w:rPr>
          <w:rFonts w:ascii="Tahoma"/>
          <w:spacing w:val="-13"/>
        </w:rPr>
        <w:t> </w:t>
      </w:r>
      <w:r>
        <w:rPr>
          <w:rFonts w:ascii="Tahoma"/>
          <w:spacing w:val="-2"/>
        </w:rPr>
        <w:t>Value</w:t>
      </w:r>
      <w:r>
        <w:rPr>
          <w:rFonts w:ascii="Tahoma"/>
        </w:rPr>
        <w:tab/>
      </w:r>
      <w:r>
        <w:rPr>
          <w:rFonts w:ascii="Tahoma"/>
          <w:spacing w:val="-2"/>
        </w:rPr>
        <w:t>Sideways</w:t>
      </w:r>
    </w:p>
    <w:p>
      <w:pPr>
        <w:pStyle w:val="BodyText"/>
        <w:spacing w:line="20" w:lineRule="exact"/>
        <w:ind w:left="875"/>
        <w:rPr>
          <w:rFonts w:ascii="Tahoma"/>
          <w:sz w:val="2"/>
        </w:rPr>
      </w:pPr>
      <w:r>
        <w:rPr>
          <w:rFonts w:ascii="Tahoma"/>
          <w:sz w:val="2"/>
        </w:rPr>
        <w:pict>
          <v:group style="width:304.45pt;height:.5pt;mso-position-horizontal-relative:char;mso-position-vertical-relative:line" id="docshapegroup524" coordorigin="0,0" coordsize="6089,10">
            <v:rect style="position:absolute;left:0;top:0;width:6089;height:10" id="docshape525" filled="true" fillcolor="#000000" stroked="false">
              <v:fill type="solid"/>
            </v:rect>
          </v:group>
        </w:pict>
      </w:r>
      <w:r>
        <w:rPr>
          <w:rFonts w:ascii="Tahoma"/>
          <w:sz w:val="2"/>
        </w:rPr>
      </w:r>
    </w:p>
    <w:p>
      <w:pPr>
        <w:pStyle w:val="BodyText"/>
        <w:tabs>
          <w:tab w:pos="3936" w:val="left" w:leader="none"/>
        </w:tabs>
        <w:spacing w:after="8"/>
        <w:ind w:left="983"/>
        <w:rPr>
          <w:rFonts w:ascii="Tahoma"/>
        </w:rPr>
      </w:pPr>
      <w:r>
        <w:rPr>
          <w:rFonts w:ascii="Tahoma"/>
        </w:rPr>
        <w:t>Inside</w:t>
      </w:r>
      <w:r>
        <w:rPr>
          <w:rFonts w:ascii="Tahoma"/>
          <w:spacing w:val="-5"/>
        </w:rPr>
        <w:t> </w:t>
      </w:r>
      <w:r>
        <w:rPr>
          <w:rFonts w:ascii="Tahoma"/>
          <w:spacing w:val="-2"/>
        </w:rPr>
        <w:t>Value</w:t>
      </w:r>
      <w:r>
        <w:rPr>
          <w:rFonts w:ascii="Tahoma"/>
        </w:rPr>
        <w:tab/>
      </w:r>
      <w:r>
        <w:rPr>
          <w:rFonts w:ascii="Tahoma"/>
          <w:spacing w:val="-2"/>
        </w:rPr>
        <w:t>Breakout</w:t>
      </w:r>
    </w:p>
    <w:p>
      <w:pPr>
        <w:pStyle w:val="BodyText"/>
        <w:spacing w:line="20" w:lineRule="exact"/>
        <w:ind w:left="861"/>
        <w:rPr>
          <w:rFonts w:ascii="Tahoma"/>
          <w:sz w:val="2"/>
        </w:rPr>
      </w:pPr>
      <w:r>
        <w:rPr>
          <w:rFonts w:ascii="Tahoma"/>
          <w:sz w:val="2"/>
        </w:rPr>
        <w:pict>
          <v:group style="width:305.2pt;height:.5pt;mso-position-horizontal-relative:char;mso-position-vertical-relative:line" id="docshapegroup526" coordorigin="0,0" coordsize="6104,10">
            <v:shape style="position:absolute;left:0;top:0;width:6104;height:10" id="docshape527" coordorigin="0,0" coordsize="6104,10" path="m6103,0l2966,0,2952,0,0,0,0,10,2952,10,2966,10,6103,10,6103,0xe" filled="true" fillcolor="#000000" stroked="false">
              <v:path arrowok="t"/>
              <v:fill type="solid"/>
            </v:shape>
          </v:group>
        </w:pict>
      </w:r>
      <w:r>
        <w:rPr>
          <w:rFonts w:ascii="Tahoma"/>
          <w:sz w:val="2"/>
        </w:rPr>
      </w:r>
    </w:p>
    <w:p>
      <w:pPr>
        <w:spacing w:before="0"/>
        <w:ind w:left="931" w:right="0" w:firstLine="0"/>
        <w:jc w:val="left"/>
        <w:rPr>
          <w:sz w:val="16"/>
        </w:rPr>
      </w:pPr>
      <w:r>
        <w:rPr>
          <w:sz w:val="16"/>
        </w:rPr>
        <w:t>TABLE</w:t>
      </w:r>
      <w:r>
        <w:rPr>
          <w:spacing w:val="8"/>
          <w:sz w:val="16"/>
        </w:rPr>
        <w:t> </w:t>
      </w:r>
      <w:r>
        <w:rPr>
          <w:sz w:val="16"/>
        </w:rPr>
        <w:t>6.2:</w:t>
      </w:r>
      <w:r>
        <w:rPr>
          <w:spacing w:val="9"/>
          <w:sz w:val="16"/>
        </w:rPr>
        <w:t> </w:t>
      </w:r>
      <w:r>
        <w:rPr>
          <w:sz w:val="16"/>
        </w:rPr>
        <w:t>Two-Day</w:t>
      </w:r>
      <w:r>
        <w:rPr>
          <w:spacing w:val="8"/>
          <w:sz w:val="16"/>
        </w:rPr>
        <w:t> </w:t>
      </w:r>
      <w:r>
        <w:rPr>
          <w:spacing w:val="-2"/>
          <w:sz w:val="16"/>
        </w:rPr>
        <w:t>Relationships</w:t>
      </w:r>
    </w:p>
    <w:p>
      <w:pPr>
        <w:spacing w:after="0"/>
        <w:jc w:val="left"/>
        <w:rPr>
          <w:sz w:val="16"/>
        </w:rPr>
        <w:sectPr>
          <w:pgSz w:w="8640" w:h="12960"/>
          <w:pgMar w:header="536" w:footer="1060" w:top="720" w:bottom="1260" w:left="580" w:right="580"/>
        </w:sectPr>
      </w:pPr>
    </w:p>
    <w:p>
      <w:pPr>
        <w:pStyle w:val="BodyText"/>
        <w:spacing w:before="5"/>
        <w:rPr>
          <w:sz w:val="18"/>
        </w:rPr>
      </w:pPr>
    </w:p>
    <w:p>
      <w:pPr>
        <w:pStyle w:val="BodyText"/>
        <w:spacing w:before="64"/>
        <w:ind w:left="140" w:right="497" w:firstLine="432"/>
        <w:jc w:val="both"/>
      </w:pPr>
      <w:r>
        <w:rPr/>
        <w:t>Each of the seven pivot range relationships depend on two important prices: the prior day’s closing price and the current day’s opening price. Where the market closes in relation to the pivot range gives you an initial directional bias for the following session. The next day’s opening price will either confirm or reject this bias, which then gives you a road map for which type of trade you should be prospecting. Understanding this dynamic will allow you to better diagnose the market’s behavior, thus giving you the opportunity to enter trades on the right side of the market.</w:t>
      </w:r>
    </w:p>
    <w:p>
      <w:pPr>
        <w:pStyle w:val="BodyText"/>
        <w:spacing w:before="1"/>
        <w:ind w:left="140" w:right="497" w:firstLine="432"/>
        <w:jc w:val="both"/>
      </w:pPr>
      <w:r>
        <w:rPr/>
        <w:t>Let’s take a look at the first two-day relationship: the Higher Value relationship. This relationship occurs when the current day’s pivot range is completely</w:t>
      </w:r>
      <w:r>
        <w:rPr>
          <w:spacing w:val="-3"/>
        </w:rPr>
        <w:t> </w:t>
      </w:r>
      <w:r>
        <w:rPr/>
        <w:t>higher</w:t>
      </w:r>
      <w:r>
        <w:rPr>
          <w:spacing w:val="-3"/>
        </w:rPr>
        <w:t> </w:t>
      </w:r>
      <w:r>
        <w:rPr/>
        <w:t>than</w:t>
      </w:r>
      <w:r>
        <w:rPr>
          <w:spacing w:val="-3"/>
        </w:rPr>
        <w:t> </w:t>
      </w:r>
      <w:r>
        <w:rPr/>
        <w:t>the</w:t>
      </w:r>
      <w:r>
        <w:rPr>
          <w:spacing w:val="-4"/>
        </w:rPr>
        <w:t> </w:t>
      </w:r>
      <w:r>
        <w:rPr/>
        <w:t>prior</w:t>
      </w:r>
      <w:r>
        <w:rPr>
          <w:spacing w:val="-3"/>
        </w:rPr>
        <w:t> </w:t>
      </w:r>
      <w:r>
        <w:rPr/>
        <w:t>day’s</w:t>
      </w:r>
      <w:r>
        <w:rPr>
          <w:spacing w:val="-5"/>
        </w:rPr>
        <w:t> </w:t>
      </w:r>
      <w:r>
        <w:rPr/>
        <w:t>pivot</w:t>
      </w:r>
      <w:r>
        <w:rPr>
          <w:spacing w:val="-3"/>
        </w:rPr>
        <w:t> </w:t>
      </w:r>
      <w:r>
        <w:rPr/>
        <w:t>range.</w:t>
      </w:r>
      <w:r>
        <w:rPr>
          <w:spacing w:val="-3"/>
        </w:rPr>
        <w:t> </w:t>
      </w:r>
      <w:r>
        <w:rPr/>
        <w:t>Therefore,</w:t>
      </w:r>
      <w:r>
        <w:rPr>
          <w:spacing w:val="-3"/>
        </w:rPr>
        <w:t> </w:t>
      </w:r>
      <w:r>
        <w:rPr/>
        <w:t>today’s</w:t>
      </w:r>
      <w:r>
        <w:rPr>
          <w:spacing w:val="-3"/>
        </w:rPr>
        <w:t> </w:t>
      </w:r>
      <w:r>
        <w:rPr/>
        <w:t>bottom central pivot point is higher than the top of the prior day’s pivot range. This</w:t>
      </w:r>
      <w:r>
        <w:rPr>
          <w:spacing w:val="40"/>
        </w:rPr>
        <w:t> </w:t>
      </w:r>
      <w:r>
        <w:rPr/>
        <w:t>is the most bullish relationship of the seven two-day combinations.</w:t>
      </w:r>
      <w:r>
        <w:rPr>
          <w:spacing w:val="40"/>
        </w:rPr>
        <w:t> </w:t>
      </w:r>
      <w:r>
        <w:rPr/>
        <w:t>Therefore, when this relationship develops, your initial directional bias will be bullish. If price closed above its pivot range in the prior session, the market is positioned to move higher in the upcoming session. However, how the market </w:t>
      </w:r>
      <w:r>
        <w:rPr>
          <w:i/>
        </w:rPr>
        <w:t>opens </w:t>
      </w:r>
      <w:r>
        <w:rPr/>
        <w:t>the day will either confirm or reject this initial bias. If the market</w:t>
      </w:r>
      <w:r>
        <w:rPr>
          <w:spacing w:val="-2"/>
        </w:rPr>
        <w:t> </w:t>
      </w:r>
      <w:r>
        <w:rPr/>
        <w:t>opens</w:t>
      </w:r>
      <w:r>
        <w:rPr>
          <w:spacing w:val="-1"/>
        </w:rPr>
        <w:t> </w:t>
      </w:r>
      <w:r>
        <w:rPr/>
        <w:t>the</w:t>
      </w:r>
      <w:r>
        <w:rPr>
          <w:spacing w:val="-2"/>
        </w:rPr>
        <w:t> </w:t>
      </w:r>
      <w:r>
        <w:rPr/>
        <w:t>day</w:t>
      </w:r>
      <w:r>
        <w:rPr>
          <w:spacing w:val="-2"/>
        </w:rPr>
        <w:t> </w:t>
      </w:r>
      <w:r>
        <w:rPr/>
        <w:t>anywhere</w:t>
      </w:r>
      <w:r>
        <w:rPr>
          <w:spacing w:val="-2"/>
        </w:rPr>
        <w:t> </w:t>
      </w:r>
      <w:r>
        <w:rPr/>
        <w:t>above</w:t>
      </w:r>
      <w:r>
        <w:rPr>
          <w:spacing w:val="-1"/>
        </w:rPr>
        <w:t> </w:t>
      </w:r>
      <w:r>
        <w:rPr/>
        <w:t>the</w:t>
      </w:r>
      <w:r>
        <w:rPr>
          <w:spacing w:val="-2"/>
        </w:rPr>
        <w:t> </w:t>
      </w:r>
      <w:r>
        <w:rPr/>
        <w:t>bottom</w:t>
      </w:r>
      <w:r>
        <w:rPr>
          <w:spacing w:val="-2"/>
        </w:rPr>
        <w:t> </w:t>
      </w:r>
      <w:r>
        <w:rPr/>
        <w:t>of</w:t>
      </w:r>
      <w:r>
        <w:rPr>
          <w:spacing w:val="-1"/>
        </w:rPr>
        <w:t> </w:t>
      </w:r>
      <w:r>
        <w:rPr/>
        <w:t>the</w:t>
      </w:r>
      <w:r>
        <w:rPr>
          <w:spacing w:val="-2"/>
        </w:rPr>
        <w:t> </w:t>
      </w:r>
      <w:r>
        <w:rPr/>
        <w:t>pivot</w:t>
      </w:r>
      <w:r>
        <w:rPr>
          <w:spacing w:val="-2"/>
        </w:rPr>
        <w:t> </w:t>
      </w:r>
      <w:r>
        <w:rPr/>
        <w:t>range,</w:t>
      </w:r>
      <w:r>
        <w:rPr>
          <w:spacing w:val="-2"/>
        </w:rPr>
        <w:t> </w:t>
      </w:r>
      <w:r>
        <w:rPr/>
        <w:t>you</w:t>
      </w:r>
      <w:r>
        <w:rPr>
          <w:spacing w:val="-2"/>
        </w:rPr>
        <w:t> </w:t>
      </w:r>
      <w:r>
        <w:rPr/>
        <w:t>will look to buy a pull-back to the range ahead of a move to new highs. This is especially the case if price opens above the top of the range.</w:t>
      </w:r>
    </w:p>
    <w:p>
      <w:pPr>
        <w:pStyle w:val="BodyText"/>
        <w:ind w:left="140" w:right="498" w:firstLine="432"/>
        <w:jc w:val="both"/>
      </w:pPr>
      <w:r>
        <w:rPr/>
        <w:t>Let’s take a look at an example. Figure 6.3 shows a fifteen-minute chart of the E-Mini Russell 2000 futures contract when a two-day Higher Value relationship developed. Notice that the TF closed the prior day above its</w:t>
      </w:r>
      <w:r>
        <w:rPr>
          <w:spacing w:val="40"/>
        </w:rPr>
        <w:t> </w:t>
      </w:r>
      <w:r>
        <w:rPr/>
        <w:t>pivot range and opened the current day above the central pivot point and pulled back early in the day. This pull-back was met with responsive buying participation</w:t>
      </w:r>
      <w:r>
        <w:rPr>
          <w:spacing w:val="-2"/>
        </w:rPr>
        <w:t> </w:t>
      </w:r>
      <w:r>
        <w:rPr/>
        <w:t>at</w:t>
      </w:r>
      <w:r>
        <w:rPr>
          <w:spacing w:val="-1"/>
        </w:rPr>
        <w:t> </w:t>
      </w:r>
      <w:r>
        <w:rPr/>
        <w:t>the</w:t>
      </w:r>
      <w:r>
        <w:rPr>
          <w:spacing w:val="-1"/>
        </w:rPr>
        <w:t> </w:t>
      </w:r>
      <w:r>
        <w:rPr/>
        <w:t>bottom</w:t>
      </w:r>
      <w:r>
        <w:rPr>
          <w:spacing w:val="-1"/>
        </w:rPr>
        <w:t> </w:t>
      </w:r>
      <w:r>
        <w:rPr/>
        <w:t>of</w:t>
      </w:r>
      <w:r>
        <w:rPr>
          <w:spacing w:val="-1"/>
        </w:rPr>
        <w:t> </w:t>
      </w:r>
      <w:r>
        <w:rPr/>
        <w:t>the</w:t>
      </w:r>
      <w:r>
        <w:rPr>
          <w:spacing w:val="-1"/>
        </w:rPr>
        <w:t> </w:t>
      </w:r>
      <w:r>
        <w:rPr/>
        <w:t>pivot</w:t>
      </w:r>
      <w:r>
        <w:rPr>
          <w:spacing w:val="-1"/>
        </w:rPr>
        <w:t> </w:t>
      </w:r>
      <w:r>
        <w:rPr/>
        <w:t>range,</w:t>
      </w:r>
      <w:r>
        <w:rPr>
          <w:spacing w:val="-1"/>
        </w:rPr>
        <w:t> </w:t>
      </w:r>
      <w:r>
        <w:rPr/>
        <w:t>which</w:t>
      </w:r>
      <w:r>
        <w:rPr>
          <w:spacing w:val="-1"/>
        </w:rPr>
        <w:t> </w:t>
      </w:r>
      <w:r>
        <w:rPr/>
        <w:t>sparked</w:t>
      </w:r>
      <w:r>
        <w:rPr>
          <w:spacing w:val="-1"/>
        </w:rPr>
        <w:t> </w:t>
      </w:r>
      <w:r>
        <w:rPr/>
        <w:t>another move</w:t>
      </w:r>
      <w:r>
        <w:rPr>
          <w:spacing w:val="-1"/>
        </w:rPr>
        <w:t> </w:t>
      </w:r>
      <w:r>
        <w:rPr/>
        <w:t>to new highs within the current uptrend. This is a textbook “buy the dip” opportunity using the central pivot range to trigger your entry. Once in the trade,</w:t>
      </w:r>
      <w:r>
        <w:rPr/>
        <w:t> you are looking for price to reach a new high, usually at R1 or R2 </w:t>
      </w:r>
      <w:r>
        <w:rPr>
          <w:spacing w:val="-2"/>
        </w:rPr>
        <w:t>resistance.</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145" name="image74.png"/>
            <wp:cNvGraphicFramePr>
              <a:graphicFrameLocks noChangeAspect="1"/>
            </wp:cNvGraphicFramePr>
            <a:graphic>
              <a:graphicData uri="http://schemas.openxmlformats.org/drawingml/2006/picture">
                <pic:pic>
                  <pic:nvPicPr>
                    <pic:cNvPr id="146" name="image74.png"/>
                    <pic:cNvPicPr/>
                  </pic:nvPicPr>
                  <pic:blipFill>
                    <a:blip r:embed="rId183"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6"/>
          <w:sz w:val="16"/>
        </w:rPr>
        <w:t> </w:t>
      </w:r>
      <w:r>
        <w:rPr>
          <w:sz w:val="16"/>
        </w:rPr>
        <w:t>6.3:</w:t>
      </w:r>
      <w:r>
        <w:rPr>
          <w:spacing w:val="7"/>
          <w:sz w:val="16"/>
        </w:rPr>
        <w:t> </w:t>
      </w:r>
      <w:r>
        <w:rPr>
          <w:sz w:val="16"/>
        </w:rPr>
        <w:t>The</w:t>
      </w:r>
      <w:r>
        <w:rPr>
          <w:spacing w:val="7"/>
          <w:sz w:val="16"/>
        </w:rPr>
        <w:t> </w:t>
      </w:r>
      <w:r>
        <w:rPr>
          <w:sz w:val="16"/>
        </w:rPr>
        <w:t>Higher</w:t>
      </w:r>
      <w:r>
        <w:rPr>
          <w:spacing w:val="7"/>
          <w:sz w:val="16"/>
        </w:rPr>
        <w:t> </w:t>
      </w:r>
      <w:r>
        <w:rPr>
          <w:sz w:val="16"/>
        </w:rPr>
        <w:t>Value</w:t>
      </w:r>
      <w:r>
        <w:rPr>
          <w:spacing w:val="7"/>
          <w:sz w:val="16"/>
        </w:rPr>
        <w:t> </w:t>
      </w:r>
      <w:r>
        <w:rPr>
          <w:spacing w:val="-2"/>
          <w:sz w:val="16"/>
        </w:rPr>
        <w:t>relationship</w:t>
      </w:r>
    </w:p>
    <w:p>
      <w:pPr>
        <w:pStyle w:val="BodyText"/>
        <w:spacing w:before="2"/>
      </w:pPr>
    </w:p>
    <w:p>
      <w:pPr>
        <w:pStyle w:val="BodyText"/>
        <w:ind w:left="499" w:right="137" w:firstLine="432"/>
        <w:jc w:val="both"/>
      </w:pPr>
      <w:r>
        <w:rPr/>
        <w:t>Let’s take a look at how we anticipated this two-day relationship using the developing pivot range indicator. Figure 6.4 shows a fifteen-minute chart of the TF the day before the “buy the dip” opportunity. There are two sets of pivot ranges plotted on this chart: a static pivot range and a developing pivot range. Notice that the developing pivot range closed the day well above the values of the traditional pivot range, thereby indicating a bullish Higher Value two-day relationship for the next session. It is also important to note that the TF closed the day above both sets of indicators, thus confirming a bullish bias for the next session. As long as the market opens the following day above the bottom of the pivot range, but preferably above the top of the range, any pull-back to the range should be seen as a buying opportunity, which turned out to the case.</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147" name="image75.png"/>
            <wp:cNvGraphicFramePr>
              <a:graphicFrameLocks noChangeAspect="1"/>
            </wp:cNvGraphicFramePr>
            <a:graphic>
              <a:graphicData uri="http://schemas.openxmlformats.org/drawingml/2006/picture">
                <pic:pic>
                  <pic:nvPicPr>
                    <pic:cNvPr id="148" name="image75.png"/>
                    <pic:cNvPicPr/>
                  </pic:nvPicPr>
                  <pic:blipFill>
                    <a:blip r:embed="rId184"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 6.4:</w:t>
      </w:r>
      <w:r>
        <w:rPr>
          <w:spacing w:val="1"/>
          <w:sz w:val="16"/>
        </w:rPr>
        <w:t> </w:t>
      </w:r>
      <w:r>
        <w:rPr>
          <w:sz w:val="16"/>
        </w:rPr>
        <w:t>Identifying the</w:t>
      </w:r>
      <w:r>
        <w:rPr>
          <w:spacing w:val="1"/>
          <w:sz w:val="16"/>
        </w:rPr>
        <w:t> </w:t>
      </w:r>
      <w:r>
        <w:rPr>
          <w:sz w:val="16"/>
        </w:rPr>
        <w:t>Higher Value relationship</w:t>
      </w:r>
      <w:r>
        <w:rPr>
          <w:spacing w:val="-1"/>
          <w:sz w:val="16"/>
        </w:rPr>
        <w:t> </w:t>
      </w:r>
      <w:r>
        <w:rPr>
          <w:sz w:val="16"/>
        </w:rPr>
        <w:t>using the</w:t>
      </w:r>
      <w:r>
        <w:rPr>
          <w:spacing w:val="1"/>
          <w:sz w:val="16"/>
        </w:rPr>
        <w:t> </w:t>
      </w:r>
      <w:r>
        <w:rPr>
          <w:sz w:val="16"/>
        </w:rPr>
        <w:t>DPR </w:t>
      </w:r>
      <w:r>
        <w:rPr>
          <w:spacing w:val="-2"/>
          <w:sz w:val="16"/>
        </w:rPr>
        <w:t>indicator</w:t>
      </w:r>
    </w:p>
    <w:p>
      <w:pPr>
        <w:pStyle w:val="BodyText"/>
        <w:spacing w:before="2"/>
      </w:pPr>
    </w:p>
    <w:p>
      <w:pPr>
        <w:pStyle w:val="BodyText"/>
        <w:ind w:left="140" w:right="497" w:firstLine="432"/>
        <w:jc w:val="both"/>
      </w:pPr>
      <w:r>
        <w:rPr/>
        <w:t>The most important factor that contributed to the positive outcome was the acceptance of directional bias by the day’s opening print. The fact that price opened the day above the bottom of the range indicated that market sentiment remained bullish overnight.</w:t>
      </w:r>
      <w:r>
        <w:rPr>
          <w:spacing w:val="-1"/>
        </w:rPr>
        <w:t> </w:t>
      </w:r>
      <w:r>
        <w:rPr/>
        <w:t>When this occurs, any pull-back to the range will likely be met with responsive buying activity. If the TF had</w:t>
      </w:r>
      <w:r>
        <w:rPr>
          <w:spacing w:val="40"/>
        </w:rPr>
        <w:t> </w:t>
      </w:r>
      <w:r>
        <w:rPr/>
        <w:t>opened the session below the bottom of the central pivot range, a completely different outcome would have been the result. That is, if the opening print</w:t>
      </w:r>
      <w:r>
        <w:rPr>
          <w:spacing w:val="40"/>
        </w:rPr>
        <w:t> </w:t>
      </w:r>
      <w:r>
        <w:rPr/>
        <w:t>had occurred at or below 624, price may have used the central pivot range as a fade opportunity in order to push price to lower value.</w:t>
      </w:r>
    </w:p>
    <w:p>
      <w:pPr>
        <w:pStyle w:val="BodyText"/>
        <w:ind w:left="140" w:right="495" w:firstLine="432"/>
        <w:jc w:val="both"/>
      </w:pPr>
      <w:r>
        <w:rPr/>
        <w:t>For example, Figure 6.5 shows a fifteen-minute chart of the E-Mini NASDAQ 100 futures contract on a day when a Higher Value relationship is present in the market. The fact that price closed above its pivot range in the prior session in addition to the Higher Value relationship indicated that continued strength should be seen the following day, as long as price opened above the bottom of the pivot range. However, the opening print rejected the bullish directional bias by opening well below the pivot range, adding a very bearish</w:t>
      </w:r>
      <w:r>
        <w:rPr>
          <w:spacing w:val="-1"/>
        </w:rPr>
        <w:t> </w:t>
      </w:r>
      <w:r>
        <w:rPr/>
        <w:t>tilt</w:t>
      </w:r>
      <w:r>
        <w:rPr>
          <w:spacing w:val="-1"/>
        </w:rPr>
        <w:t> </w:t>
      </w:r>
      <w:r>
        <w:rPr/>
        <w:t>to</w:t>
      </w:r>
      <w:r>
        <w:rPr>
          <w:spacing w:val="-3"/>
        </w:rPr>
        <w:t> </w:t>
      </w:r>
      <w:r>
        <w:rPr/>
        <w:t>the</w:t>
      </w:r>
      <w:r>
        <w:rPr>
          <w:spacing w:val="-1"/>
        </w:rPr>
        <w:t> </w:t>
      </w:r>
      <w:r>
        <w:rPr/>
        <w:t>morning.</w:t>
      </w:r>
      <w:r>
        <w:rPr>
          <w:spacing w:val="-2"/>
        </w:rPr>
        <w:t> </w:t>
      </w:r>
      <w:r>
        <w:rPr/>
        <w:t>When</w:t>
      </w:r>
      <w:r>
        <w:rPr>
          <w:spacing w:val="-1"/>
        </w:rPr>
        <w:t> </w:t>
      </w:r>
      <w:r>
        <w:rPr/>
        <w:t>this</w:t>
      </w:r>
      <w:r>
        <w:rPr>
          <w:spacing w:val="-2"/>
        </w:rPr>
        <w:t> </w:t>
      </w:r>
      <w:r>
        <w:rPr/>
        <w:t>occurs,</w:t>
      </w:r>
      <w:r>
        <w:rPr>
          <w:spacing w:val="-1"/>
        </w:rPr>
        <w:t> </w:t>
      </w:r>
      <w:r>
        <w:rPr/>
        <w:t>you</w:t>
      </w:r>
      <w:r>
        <w:rPr>
          <w:spacing w:val="-2"/>
        </w:rPr>
        <w:t> </w:t>
      </w:r>
      <w:r>
        <w:rPr/>
        <w:t>must</w:t>
      </w:r>
      <w:r>
        <w:rPr>
          <w:spacing w:val="-1"/>
        </w:rPr>
        <w:t> </w:t>
      </w:r>
      <w:r>
        <w:rPr/>
        <w:t>observe</w:t>
      </w:r>
      <w:r>
        <w:rPr>
          <w:spacing w:val="-1"/>
        </w:rPr>
        <w:t> </w:t>
      </w:r>
      <w:r>
        <w:rPr/>
        <w:t>price</w:t>
      </w:r>
      <w:r>
        <w:rPr>
          <w:spacing w:val="-1"/>
        </w:rPr>
        <w:t> </w:t>
      </w:r>
      <w:r>
        <w:rPr/>
        <w:t>to</w:t>
      </w:r>
      <w:r>
        <w:rPr>
          <w:spacing w:val="-1"/>
        </w:rPr>
        <w:t> </w:t>
      </w:r>
      <w:r>
        <w:rPr/>
        <w:t>pivot behavior as a test occurs at the pivot range. A rejection at the pivot range should yield another round of selling pressure that pushes price to new lows, which was the case in this instance.</w:t>
      </w:r>
    </w:p>
    <w:p>
      <w:pPr>
        <w:spacing w:after="0"/>
        <w:jc w:val="both"/>
        <w:sectPr>
          <w:pgSz w:w="8640" w:h="12960"/>
          <w:pgMar w:header="579" w:footer="1060" w:top="760" w:bottom="1260" w:left="580" w:right="580"/>
        </w:sectPr>
      </w:pPr>
    </w:p>
    <w:p>
      <w:pPr>
        <w:pStyle w:val="BodyText"/>
        <w:rPr>
          <w:sz w:val="20"/>
        </w:rPr>
      </w:pPr>
    </w:p>
    <w:p>
      <w:pPr>
        <w:pStyle w:val="BodyText"/>
        <w:rPr>
          <w:sz w:val="20"/>
        </w:rPr>
      </w:pPr>
    </w:p>
    <w:p>
      <w:pPr>
        <w:pStyle w:val="BodyText"/>
        <w:spacing w:before="2"/>
        <w:rPr>
          <w:sz w:val="10"/>
        </w:rPr>
      </w:pPr>
    </w:p>
    <w:p>
      <w:pPr>
        <w:pStyle w:val="BodyText"/>
        <w:ind w:left="500"/>
        <w:rPr>
          <w:sz w:val="20"/>
        </w:rPr>
      </w:pPr>
      <w:r>
        <w:rPr>
          <w:sz w:val="20"/>
        </w:rPr>
        <w:drawing>
          <wp:inline distT="0" distB="0" distL="0" distR="0">
            <wp:extent cx="4305217" cy="3077527"/>
            <wp:effectExtent l="0" t="0" r="0" b="0"/>
            <wp:docPr id="149" name="image76.png"/>
            <wp:cNvGraphicFramePr>
              <a:graphicFrameLocks noChangeAspect="1"/>
            </wp:cNvGraphicFramePr>
            <a:graphic>
              <a:graphicData uri="http://schemas.openxmlformats.org/drawingml/2006/picture">
                <pic:pic>
                  <pic:nvPicPr>
                    <pic:cNvPr id="150" name="image76.png"/>
                    <pic:cNvPicPr/>
                  </pic:nvPicPr>
                  <pic:blipFill>
                    <a:blip r:embed="rId185" cstate="print"/>
                    <a:stretch>
                      <a:fillRect/>
                    </a:stretch>
                  </pic:blipFill>
                  <pic:spPr>
                    <a:xfrm>
                      <a:off x="0" y="0"/>
                      <a:ext cx="4305217" cy="3077527"/>
                    </a:xfrm>
                    <a:prstGeom prst="rect">
                      <a:avLst/>
                    </a:prstGeom>
                  </pic:spPr>
                </pic:pic>
              </a:graphicData>
            </a:graphic>
          </wp:inline>
        </w:drawing>
      </w:r>
      <w:r>
        <w:rPr>
          <w:sz w:val="20"/>
        </w:rPr>
      </w:r>
    </w:p>
    <w:p>
      <w:pPr>
        <w:spacing w:before="48"/>
        <w:ind w:left="500" w:right="0" w:firstLine="0"/>
        <w:jc w:val="left"/>
        <w:rPr>
          <w:sz w:val="16"/>
        </w:rPr>
      </w:pPr>
      <w:r>
        <w:rPr>
          <w:sz w:val="16"/>
        </w:rPr>
        <w:t>FIGURE</w:t>
      </w:r>
      <w:r>
        <w:rPr>
          <w:spacing w:val="-1"/>
          <w:sz w:val="16"/>
        </w:rPr>
        <w:t> </w:t>
      </w:r>
      <w:r>
        <w:rPr>
          <w:sz w:val="16"/>
        </w:rPr>
        <w:t>6.5: You</w:t>
      </w:r>
      <w:r>
        <w:rPr>
          <w:spacing w:val="1"/>
          <w:sz w:val="16"/>
        </w:rPr>
        <w:t> </w:t>
      </w:r>
      <w:r>
        <w:rPr>
          <w:sz w:val="16"/>
        </w:rPr>
        <w:t>must let the</w:t>
      </w:r>
      <w:r>
        <w:rPr>
          <w:spacing w:val="1"/>
          <w:sz w:val="16"/>
        </w:rPr>
        <w:t> </w:t>
      </w:r>
      <w:r>
        <w:rPr>
          <w:sz w:val="16"/>
        </w:rPr>
        <w:t>market</w:t>
      </w:r>
      <w:r>
        <w:rPr>
          <w:spacing w:val="-1"/>
          <w:sz w:val="16"/>
        </w:rPr>
        <w:t> </w:t>
      </w:r>
      <w:r>
        <w:rPr>
          <w:sz w:val="16"/>
        </w:rPr>
        <w:t>prove each</w:t>
      </w:r>
      <w:r>
        <w:rPr>
          <w:spacing w:val="-1"/>
          <w:sz w:val="16"/>
        </w:rPr>
        <w:t> </w:t>
      </w:r>
      <w:r>
        <w:rPr>
          <w:sz w:val="16"/>
        </w:rPr>
        <w:t>relationship through</w:t>
      </w:r>
      <w:r>
        <w:rPr>
          <w:spacing w:val="-1"/>
          <w:sz w:val="16"/>
        </w:rPr>
        <w:t> </w:t>
      </w:r>
      <w:r>
        <w:rPr>
          <w:sz w:val="16"/>
        </w:rPr>
        <w:t>the</w:t>
      </w:r>
      <w:r>
        <w:rPr>
          <w:spacing w:val="-1"/>
          <w:sz w:val="16"/>
        </w:rPr>
        <w:t> </w:t>
      </w:r>
      <w:r>
        <w:rPr>
          <w:sz w:val="16"/>
        </w:rPr>
        <w:t>day’s</w:t>
      </w:r>
      <w:r>
        <w:rPr>
          <w:spacing w:val="1"/>
          <w:sz w:val="16"/>
        </w:rPr>
        <w:t> </w:t>
      </w:r>
      <w:r>
        <w:rPr>
          <w:sz w:val="16"/>
        </w:rPr>
        <w:t>opening</w:t>
      </w:r>
      <w:r>
        <w:rPr>
          <w:spacing w:val="-1"/>
          <w:sz w:val="16"/>
        </w:rPr>
        <w:t> </w:t>
      </w:r>
      <w:r>
        <w:rPr>
          <w:spacing w:val="-2"/>
          <w:sz w:val="16"/>
        </w:rPr>
        <w:t>price.</w:t>
      </w:r>
    </w:p>
    <w:p>
      <w:pPr>
        <w:pStyle w:val="BodyText"/>
        <w:spacing w:before="1"/>
      </w:pPr>
    </w:p>
    <w:p>
      <w:pPr>
        <w:pStyle w:val="BodyText"/>
        <w:spacing w:before="1"/>
        <w:ind w:left="499" w:right="136" w:firstLine="432"/>
        <w:jc w:val="both"/>
      </w:pPr>
      <w:r>
        <w:rPr/>
        <w:t>The next pivot range relationship is the Overlapping Higher Value relationship, which offers a moderately bullish outlook for the upcoming session. This relationship occurs when today’s pivot range is higher than yesterday’s range, but overlaps to some degree. Therefore, the top of the range is higher than the top of yesterday’s range, but the bottom of the range is lower than the top of yesterday’s range. The same closing and opening price dynamics are in effect for this relationship as well. If the market closes above its range in the prior session, a bullish bias should be assigned to the following day. However, where the market opens in the following session with either reject or accept this directional bias. In Figure 6.6, First Solar,</w:t>
      </w:r>
      <w:r>
        <w:rPr>
          <w:spacing w:val="40"/>
        </w:rPr>
        <w:t> </w:t>
      </w:r>
      <w:r>
        <w:rPr/>
        <w:t>Inc. clearly opened the day with a gap above the day’s central pivot range, which was clearly bullish. Typically, you will look to buy a pull-back at the central</w:t>
      </w:r>
      <w:r>
        <w:rPr>
          <w:spacing w:val="-1"/>
        </w:rPr>
        <w:t> </w:t>
      </w:r>
      <w:r>
        <w:rPr/>
        <w:t>pivot</w:t>
      </w:r>
      <w:r>
        <w:rPr>
          <w:spacing w:val="-2"/>
        </w:rPr>
        <w:t> </w:t>
      </w:r>
      <w:r>
        <w:rPr/>
        <w:t>range</w:t>
      </w:r>
      <w:r>
        <w:rPr>
          <w:spacing w:val="-1"/>
        </w:rPr>
        <w:t> </w:t>
      </w:r>
      <w:r>
        <w:rPr/>
        <w:t>ahead</w:t>
      </w:r>
      <w:r>
        <w:rPr>
          <w:spacing w:val="-1"/>
        </w:rPr>
        <w:t> </w:t>
      </w:r>
      <w:r>
        <w:rPr/>
        <w:t>of</w:t>
      </w:r>
      <w:r>
        <w:rPr>
          <w:spacing w:val="-1"/>
        </w:rPr>
        <w:t> </w:t>
      </w:r>
      <w:r>
        <w:rPr/>
        <w:t>a</w:t>
      </w:r>
      <w:r>
        <w:rPr>
          <w:spacing w:val="-1"/>
        </w:rPr>
        <w:t> </w:t>
      </w:r>
      <w:r>
        <w:rPr/>
        <w:t>push</w:t>
      </w:r>
      <w:r>
        <w:rPr>
          <w:spacing w:val="-2"/>
        </w:rPr>
        <w:t> </w:t>
      </w:r>
      <w:r>
        <w:rPr/>
        <w:t>to</w:t>
      </w:r>
      <w:r>
        <w:rPr>
          <w:spacing w:val="-2"/>
        </w:rPr>
        <w:t> </w:t>
      </w:r>
      <w:r>
        <w:rPr/>
        <w:t>new</w:t>
      </w:r>
      <w:r>
        <w:rPr>
          <w:spacing w:val="-1"/>
        </w:rPr>
        <w:t> </w:t>
      </w:r>
      <w:r>
        <w:rPr/>
        <w:t>highs.</w:t>
      </w:r>
      <w:r>
        <w:rPr>
          <w:spacing w:val="-1"/>
        </w:rPr>
        <w:t> </w:t>
      </w:r>
      <w:r>
        <w:rPr/>
        <w:t>However,</w:t>
      </w:r>
      <w:r>
        <w:rPr>
          <w:spacing w:val="-1"/>
        </w:rPr>
        <w:t> </w:t>
      </w:r>
      <w:r>
        <w:rPr/>
        <w:t>in</w:t>
      </w:r>
      <w:r>
        <w:rPr>
          <w:spacing w:val="-1"/>
        </w:rPr>
        <w:t> </w:t>
      </w:r>
      <w:r>
        <w:rPr/>
        <w:t>this</w:t>
      </w:r>
      <w:r>
        <w:rPr>
          <w:spacing w:val="-2"/>
        </w:rPr>
        <w:t> </w:t>
      </w:r>
      <w:r>
        <w:rPr/>
        <w:t>case,</w:t>
      </w:r>
      <w:r>
        <w:rPr>
          <w:spacing w:val="-1"/>
        </w:rPr>
        <w:t> </w:t>
      </w:r>
      <w:r>
        <w:rPr/>
        <w:t>price opened beyond the prior day’s range and value, which is clearly a breakout opportunity.</w:t>
      </w:r>
      <w:r>
        <w:rPr>
          <w:spacing w:val="-4"/>
        </w:rPr>
        <w:t> </w:t>
      </w:r>
      <w:r>
        <w:rPr/>
        <w:t>When</w:t>
      </w:r>
      <w:r>
        <w:rPr>
          <w:spacing w:val="-2"/>
        </w:rPr>
        <w:t> </w:t>
      </w:r>
      <w:r>
        <w:rPr/>
        <w:t>this</w:t>
      </w:r>
      <w:r>
        <w:rPr>
          <w:spacing w:val="-2"/>
        </w:rPr>
        <w:t> </w:t>
      </w:r>
      <w:r>
        <w:rPr/>
        <w:t>occurs,</w:t>
      </w:r>
      <w:r>
        <w:rPr>
          <w:spacing w:val="-2"/>
        </w:rPr>
        <w:t> </w:t>
      </w:r>
      <w:r>
        <w:rPr/>
        <w:t>you</w:t>
      </w:r>
      <w:r>
        <w:rPr>
          <w:spacing w:val="-2"/>
        </w:rPr>
        <w:t> </w:t>
      </w:r>
      <w:r>
        <w:rPr/>
        <w:t>look</w:t>
      </w:r>
      <w:r>
        <w:rPr>
          <w:spacing w:val="-2"/>
        </w:rPr>
        <w:t> </w:t>
      </w:r>
      <w:r>
        <w:rPr/>
        <w:t>for</w:t>
      </w:r>
      <w:r>
        <w:rPr>
          <w:spacing w:val="-2"/>
        </w:rPr>
        <w:t> </w:t>
      </w:r>
      <w:r>
        <w:rPr/>
        <w:t>signs</w:t>
      </w:r>
      <w:r>
        <w:rPr>
          <w:spacing w:val="-2"/>
        </w:rPr>
        <w:t> </w:t>
      </w:r>
      <w:r>
        <w:rPr/>
        <w:t>of</w:t>
      </w:r>
      <w:r>
        <w:rPr>
          <w:spacing w:val="-3"/>
        </w:rPr>
        <w:t> </w:t>
      </w:r>
      <w:r>
        <w:rPr/>
        <w:t>bullish</w:t>
      </w:r>
      <w:r>
        <w:rPr>
          <w:spacing w:val="-2"/>
        </w:rPr>
        <w:t> </w:t>
      </w:r>
      <w:r>
        <w:rPr/>
        <w:t>confirmation</w:t>
      </w:r>
      <w:r>
        <w:rPr>
          <w:spacing w:val="-2"/>
        </w:rPr>
        <w:t> </w:t>
      </w:r>
      <w:r>
        <w:rPr/>
        <w:t>and enter the trade in the direction of the break in hopes of riding the trend as</w:t>
      </w:r>
      <w:r>
        <w:rPr>
          <w:spacing w:val="40"/>
        </w:rPr>
        <w:t> </w:t>
      </w:r>
      <w:r>
        <w:rPr/>
        <w:t>long as possible.</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151" name="image77.png"/>
            <wp:cNvGraphicFramePr>
              <a:graphicFrameLocks noChangeAspect="1"/>
            </wp:cNvGraphicFramePr>
            <a:graphic>
              <a:graphicData uri="http://schemas.openxmlformats.org/drawingml/2006/picture">
                <pic:pic>
                  <pic:nvPicPr>
                    <pic:cNvPr id="152" name="image77.png"/>
                    <pic:cNvPicPr/>
                  </pic:nvPicPr>
                  <pic:blipFill>
                    <a:blip r:embed="rId186"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4"/>
          <w:sz w:val="16"/>
        </w:rPr>
        <w:t> </w:t>
      </w:r>
      <w:r>
        <w:rPr>
          <w:sz w:val="16"/>
        </w:rPr>
        <w:t>6.6:</w:t>
      </w:r>
      <w:r>
        <w:rPr>
          <w:spacing w:val="7"/>
          <w:sz w:val="16"/>
        </w:rPr>
        <w:t> </w:t>
      </w:r>
      <w:r>
        <w:rPr>
          <w:sz w:val="16"/>
        </w:rPr>
        <w:t>The</w:t>
      </w:r>
      <w:r>
        <w:rPr>
          <w:spacing w:val="6"/>
          <w:sz w:val="16"/>
        </w:rPr>
        <w:t> </w:t>
      </w:r>
      <w:r>
        <w:rPr>
          <w:sz w:val="16"/>
        </w:rPr>
        <w:t>Overlapping</w:t>
      </w:r>
      <w:r>
        <w:rPr>
          <w:spacing w:val="5"/>
          <w:sz w:val="16"/>
        </w:rPr>
        <w:t> </w:t>
      </w:r>
      <w:r>
        <w:rPr>
          <w:sz w:val="16"/>
        </w:rPr>
        <w:t>Higher</w:t>
      </w:r>
      <w:r>
        <w:rPr>
          <w:spacing w:val="5"/>
          <w:sz w:val="16"/>
        </w:rPr>
        <w:t> </w:t>
      </w:r>
      <w:r>
        <w:rPr>
          <w:sz w:val="16"/>
        </w:rPr>
        <w:t>Value</w:t>
      </w:r>
      <w:r>
        <w:rPr>
          <w:spacing w:val="6"/>
          <w:sz w:val="16"/>
        </w:rPr>
        <w:t> </w:t>
      </w:r>
      <w:r>
        <w:rPr>
          <w:spacing w:val="-2"/>
          <w:sz w:val="16"/>
        </w:rPr>
        <w:t>relationship</w:t>
      </w:r>
    </w:p>
    <w:p>
      <w:pPr>
        <w:pStyle w:val="BodyText"/>
        <w:spacing w:before="2"/>
      </w:pPr>
    </w:p>
    <w:p>
      <w:pPr>
        <w:pStyle w:val="BodyText"/>
        <w:ind w:left="139" w:right="496" w:firstLine="432"/>
        <w:jc w:val="both"/>
      </w:pPr>
      <w:r>
        <w:rPr/>
        <w:t>The next type of pivot range relationship is the Lower Value relationship, which occurs when the current day’s pivot range is completely lower than the prior session’s range. This is the most bearish two-day relationship and typically leads to further weakness should the current day’s opening price confirm the directional bias. If price opens the session below the central pivot range, you will look to sell any pull-back to the range ahead of a drop to new lows within the current trend.</w:t>
      </w:r>
    </w:p>
    <w:p>
      <w:pPr>
        <w:pStyle w:val="BodyText"/>
        <w:ind w:left="139" w:right="498" w:firstLine="432"/>
        <w:jc w:val="both"/>
      </w:pPr>
      <w:r>
        <w:rPr/>
        <w:t>Let’s take at look at Figure 6.7 as an example, which is a fifteen-minute chart of Natural Gas futures. The two-day relationship is clearly a Lower Value situation, which points to continued weakness in the upcoming</w:t>
      </w:r>
      <w:r>
        <w:rPr>
          <w:spacing w:val="40"/>
        </w:rPr>
        <w:t> </w:t>
      </w:r>
      <w:r>
        <w:rPr/>
        <w:t>session. This bias is confirmed by the fact that price closed the day below its pivot range. Moreover, price opened the current session </w:t>
      </w:r>
      <w:r>
        <w:rPr>
          <w:i/>
        </w:rPr>
        <w:t>below </w:t>
      </w:r>
      <w:r>
        <w:rPr/>
        <w:t>the central pivot range, which offers the best opportunity to sell a pull-back should price test the pivot range. In this case, price pulled back modestly into the range, but was immediately met with selling pressure, which led to another wave of weakness in this contract. When this type of price to pivot behavior occurs, I look for confirmation that a potential sell-off may occur. In this case, an indecisive doji candlestick formed thirty minutes into the day, offering a</w:t>
      </w:r>
      <w:r>
        <w:rPr>
          <w:spacing w:val="40"/>
        </w:rPr>
        <w:t> </w:t>
      </w:r>
      <w:r>
        <w:rPr/>
        <w:t>great indication that price was likely to push lower, thus signaling a potential short entry play.</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153" name="image78.png"/>
            <wp:cNvGraphicFramePr>
              <a:graphicFrameLocks noChangeAspect="1"/>
            </wp:cNvGraphicFramePr>
            <a:graphic>
              <a:graphicData uri="http://schemas.openxmlformats.org/drawingml/2006/picture">
                <pic:pic>
                  <pic:nvPicPr>
                    <pic:cNvPr id="154" name="image78.png"/>
                    <pic:cNvPicPr/>
                  </pic:nvPicPr>
                  <pic:blipFill>
                    <a:blip r:embed="rId187"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6"/>
          <w:sz w:val="16"/>
        </w:rPr>
        <w:t> </w:t>
      </w:r>
      <w:r>
        <w:rPr>
          <w:sz w:val="16"/>
        </w:rPr>
        <w:t>6.7:</w:t>
      </w:r>
      <w:r>
        <w:rPr>
          <w:spacing w:val="7"/>
          <w:sz w:val="16"/>
        </w:rPr>
        <w:t> </w:t>
      </w:r>
      <w:r>
        <w:rPr>
          <w:sz w:val="16"/>
        </w:rPr>
        <w:t>The</w:t>
      </w:r>
      <w:r>
        <w:rPr>
          <w:spacing w:val="7"/>
          <w:sz w:val="16"/>
        </w:rPr>
        <w:t> </w:t>
      </w:r>
      <w:r>
        <w:rPr>
          <w:sz w:val="16"/>
        </w:rPr>
        <w:t>Lower</w:t>
      </w:r>
      <w:r>
        <w:rPr>
          <w:spacing w:val="8"/>
          <w:sz w:val="16"/>
        </w:rPr>
        <w:t> </w:t>
      </w:r>
      <w:r>
        <w:rPr>
          <w:sz w:val="16"/>
        </w:rPr>
        <w:t>Value</w:t>
      </w:r>
      <w:r>
        <w:rPr>
          <w:spacing w:val="7"/>
          <w:sz w:val="16"/>
        </w:rPr>
        <w:t> </w:t>
      </w:r>
      <w:r>
        <w:rPr>
          <w:spacing w:val="-2"/>
          <w:sz w:val="16"/>
        </w:rPr>
        <w:t>relationship</w:t>
      </w:r>
    </w:p>
    <w:p>
      <w:pPr>
        <w:pStyle w:val="BodyText"/>
        <w:spacing w:before="2"/>
      </w:pPr>
    </w:p>
    <w:p>
      <w:pPr>
        <w:pStyle w:val="BodyText"/>
        <w:ind w:left="499" w:right="135" w:firstLine="432"/>
        <w:jc w:val="both"/>
      </w:pPr>
      <w:r>
        <w:rPr/>
        <w:t>Let’s take a look at how the developing pivot range indicator looks the day before this two-day Lower Value relationship develops. Figure 6.8</w:t>
      </w:r>
      <w:r>
        <w:rPr>
          <w:spacing w:val="80"/>
        </w:rPr>
        <w:t> </w:t>
      </w:r>
      <w:r>
        <w:rPr/>
        <w:t>shows a five-minute chart of the same Natural Gas chart as above, but shows the day before the actual trade opportunity. Notice that the developing pivot range indicator closes the day well below the day’s static pivot range, which means the following day will carry a bearish Lower Value relationship. Moreover, the commodity closed the session below both the static and developing pivot ranges, setting the stage for a “sell the rally” opportunity</w:t>
      </w:r>
      <w:r>
        <w:rPr>
          <w:spacing w:val="40"/>
        </w:rPr>
        <w:t> </w:t>
      </w:r>
      <w:r>
        <w:rPr/>
        <w:t>the next day. Therefore, if price opens the following session below the top of the pivot range, but preferably below the bottom of the range, any pull-back to the range should be a selling opportunity, which turned out to be the case.</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155" name="image79.png"/>
            <wp:cNvGraphicFramePr>
              <a:graphicFrameLocks noChangeAspect="1"/>
            </wp:cNvGraphicFramePr>
            <a:graphic>
              <a:graphicData uri="http://schemas.openxmlformats.org/drawingml/2006/picture">
                <pic:pic>
                  <pic:nvPicPr>
                    <pic:cNvPr id="156" name="image79.png"/>
                    <pic:cNvPicPr/>
                  </pic:nvPicPr>
                  <pic:blipFill>
                    <a:blip r:embed="rId188"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 6.8:</w:t>
      </w:r>
      <w:r>
        <w:rPr>
          <w:spacing w:val="1"/>
          <w:sz w:val="16"/>
        </w:rPr>
        <w:t> </w:t>
      </w:r>
      <w:r>
        <w:rPr>
          <w:sz w:val="16"/>
        </w:rPr>
        <w:t>Identifying a Lower</w:t>
      </w:r>
      <w:r>
        <w:rPr>
          <w:spacing w:val="1"/>
          <w:sz w:val="16"/>
        </w:rPr>
        <w:t> </w:t>
      </w:r>
      <w:r>
        <w:rPr>
          <w:sz w:val="16"/>
        </w:rPr>
        <w:t>Value</w:t>
      </w:r>
      <w:r>
        <w:rPr>
          <w:spacing w:val="1"/>
          <w:sz w:val="16"/>
        </w:rPr>
        <w:t> </w:t>
      </w:r>
      <w:r>
        <w:rPr>
          <w:sz w:val="16"/>
        </w:rPr>
        <w:t>relationship</w:t>
      </w:r>
      <w:r>
        <w:rPr>
          <w:spacing w:val="-1"/>
          <w:sz w:val="16"/>
        </w:rPr>
        <w:t> </w:t>
      </w:r>
      <w:r>
        <w:rPr>
          <w:sz w:val="16"/>
        </w:rPr>
        <w:t>using the DPR </w:t>
      </w:r>
      <w:r>
        <w:rPr>
          <w:spacing w:val="-2"/>
          <w:sz w:val="16"/>
        </w:rPr>
        <w:t>indicator</w:t>
      </w:r>
    </w:p>
    <w:p>
      <w:pPr>
        <w:pStyle w:val="BodyText"/>
        <w:spacing w:before="2"/>
      </w:pPr>
    </w:p>
    <w:p>
      <w:pPr>
        <w:pStyle w:val="BodyText"/>
        <w:ind w:left="139" w:right="495" w:firstLine="432"/>
        <w:jc w:val="both"/>
      </w:pPr>
      <w:r>
        <w:rPr/>
        <w:t>It must be reiterated, however, that just because a two-day relationship implies a certain behavior in price, this bias must be confirmed by the opening print. While a Lower Value relationship is the most bearish two-day relationship, perhaps the biggest rallies occur when the opening print rejects the original bias. Take a look at Figure 6.9, which is a fifteen-minute chart of Research In Motion, Ltd. It shows a two-day Lower Value relationship. Notice that the opening print did not confirm the bearish directional bias of the two-day relationship. Instead, price opened the day </w:t>
      </w:r>
      <w:r>
        <w:rPr>
          <w:i/>
        </w:rPr>
        <w:t>above </w:t>
      </w:r>
      <w:r>
        <w:rPr/>
        <w:t>the central</w:t>
      </w:r>
      <w:r>
        <w:rPr>
          <w:spacing w:val="40"/>
        </w:rPr>
        <w:t> </w:t>
      </w:r>
      <w:r>
        <w:rPr/>
        <w:t>pivot range and </w:t>
      </w:r>
      <w:r>
        <w:rPr>
          <w:i/>
        </w:rPr>
        <w:t>beyond </w:t>
      </w:r>
      <w:r>
        <w:rPr/>
        <w:t>the prior day’s price range, which is emphatically bullish. This is a perfect example of a drastic shift in market sentiment occurring overnight. When this occurs, initiative participants are extremely eager to push price to new value, which sparks a major move in the direction of the break, which was up in this case.</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157" name="image80.png"/>
            <wp:cNvGraphicFramePr>
              <a:graphicFrameLocks noChangeAspect="1"/>
            </wp:cNvGraphicFramePr>
            <a:graphic>
              <a:graphicData uri="http://schemas.openxmlformats.org/drawingml/2006/picture">
                <pic:pic>
                  <pic:nvPicPr>
                    <pic:cNvPr id="158" name="image80.png"/>
                    <pic:cNvPicPr/>
                  </pic:nvPicPr>
                  <pic:blipFill>
                    <a:blip r:embed="rId189"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 6.9:</w:t>
      </w:r>
      <w:r>
        <w:rPr>
          <w:spacing w:val="1"/>
          <w:sz w:val="16"/>
        </w:rPr>
        <w:t> </w:t>
      </w:r>
      <w:r>
        <w:rPr>
          <w:sz w:val="16"/>
        </w:rPr>
        <w:t>Price opens</w:t>
      </w:r>
      <w:r>
        <w:rPr>
          <w:spacing w:val="1"/>
          <w:sz w:val="16"/>
        </w:rPr>
        <w:t> </w:t>
      </w:r>
      <w:r>
        <w:rPr>
          <w:sz w:val="16"/>
        </w:rPr>
        <w:t>the day</w:t>
      </w:r>
      <w:r>
        <w:rPr>
          <w:spacing w:val="1"/>
          <w:sz w:val="16"/>
        </w:rPr>
        <w:t> </w:t>
      </w:r>
      <w:r>
        <w:rPr>
          <w:sz w:val="16"/>
        </w:rPr>
        <w:t>in</w:t>
      </w:r>
      <w:r>
        <w:rPr>
          <w:spacing w:val="1"/>
          <w:sz w:val="16"/>
        </w:rPr>
        <w:t> </w:t>
      </w:r>
      <w:r>
        <w:rPr>
          <w:sz w:val="16"/>
        </w:rPr>
        <w:t>stark</w:t>
      </w:r>
      <w:r>
        <w:rPr>
          <w:spacing w:val="1"/>
          <w:sz w:val="16"/>
        </w:rPr>
        <w:t> </w:t>
      </w:r>
      <w:r>
        <w:rPr>
          <w:sz w:val="16"/>
        </w:rPr>
        <w:t>contrast to</w:t>
      </w:r>
      <w:r>
        <w:rPr>
          <w:spacing w:val="1"/>
          <w:sz w:val="16"/>
        </w:rPr>
        <w:t> </w:t>
      </w:r>
      <w:r>
        <w:rPr>
          <w:sz w:val="16"/>
        </w:rPr>
        <w:t>the two-day</w:t>
      </w:r>
      <w:r>
        <w:rPr>
          <w:spacing w:val="2"/>
          <w:sz w:val="16"/>
        </w:rPr>
        <w:t> </w:t>
      </w:r>
      <w:r>
        <w:rPr>
          <w:spacing w:val="-2"/>
          <w:sz w:val="16"/>
        </w:rPr>
        <w:t>relationship</w:t>
      </w:r>
    </w:p>
    <w:p>
      <w:pPr>
        <w:pStyle w:val="BodyText"/>
        <w:spacing w:before="2"/>
      </w:pPr>
    </w:p>
    <w:p>
      <w:pPr>
        <w:pStyle w:val="BodyText"/>
        <w:ind w:left="499" w:right="137" w:firstLine="432"/>
        <w:jc w:val="both"/>
      </w:pPr>
      <w:r>
        <w:rPr/>
        <w:t>The next two-day relationship is the Overlapping Lower Value relationship, which occurs when the current day’s pivot range is lower than the prior day’s range, but overlaps to a degree. That is, the current day’s bottom</w:t>
      </w:r>
      <w:r>
        <w:rPr>
          <w:spacing w:val="-1"/>
        </w:rPr>
        <w:t> </w:t>
      </w:r>
      <w:r>
        <w:rPr/>
        <w:t>central</w:t>
      </w:r>
      <w:r>
        <w:rPr>
          <w:spacing w:val="-1"/>
        </w:rPr>
        <w:t> </w:t>
      </w:r>
      <w:r>
        <w:rPr/>
        <w:t>pivot</w:t>
      </w:r>
      <w:r>
        <w:rPr>
          <w:spacing w:val="-1"/>
        </w:rPr>
        <w:t> </w:t>
      </w:r>
      <w:r>
        <w:rPr/>
        <w:t>is</w:t>
      </w:r>
      <w:r>
        <w:rPr>
          <w:spacing w:val="-1"/>
        </w:rPr>
        <w:t> </w:t>
      </w:r>
      <w:r>
        <w:rPr/>
        <w:t>lower</w:t>
      </w:r>
      <w:r>
        <w:rPr>
          <w:spacing w:val="-1"/>
        </w:rPr>
        <w:t> </w:t>
      </w:r>
      <w:r>
        <w:rPr/>
        <w:t>than</w:t>
      </w:r>
      <w:r>
        <w:rPr>
          <w:spacing w:val="-1"/>
        </w:rPr>
        <w:t> </w:t>
      </w:r>
      <w:r>
        <w:rPr/>
        <w:t>the</w:t>
      </w:r>
      <w:r>
        <w:rPr>
          <w:spacing w:val="-1"/>
        </w:rPr>
        <w:t> </w:t>
      </w:r>
      <w:r>
        <w:rPr/>
        <w:t>bottom of</w:t>
      </w:r>
      <w:r>
        <w:rPr>
          <w:spacing w:val="-1"/>
        </w:rPr>
        <w:t> </w:t>
      </w:r>
      <w:r>
        <w:rPr/>
        <w:t>the</w:t>
      </w:r>
      <w:r>
        <w:rPr>
          <w:spacing w:val="-1"/>
        </w:rPr>
        <w:t> </w:t>
      </w:r>
      <w:r>
        <w:rPr/>
        <w:t>prior</w:t>
      </w:r>
      <w:r>
        <w:rPr>
          <w:spacing w:val="-1"/>
        </w:rPr>
        <w:t> </w:t>
      </w:r>
      <w:r>
        <w:rPr/>
        <w:t>day’s</w:t>
      </w:r>
      <w:r>
        <w:rPr>
          <w:spacing w:val="-1"/>
        </w:rPr>
        <w:t> </w:t>
      </w:r>
      <w:r>
        <w:rPr/>
        <w:t>range,</w:t>
      </w:r>
      <w:r>
        <w:rPr>
          <w:spacing w:val="-1"/>
        </w:rPr>
        <w:t> </w:t>
      </w:r>
      <w:r>
        <w:rPr/>
        <w:t>but</w:t>
      </w:r>
      <w:r>
        <w:rPr>
          <w:spacing w:val="-1"/>
        </w:rPr>
        <w:t> </w:t>
      </w:r>
      <w:r>
        <w:rPr/>
        <w:t>the top of the current day’s range is higher than the bottom of the prior day’s range. This relationship indicates a moderately bearish outlook for the forthcoming session. That is, if price opens within or below the pivot range, price should continue to auction lower. Any pull-back to the range should be seen as a selling opportunity.</w:t>
      </w:r>
    </w:p>
    <w:p>
      <w:pPr>
        <w:pStyle w:val="BodyText"/>
        <w:ind w:left="499" w:right="136" w:firstLine="432"/>
        <w:jc w:val="both"/>
      </w:pPr>
      <w:r>
        <w:rPr/>
        <w:t>Take</w:t>
      </w:r>
      <w:r>
        <w:rPr>
          <w:spacing w:val="-2"/>
        </w:rPr>
        <w:t> </w:t>
      </w:r>
      <w:r>
        <w:rPr/>
        <w:t>a</w:t>
      </w:r>
      <w:r>
        <w:rPr>
          <w:spacing w:val="-2"/>
        </w:rPr>
        <w:t> </w:t>
      </w:r>
      <w:r>
        <w:rPr/>
        <w:t>look</w:t>
      </w:r>
      <w:r>
        <w:rPr>
          <w:spacing w:val="-3"/>
        </w:rPr>
        <w:t> </w:t>
      </w:r>
      <w:r>
        <w:rPr/>
        <w:t>at</w:t>
      </w:r>
      <w:r>
        <w:rPr>
          <w:spacing w:val="-2"/>
        </w:rPr>
        <w:t> </w:t>
      </w:r>
      <w:r>
        <w:rPr/>
        <w:t>Figure</w:t>
      </w:r>
      <w:r>
        <w:rPr>
          <w:spacing w:val="-3"/>
        </w:rPr>
        <w:t> </w:t>
      </w:r>
      <w:r>
        <w:rPr/>
        <w:t>6.10,</w:t>
      </w:r>
      <w:r>
        <w:rPr>
          <w:spacing w:val="-4"/>
        </w:rPr>
        <w:t> </w:t>
      </w:r>
      <w:r>
        <w:rPr/>
        <w:t>which</w:t>
      </w:r>
      <w:r>
        <w:rPr>
          <w:spacing w:val="-2"/>
        </w:rPr>
        <w:t> </w:t>
      </w:r>
      <w:r>
        <w:rPr/>
        <w:t>is</w:t>
      </w:r>
      <w:r>
        <w:rPr>
          <w:spacing w:val="-2"/>
        </w:rPr>
        <w:t> </w:t>
      </w:r>
      <w:r>
        <w:rPr/>
        <w:t>a</w:t>
      </w:r>
      <w:r>
        <w:rPr>
          <w:spacing w:val="-2"/>
        </w:rPr>
        <w:t> </w:t>
      </w:r>
      <w:r>
        <w:rPr/>
        <w:t>fifteen-minute</w:t>
      </w:r>
      <w:r>
        <w:rPr>
          <w:spacing w:val="-2"/>
        </w:rPr>
        <w:t> </w:t>
      </w:r>
      <w:r>
        <w:rPr/>
        <w:t>chart</w:t>
      </w:r>
      <w:r>
        <w:rPr>
          <w:spacing w:val="-2"/>
        </w:rPr>
        <w:t> </w:t>
      </w:r>
      <w:r>
        <w:rPr/>
        <w:t>of</w:t>
      </w:r>
      <w:r>
        <w:rPr>
          <w:spacing w:val="-2"/>
        </w:rPr>
        <w:t> </w:t>
      </w:r>
      <w:r>
        <w:rPr/>
        <w:t>Baidu,</w:t>
      </w:r>
      <w:r>
        <w:rPr>
          <w:spacing w:val="-3"/>
        </w:rPr>
        <w:t> </w:t>
      </w:r>
      <w:r>
        <w:rPr/>
        <w:t>Inc. (ticker: BIDU) that shows a clear Overlapping Lower Value relationship. In this case, price opened the day below the pivot range, essentially accepting a bearish directional bias. If price were to rally into the pivot range, there is a good chance that the advance would be met with selling pressure, thus allowing you to sell a pull-back ahead of a potential push to new lows. In the chart below, BIDU opened the day with a highly bearish gap that occurred beyond the prior day’s price range, essentially sparking a bearish breakaway opportunity, which confirmed the bearish nature of the two-day relationship.</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159" name="image81.png"/>
            <wp:cNvGraphicFramePr>
              <a:graphicFrameLocks noChangeAspect="1"/>
            </wp:cNvGraphicFramePr>
            <a:graphic>
              <a:graphicData uri="http://schemas.openxmlformats.org/drawingml/2006/picture">
                <pic:pic>
                  <pic:nvPicPr>
                    <pic:cNvPr id="160" name="image81.png"/>
                    <pic:cNvPicPr/>
                  </pic:nvPicPr>
                  <pic:blipFill>
                    <a:blip r:embed="rId190"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6"/>
          <w:sz w:val="16"/>
        </w:rPr>
        <w:t> </w:t>
      </w:r>
      <w:r>
        <w:rPr>
          <w:sz w:val="16"/>
        </w:rPr>
        <w:t>6.10:</w:t>
      </w:r>
      <w:r>
        <w:rPr>
          <w:spacing w:val="7"/>
          <w:sz w:val="16"/>
        </w:rPr>
        <w:t> </w:t>
      </w:r>
      <w:r>
        <w:rPr>
          <w:sz w:val="16"/>
        </w:rPr>
        <w:t>Overlapping</w:t>
      </w:r>
      <w:r>
        <w:rPr>
          <w:spacing w:val="6"/>
          <w:sz w:val="16"/>
        </w:rPr>
        <w:t> </w:t>
      </w:r>
      <w:r>
        <w:rPr>
          <w:sz w:val="16"/>
        </w:rPr>
        <w:t>Lower</w:t>
      </w:r>
      <w:r>
        <w:rPr>
          <w:spacing w:val="8"/>
          <w:sz w:val="16"/>
        </w:rPr>
        <w:t> </w:t>
      </w:r>
      <w:r>
        <w:rPr>
          <w:sz w:val="16"/>
        </w:rPr>
        <w:t>Value</w:t>
      </w:r>
      <w:r>
        <w:rPr>
          <w:spacing w:val="7"/>
          <w:sz w:val="16"/>
        </w:rPr>
        <w:t> </w:t>
      </w:r>
      <w:r>
        <w:rPr>
          <w:spacing w:val="-2"/>
          <w:sz w:val="16"/>
        </w:rPr>
        <w:t>relationship</w:t>
      </w:r>
    </w:p>
    <w:p>
      <w:pPr>
        <w:pStyle w:val="BodyText"/>
        <w:spacing w:before="2"/>
      </w:pPr>
    </w:p>
    <w:p>
      <w:pPr>
        <w:pStyle w:val="BodyText"/>
        <w:ind w:left="139" w:right="496" w:firstLine="432"/>
        <w:jc w:val="both"/>
      </w:pPr>
      <w:r>
        <w:rPr/>
        <w:t>The two-day Unchanged Value relationship occurs when the current pivot range is virtually unchanged from the prior day’s range. Of the seven two-day relationships, this is the only one that can project two very different outcomes, posing a bit of a dichotomy. On the one hand, a two-day neutral pivot range indicates that the market is satisfied with the facilitation of trade within the current range. When this occurs, the market will trade quietly within the boundaries of the existing two or three day trading range. On the other hand, however, a two-day unchanged pivot range relationship can indicate the market is on the verge of a major breakout opportunity, similar</w:t>
      </w:r>
      <w:r>
        <w:rPr>
          <w:spacing w:val="80"/>
        </w:rPr>
        <w:t> </w:t>
      </w:r>
      <w:r>
        <w:rPr/>
        <w:t>to when the market has formed two, or more, points of control that are unchanged. The outcome is typically driven by the opening print of the current session. If the market opens the day near the prior session’s closing price and well within the prior day’s range, the market will likely lack the conviction necessary for a breakout attempt. If the opening print occurs beyond the prior day’s price range, or very close to an extreme, the chances are good that a breakout opportunity may lie ahead.</w:t>
      </w:r>
    </w:p>
    <w:p>
      <w:pPr>
        <w:pStyle w:val="BodyText"/>
        <w:ind w:left="139" w:right="497" w:firstLine="432"/>
        <w:jc w:val="both"/>
      </w:pPr>
      <w:r>
        <w:rPr/>
        <w:t>Take</w:t>
      </w:r>
      <w:r>
        <w:rPr>
          <w:spacing w:val="-2"/>
        </w:rPr>
        <w:t> </w:t>
      </w:r>
      <w:r>
        <w:rPr/>
        <w:t>a</w:t>
      </w:r>
      <w:r>
        <w:rPr>
          <w:spacing w:val="-2"/>
        </w:rPr>
        <w:t> </w:t>
      </w:r>
      <w:r>
        <w:rPr/>
        <w:t>look</w:t>
      </w:r>
      <w:r>
        <w:rPr>
          <w:spacing w:val="-3"/>
        </w:rPr>
        <w:t> </w:t>
      </w:r>
      <w:r>
        <w:rPr/>
        <w:t>at</w:t>
      </w:r>
      <w:r>
        <w:rPr>
          <w:spacing w:val="-2"/>
        </w:rPr>
        <w:t> </w:t>
      </w:r>
      <w:r>
        <w:rPr/>
        <w:t>Figure</w:t>
      </w:r>
      <w:r>
        <w:rPr>
          <w:spacing w:val="-3"/>
        </w:rPr>
        <w:t> </w:t>
      </w:r>
      <w:r>
        <w:rPr/>
        <w:t>6.11,</w:t>
      </w:r>
      <w:r>
        <w:rPr>
          <w:spacing w:val="-4"/>
        </w:rPr>
        <w:t> </w:t>
      </w:r>
      <w:r>
        <w:rPr/>
        <w:t>which</w:t>
      </w:r>
      <w:r>
        <w:rPr>
          <w:spacing w:val="-2"/>
        </w:rPr>
        <w:t> </w:t>
      </w:r>
      <w:r>
        <w:rPr/>
        <w:t>is</w:t>
      </w:r>
      <w:r>
        <w:rPr>
          <w:spacing w:val="-2"/>
        </w:rPr>
        <w:t> </w:t>
      </w:r>
      <w:r>
        <w:rPr/>
        <w:t>a</w:t>
      </w:r>
      <w:r>
        <w:rPr>
          <w:spacing w:val="-2"/>
        </w:rPr>
        <w:t> </w:t>
      </w:r>
      <w:r>
        <w:rPr/>
        <w:t>fifteen-minute</w:t>
      </w:r>
      <w:r>
        <w:rPr>
          <w:spacing w:val="-2"/>
        </w:rPr>
        <w:t> </w:t>
      </w:r>
      <w:r>
        <w:rPr/>
        <w:t>chart</w:t>
      </w:r>
      <w:r>
        <w:rPr>
          <w:spacing w:val="-2"/>
        </w:rPr>
        <w:t> </w:t>
      </w:r>
      <w:r>
        <w:rPr/>
        <w:t>of</w:t>
      </w:r>
      <w:r>
        <w:rPr>
          <w:spacing w:val="-2"/>
        </w:rPr>
        <w:t> </w:t>
      </w:r>
      <w:r>
        <w:rPr/>
        <w:t>the</w:t>
      </w:r>
      <w:r>
        <w:rPr>
          <w:spacing w:val="-2"/>
        </w:rPr>
        <w:t> </w:t>
      </w:r>
      <w:r>
        <w:rPr/>
        <w:t>Russell 2000 Index Mini Futures contract that shows a two-day Unchanged Value relationship. On this particular day, price opened the session with a</w:t>
      </w:r>
      <w:r>
        <w:rPr>
          <w:spacing w:val="40"/>
        </w:rPr>
        <w:t> </w:t>
      </w:r>
      <w:r>
        <w:rPr/>
        <w:t>noticeable</w:t>
      </w:r>
      <w:r>
        <w:rPr>
          <w:spacing w:val="45"/>
        </w:rPr>
        <w:t> </w:t>
      </w:r>
      <w:r>
        <w:rPr/>
        <w:t>move</w:t>
      </w:r>
      <w:r>
        <w:rPr>
          <w:spacing w:val="45"/>
        </w:rPr>
        <w:t> </w:t>
      </w:r>
      <w:r>
        <w:rPr/>
        <w:t>away</w:t>
      </w:r>
      <w:r>
        <w:rPr>
          <w:spacing w:val="44"/>
        </w:rPr>
        <w:t> </w:t>
      </w:r>
      <w:r>
        <w:rPr/>
        <w:t>from</w:t>
      </w:r>
      <w:r>
        <w:rPr>
          <w:spacing w:val="45"/>
        </w:rPr>
        <w:t> </w:t>
      </w:r>
      <w:r>
        <w:rPr/>
        <w:t>the</w:t>
      </w:r>
      <w:r>
        <w:rPr>
          <w:spacing w:val="45"/>
        </w:rPr>
        <w:t> </w:t>
      </w:r>
      <w:r>
        <w:rPr/>
        <w:t>prior</w:t>
      </w:r>
      <w:r>
        <w:rPr>
          <w:spacing w:val="44"/>
        </w:rPr>
        <w:t> </w:t>
      </w:r>
      <w:r>
        <w:rPr/>
        <w:t>day’s</w:t>
      </w:r>
      <w:r>
        <w:rPr>
          <w:spacing w:val="45"/>
        </w:rPr>
        <w:t> </w:t>
      </w:r>
      <w:r>
        <w:rPr/>
        <w:t>closing</w:t>
      </w:r>
      <w:r>
        <w:rPr>
          <w:spacing w:val="45"/>
        </w:rPr>
        <w:t> </w:t>
      </w:r>
      <w:r>
        <w:rPr/>
        <w:t>price,</w:t>
      </w:r>
      <w:r>
        <w:rPr>
          <w:spacing w:val="44"/>
        </w:rPr>
        <w:t> </w:t>
      </w:r>
      <w:r>
        <w:rPr/>
        <w:t>indicating</w:t>
      </w:r>
      <w:r>
        <w:rPr>
          <w:spacing w:val="45"/>
        </w:rPr>
        <w:t> </w:t>
      </w:r>
      <w:r>
        <w:rPr>
          <w:spacing w:val="-4"/>
        </w:rPr>
        <w:t>that</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6"/>
        <w:jc w:val="both"/>
      </w:pPr>
      <w:r>
        <w:rPr/>
        <w:t>market sentiment had changed overnight. Moreover, the opening print came very close to occurring beyond the prior day’s price range, which means initiative sellers are beginning to enter the market with conviction. This type of opening sequence usually yields a very nice breakout opportunity, which was the case in this instance.</w:t>
      </w:r>
    </w:p>
    <w:p>
      <w:pPr>
        <w:pStyle w:val="BodyText"/>
        <w:spacing w:before="2"/>
        <w:rPr>
          <w:sz w:val="20"/>
        </w:rPr>
      </w:pPr>
      <w:r>
        <w:rPr/>
        <w:drawing>
          <wp:anchor distT="0" distB="0" distL="0" distR="0" allowOverlap="1" layoutInCell="1" locked="0" behindDoc="0" simplePos="0" relativeHeight="176">
            <wp:simplePos x="0" y="0"/>
            <wp:positionH relativeFrom="page">
              <wp:posOffset>685800</wp:posOffset>
            </wp:positionH>
            <wp:positionV relativeFrom="paragraph">
              <wp:posOffset>162569</wp:posOffset>
            </wp:positionV>
            <wp:extent cx="4342239" cy="3111722"/>
            <wp:effectExtent l="0" t="0" r="0" b="0"/>
            <wp:wrapTopAndBottom/>
            <wp:docPr id="161" name="image82.png"/>
            <wp:cNvGraphicFramePr>
              <a:graphicFrameLocks noChangeAspect="1"/>
            </wp:cNvGraphicFramePr>
            <a:graphic>
              <a:graphicData uri="http://schemas.openxmlformats.org/drawingml/2006/picture">
                <pic:pic>
                  <pic:nvPicPr>
                    <pic:cNvPr id="162" name="image82.png"/>
                    <pic:cNvPicPr/>
                  </pic:nvPicPr>
                  <pic:blipFill>
                    <a:blip r:embed="rId191" cstate="print"/>
                    <a:stretch>
                      <a:fillRect/>
                    </a:stretch>
                  </pic:blipFill>
                  <pic:spPr>
                    <a:xfrm>
                      <a:off x="0" y="0"/>
                      <a:ext cx="4342239" cy="3111722"/>
                    </a:xfrm>
                    <a:prstGeom prst="rect">
                      <a:avLst/>
                    </a:prstGeom>
                  </pic:spPr>
                </pic:pic>
              </a:graphicData>
            </a:graphic>
          </wp:anchor>
        </w:drawing>
      </w:r>
    </w:p>
    <w:p>
      <w:pPr>
        <w:spacing w:before="0"/>
        <w:ind w:left="500" w:right="0" w:firstLine="0"/>
        <w:jc w:val="both"/>
        <w:rPr>
          <w:sz w:val="16"/>
        </w:rPr>
      </w:pPr>
      <w:r>
        <w:rPr>
          <w:sz w:val="16"/>
        </w:rPr>
        <w:t>FIGURE</w:t>
      </w:r>
      <w:r>
        <w:rPr>
          <w:spacing w:val="9"/>
          <w:sz w:val="16"/>
        </w:rPr>
        <w:t> </w:t>
      </w:r>
      <w:r>
        <w:rPr>
          <w:sz w:val="16"/>
        </w:rPr>
        <w:t>6.11:</w:t>
      </w:r>
      <w:r>
        <w:rPr>
          <w:spacing w:val="10"/>
          <w:sz w:val="16"/>
        </w:rPr>
        <w:t> </w:t>
      </w:r>
      <w:r>
        <w:rPr>
          <w:sz w:val="16"/>
        </w:rPr>
        <w:t>Unchanged</w:t>
      </w:r>
      <w:r>
        <w:rPr>
          <w:spacing w:val="9"/>
          <w:sz w:val="16"/>
        </w:rPr>
        <w:t> </w:t>
      </w:r>
      <w:r>
        <w:rPr>
          <w:sz w:val="16"/>
        </w:rPr>
        <w:t>Value</w:t>
      </w:r>
      <w:r>
        <w:rPr>
          <w:spacing w:val="10"/>
          <w:sz w:val="16"/>
        </w:rPr>
        <w:t> </w:t>
      </w:r>
      <w:r>
        <w:rPr>
          <w:spacing w:val="-2"/>
          <w:sz w:val="16"/>
        </w:rPr>
        <w:t>relationship</w:t>
      </w:r>
    </w:p>
    <w:p>
      <w:pPr>
        <w:pStyle w:val="BodyText"/>
        <w:spacing w:before="9"/>
        <w:rPr>
          <w:sz w:val="21"/>
        </w:rPr>
      </w:pPr>
    </w:p>
    <w:p>
      <w:pPr>
        <w:pStyle w:val="BodyText"/>
        <w:ind w:left="499" w:right="137" w:firstLine="432"/>
        <w:jc w:val="both"/>
      </w:pPr>
      <w:r>
        <w:rPr/>
        <w:t>The Outside Value relationship occurs when the current day’s pivot range completely engulfs the prior day’s range. This two-day relationship typically implies sideways or trading range activity, as the market is happy with the current facilitation of trade in the current price range. The width of the pivot range will usually lead us to this conclusion as well, since a wide range will usually indicate trading range behavior, which we will discuss shortly. Figure 6.12 shows a fifteen-minute chart of Silver futures on a day when the pivot range completely engulfs the prior day’s range. Notice that price basically traded quietly sideways throughout the day, as opposed to the wide-ranging day in the prior session. When this two-day relationship develops, I will usually stand aside and look for a better opportunity in a different market, as the conviction necessary for intraday movement is</w:t>
      </w:r>
      <w:r>
        <w:rPr>
          <w:spacing w:val="40"/>
        </w:rPr>
        <w:t> </w:t>
      </w:r>
      <w:r>
        <w:rPr/>
        <w:t>clearly not present. The lone exception is when a clear trading range environment</w:t>
      </w:r>
      <w:r>
        <w:rPr>
          <w:spacing w:val="27"/>
        </w:rPr>
        <w:t> </w:t>
      </w:r>
      <w:r>
        <w:rPr/>
        <w:t>has</w:t>
      </w:r>
      <w:r>
        <w:rPr>
          <w:spacing w:val="27"/>
        </w:rPr>
        <w:t> </w:t>
      </w:r>
      <w:r>
        <w:rPr/>
        <w:t>formed,</w:t>
      </w:r>
      <w:r>
        <w:rPr>
          <w:spacing w:val="27"/>
        </w:rPr>
        <w:t> </w:t>
      </w:r>
      <w:r>
        <w:rPr/>
        <w:t>which</w:t>
      </w:r>
      <w:r>
        <w:rPr>
          <w:spacing w:val="27"/>
        </w:rPr>
        <w:t> </w:t>
      </w:r>
      <w:r>
        <w:rPr/>
        <w:t>can</w:t>
      </w:r>
      <w:r>
        <w:rPr>
          <w:spacing w:val="27"/>
        </w:rPr>
        <w:t> </w:t>
      </w:r>
      <w:r>
        <w:rPr/>
        <w:t>then</w:t>
      </w:r>
      <w:r>
        <w:rPr>
          <w:spacing w:val="27"/>
        </w:rPr>
        <w:t> </w:t>
      </w:r>
      <w:r>
        <w:rPr/>
        <w:t>offer</w:t>
      </w:r>
      <w:r>
        <w:rPr>
          <w:spacing w:val="27"/>
        </w:rPr>
        <w:t> </w:t>
      </w:r>
      <w:r>
        <w:rPr/>
        <w:t>nice</w:t>
      </w:r>
      <w:r>
        <w:rPr>
          <w:spacing w:val="28"/>
        </w:rPr>
        <w:t> </w:t>
      </w:r>
      <w:r>
        <w:rPr/>
        <w:t>intraday</w:t>
      </w:r>
      <w:r>
        <w:rPr>
          <w:spacing w:val="27"/>
        </w:rPr>
        <w:t> </w:t>
      </w:r>
      <w:r>
        <w:rPr/>
        <w:t>moves</w:t>
      </w:r>
      <w:r>
        <w:rPr>
          <w:spacing w:val="27"/>
        </w:rPr>
        <w:t> </w:t>
      </w:r>
      <w:r>
        <w:rPr>
          <w:spacing w:val="-2"/>
        </w:rPr>
        <w:t>within</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9"/>
        <w:jc w:val="both"/>
      </w:pPr>
      <w:r>
        <w:rPr/>
        <w:t>the boundaries of an established range. One last thought, this relationship is much more telling if the current day’s pivot range is significantly wider than the prior day’s range. Otherwise, merely engulfing the prior day’s range without the necessary width may lead to the same result, but with less </w:t>
      </w:r>
      <w:r>
        <w:rPr>
          <w:spacing w:val="-2"/>
        </w:rPr>
        <w:t>accuracy.</w:t>
      </w:r>
    </w:p>
    <w:p>
      <w:pPr>
        <w:pStyle w:val="BodyText"/>
        <w:spacing w:before="2"/>
        <w:rPr>
          <w:sz w:val="20"/>
        </w:rPr>
      </w:pPr>
      <w:r>
        <w:rPr/>
        <w:drawing>
          <wp:anchor distT="0" distB="0" distL="0" distR="0" allowOverlap="1" layoutInCell="1" locked="0" behindDoc="0" simplePos="0" relativeHeight="177">
            <wp:simplePos x="0" y="0"/>
            <wp:positionH relativeFrom="page">
              <wp:posOffset>457200</wp:posOffset>
            </wp:positionH>
            <wp:positionV relativeFrom="paragraph">
              <wp:posOffset>162618</wp:posOffset>
            </wp:positionV>
            <wp:extent cx="4342239" cy="3111722"/>
            <wp:effectExtent l="0" t="0" r="0" b="0"/>
            <wp:wrapTopAndBottom/>
            <wp:docPr id="163" name="image83.png"/>
            <wp:cNvGraphicFramePr>
              <a:graphicFrameLocks noChangeAspect="1"/>
            </wp:cNvGraphicFramePr>
            <a:graphic>
              <a:graphicData uri="http://schemas.openxmlformats.org/drawingml/2006/picture">
                <pic:pic>
                  <pic:nvPicPr>
                    <pic:cNvPr id="164" name="image83.png"/>
                    <pic:cNvPicPr/>
                  </pic:nvPicPr>
                  <pic:blipFill>
                    <a:blip r:embed="rId192"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w:t>
      </w:r>
      <w:r>
        <w:rPr>
          <w:spacing w:val="9"/>
          <w:sz w:val="16"/>
        </w:rPr>
        <w:t> </w:t>
      </w:r>
      <w:r>
        <w:rPr>
          <w:sz w:val="16"/>
        </w:rPr>
        <w:t>6.12:</w:t>
      </w:r>
      <w:r>
        <w:rPr>
          <w:spacing w:val="10"/>
          <w:sz w:val="16"/>
        </w:rPr>
        <w:t> </w:t>
      </w:r>
      <w:r>
        <w:rPr>
          <w:sz w:val="16"/>
        </w:rPr>
        <w:t>Outside</w:t>
      </w:r>
      <w:r>
        <w:rPr>
          <w:spacing w:val="9"/>
          <w:sz w:val="16"/>
        </w:rPr>
        <w:t> </w:t>
      </w:r>
      <w:r>
        <w:rPr>
          <w:sz w:val="16"/>
        </w:rPr>
        <w:t>Value</w:t>
      </w:r>
      <w:r>
        <w:rPr>
          <w:spacing w:val="10"/>
          <w:sz w:val="16"/>
        </w:rPr>
        <w:t> </w:t>
      </w:r>
      <w:r>
        <w:rPr>
          <w:spacing w:val="-2"/>
          <w:sz w:val="16"/>
        </w:rPr>
        <w:t>relationship</w:t>
      </w:r>
    </w:p>
    <w:p>
      <w:pPr>
        <w:pStyle w:val="BodyText"/>
        <w:spacing w:before="9"/>
        <w:rPr>
          <w:sz w:val="21"/>
        </w:rPr>
      </w:pPr>
    </w:p>
    <w:p>
      <w:pPr>
        <w:pStyle w:val="BodyText"/>
        <w:ind w:left="139" w:right="495" w:firstLine="432"/>
        <w:jc w:val="both"/>
      </w:pPr>
      <w:r>
        <w:rPr/>
        <w:t>The last two-day pivot range relationship is the Inside Value scenario, which occurs when the current day’s pivot range is completely inside the prior day’s range. This two-day relationship typically implies a breakout opportunity for the current session, as the market is likely winding up ahead of a breakout attempt. If the market opens the day beyond the prior day’s price range, there is a very good chance that initiative participants will enter the market with conviction in order to push price to new value, since market sentiment has clearly changed overnight.</w:t>
      </w:r>
    </w:p>
    <w:p>
      <w:pPr>
        <w:pStyle w:val="BodyText"/>
        <w:ind w:left="139" w:right="497" w:firstLine="432"/>
        <w:jc w:val="both"/>
      </w:pPr>
      <w:r>
        <w:rPr/>
        <w:t>Take a look at Figure 6.13, which is a fifteen-minute chart of Copper futures. This commodity formed a two-day Inside Value relationship, which sparked a bearish breakout opportunity via an opening print that occurred beyond the prior day’s price range. If the market had opened the day within the</w:t>
      </w:r>
      <w:r>
        <w:rPr>
          <w:spacing w:val="-3"/>
        </w:rPr>
        <w:t> </w:t>
      </w:r>
      <w:r>
        <w:rPr/>
        <w:t>prior</w:t>
      </w:r>
      <w:r>
        <w:rPr>
          <w:spacing w:val="-3"/>
        </w:rPr>
        <w:t> </w:t>
      </w:r>
      <w:r>
        <w:rPr/>
        <w:t>day’s</w:t>
      </w:r>
      <w:r>
        <w:rPr>
          <w:spacing w:val="-4"/>
        </w:rPr>
        <w:t> </w:t>
      </w:r>
      <w:r>
        <w:rPr/>
        <w:t>price</w:t>
      </w:r>
      <w:r>
        <w:rPr>
          <w:spacing w:val="-3"/>
        </w:rPr>
        <w:t> </w:t>
      </w:r>
      <w:r>
        <w:rPr/>
        <w:t>range,</w:t>
      </w:r>
      <w:r>
        <w:rPr>
          <w:spacing w:val="-2"/>
        </w:rPr>
        <w:t> </w:t>
      </w:r>
      <w:r>
        <w:rPr/>
        <w:t>a</w:t>
      </w:r>
      <w:r>
        <w:rPr>
          <w:spacing w:val="-3"/>
        </w:rPr>
        <w:t> </w:t>
      </w:r>
      <w:r>
        <w:rPr/>
        <w:t>breakout</w:t>
      </w:r>
      <w:r>
        <w:rPr>
          <w:spacing w:val="-3"/>
        </w:rPr>
        <w:t> </w:t>
      </w:r>
      <w:r>
        <w:rPr/>
        <w:t>opportunity</w:t>
      </w:r>
      <w:r>
        <w:rPr>
          <w:spacing w:val="-4"/>
        </w:rPr>
        <w:t> </w:t>
      </w:r>
      <w:r>
        <w:rPr/>
        <w:t>could</w:t>
      </w:r>
      <w:r>
        <w:rPr>
          <w:spacing w:val="-3"/>
        </w:rPr>
        <w:t> </w:t>
      </w:r>
      <w:r>
        <w:rPr/>
        <w:t>still</w:t>
      </w:r>
      <w:r>
        <w:rPr>
          <w:spacing w:val="-4"/>
        </w:rPr>
        <w:t> </w:t>
      </w:r>
      <w:r>
        <w:rPr/>
        <w:t>be</w:t>
      </w:r>
      <w:r>
        <w:rPr>
          <w:spacing w:val="-3"/>
        </w:rPr>
        <w:t> </w:t>
      </w:r>
      <w:r>
        <w:rPr/>
        <w:t>had,</w:t>
      </w:r>
      <w:r>
        <w:rPr>
          <w:spacing w:val="-3"/>
        </w:rPr>
        <w:t> </w:t>
      </w:r>
      <w:r>
        <w:rPr/>
        <w:t>but</w:t>
      </w:r>
      <w:r>
        <w:rPr>
          <w:spacing w:val="-3"/>
        </w:rPr>
        <w:t> </w:t>
      </w:r>
      <w:r>
        <w:rPr/>
        <w:t>with much</w:t>
      </w:r>
      <w:r>
        <w:rPr>
          <w:spacing w:val="-3"/>
        </w:rPr>
        <w:t> </w:t>
      </w:r>
      <w:r>
        <w:rPr/>
        <w:t>less</w:t>
      </w:r>
      <w:r>
        <w:rPr>
          <w:spacing w:val="-3"/>
        </w:rPr>
        <w:t> </w:t>
      </w:r>
      <w:r>
        <w:rPr/>
        <w:t>conviction.</w:t>
      </w:r>
      <w:r>
        <w:rPr>
          <w:spacing w:val="-3"/>
        </w:rPr>
        <w:t> </w:t>
      </w:r>
      <w:r>
        <w:rPr/>
        <w:t>This</w:t>
      </w:r>
      <w:r>
        <w:rPr>
          <w:spacing w:val="-4"/>
        </w:rPr>
        <w:t> </w:t>
      </w:r>
      <w:r>
        <w:rPr/>
        <w:t>two-day</w:t>
      </w:r>
      <w:r>
        <w:rPr>
          <w:spacing w:val="-3"/>
        </w:rPr>
        <w:t> </w:t>
      </w:r>
      <w:r>
        <w:rPr/>
        <w:t>relationship</w:t>
      </w:r>
      <w:r>
        <w:rPr>
          <w:spacing w:val="-3"/>
        </w:rPr>
        <w:t> </w:t>
      </w:r>
      <w:r>
        <w:rPr/>
        <w:t>doesn’t</w:t>
      </w:r>
      <w:r>
        <w:rPr>
          <w:spacing w:val="-3"/>
        </w:rPr>
        <w:t> </w:t>
      </w:r>
      <w:r>
        <w:rPr/>
        <w:t>occur</w:t>
      </w:r>
      <w:r>
        <w:rPr>
          <w:spacing w:val="-3"/>
        </w:rPr>
        <w:t> </w:t>
      </w:r>
      <w:r>
        <w:rPr/>
        <w:t>frequently,</w:t>
      </w:r>
      <w:r>
        <w:rPr>
          <w:spacing w:val="-3"/>
        </w:rPr>
        <w:t> </w:t>
      </w:r>
      <w:r>
        <w:rPr/>
        <w:t>but</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27"/>
      </w:pPr>
      <w:r>
        <w:rPr/>
        <w:t>I pay very close attention on the days when it develops, as these usually lead to major trending sessions.</w:t>
      </w:r>
    </w:p>
    <w:p>
      <w:pPr>
        <w:pStyle w:val="BodyText"/>
        <w:spacing w:before="1"/>
        <w:rPr>
          <w:sz w:val="20"/>
        </w:rPr>
      </w:pPr>
      <w:r>
        <w:rPr/>
        <w:drawing>
          <wp:anchor distT="0" distB="0" distL="0" distR="0" allowOverlap="1" layoutInCell="1" locked="0" behindDoc="0" simplePos="0" relativeHeight="178">
            <wp:simplePos x="0" y="0"/>
            <wp:positionH relativeFrom="page">
              <wp:posOffset>685800</wp:posOffset>
            </wp:positionH>
            <wp:positionV relativeFrom="paragraph">
              <wp:posOffset>162147</wp:posOffset>
            </wp:positionV>
            <wp:extent cx="4342239" cy="3111722"/>
            <wp:effectExtent l="0" t="0" r="0" b="0"/>
            <wp:wrapTopAndBottom/>
            <wp:docPr id="165" name="image84.png"/>
            <wp:cNvGraphicFramePr>
              <a:graphicFrameLocks noChangeAspect="1"/>
            </wp:cNvGraphicFramePr>
            <a:graphic>
              <a:graphicData uri="http://schemas.openxmlformats.org/drawingml/2006/picture">
                <pic:pic>
                  <pic:nvPicPr>
                    <pic:cNvPr id="166" name="image84.png"/>
                    <pic:cNvPicPr/>
                  </pic:nvPicPr>
                  <pic:blipFill>
                    <a:blip r:embed="rId193" cstate="print"/>
                    <a:stretch>
                      <a:fillRect/>
                    </a:stretch>
                  </pic:blipFill>
                  <pic:spPr>
                    <a:xfrm>
                      <a:off x="0" y="0"/>
                      <a:ext cx="4342239" cy="3111722"/>
                    </a:xfrm>
                    <a:prstGeom prst="rect">
                      <a:avLst/>
                    </a:prstGeom>
                  </pic:spPr>
                </pic:pic>
              </a:graphicData>
            </a:graphic>
          </wp:anchor>
        </w:drawing>
      </w:r>
    </w:p>
    <w:p>
      <w:pPr>
        <w:spacing w:before="0"/>
        <w:ind w:left="500" w:right="0" w:firstLine="0"/>
        <w:jc w:val="left"/>
        <w:rPr>
          <w:sz w:val="16"/>
        </w:rPr>
      </w:pPr>
      <w:r>
        <w:rPr>
          <w:sz w:val="16"/>
        </w:rPr>
        <w:t>FIGURE 6.13:</w:t>
      </w:r>
      <w:r>
        <w:rPr>
          <w:spacing w:val="1"/>
          <w:sz w:val="16"/>
        </w:rPr>
        <w:t> </w:t>
      </w:r>
      <w:r>
        <w:rPr>
          <w:sz w:val="16"/>
        </w:rPr>
        <w:t>The</w:t>
      </w:r>
      <w:r>
        <w:rPr>
          <w:spacing w:val="1"/>
          <w:sz w:val="16"/>
        </w:rPr>
        <w:t> </w:t>
      </w:r>
      <w:r>
        <w:rPr>
          <w:sz w:val="16"/>
        </w:rPr>
        <w:t>Inside</w:t>
      </w:r>
      <w:r>
        <w:rPr>
          <w:spacing w:val="1"/>
          <w:sz w:val="16"/>
        </w:rPr>
        <w:t> </w:t>
      </w:r>
      <w:r>
        <w:rPr>
          <w:sz w:val="16"/>
        </w:rPr>
        <w:t>Value</w:t>
      </w:r>
      <w:r>
        <w:rPr>
          <w:spacing w:val="1"/>
          <w:sz w:val="16"/>
        </w:rPr>
        <w:t> </w:t>
      </w:r>
      <w:r>
        <w:rPr>
          <w:sz w:val="16"/>
        </w:rPr>
        <w:t>Relationship</w:t>
      </w:r>
      <w:r>
        <w:rPr>
          <w:spacing w:val="1"/>
          <w:sz w:val="16"/>
        </w:rPr>
        <w:t> </w:t>
      </w:r>
      <w:r>
        <w:rPr>
          <w:sz w:val="16"/>
        </w:rPr>
        <w:t>is</w:t>
      </w:r>
      <w:r>
        <w:rPr>
          <w:spacing w:val="1"/>
          <w:sz w:val="16"/>
        </w:rPr>
        <w:t> </w:t>
      </w:r>
      <w:r>
        <w:rPr>
          <w:sz w:val="16"/>
        </w:rPr>
        <w:t>the</w:t>
      </w:r>
      <w:r>
        <w:rPr>
          <w:spacing w:val="2"/>
          <w:sz w:val="16"/>
        </w:rPr>
        <w:t> </w:t>
      </w:r>
      <w:r>
        <w:rPr>
          <w:sz w:val="16"/>
        </w:rPr>
        <w:t>most</w:t>
      </w:r>
      <w:r>
        <w:rPr>
          <w:spacing w:val="1"/>
          <w:sz w:val="16"/>
        </w:rPr>
        <w:t> </w:t>
      </w:r>
      <w:r>
        <w:rPr>
          <w:sz w:val="16"/>
        </w:rPr>
        <w:t>explosive</w:t>
      </w:r>
      <w:r>
        <w:rPr>
          <w:spacing w:val="1"/>
          <w:sz w:val="16"/>
        </w:rPr>
        <w:t> </w:t>
      </w:r>
      <w:r>
        <w:rPr>
          <w:spacing w:val="-2"/>
          <w:sz w:val="16"/>
        </w:rPr>
        <w:t>relationship.</w:t>
      </w:r>
    </w:p>
    <w:p>
      <w:pPr>
        <w:pStyle w:val="BodyText"/>
        <w:spacing w:before="9"/>
        <w:rPr>
          <w:sz w:val="21"/>
        </w:rPr>
      </w:pPr>
    </w:p>
    <w:p>
      <w:pPr>
        <w:pStyle w:val="BodyText"/>
        <w:ind w:left="499" w:right="135" w:firstLine="432"/>
        <w:jc w:val="both"/>
      </w:pPr>
      <w:r>
        <w:rPr/>
        <w:t>Let’s take a look at how the developing pivot range indicator looks the day before the actual breakout occurs in Copper futures, seen in Figure 6.14. Notice that the developing pivot range closed the session well within the boundaries of the day’s static pivot range. Moreover, mere ticks separate the top of the developing range from the bottom, indicating that the next day’s pivot range will be very narrow compared to the current session, which is another indication of a breakout opportunity. Arming ourselves with this knowledge in advance allows us to prepare for a major breakout opportunity in this commodity, which was indeed the case the next day.</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167" name="image85.png"/>
            <wp:cNvGraphicFramePr>
              <a:graphicFrameLocks noChangeAspect="1"/>
            </wp:cNvGraphicFramePr>
            <a:graphic>
              <a:graphicData uri="http://schemas.openxmlformats.org/drawingml/2006/picture">
                <pic:pic>
                  <pic:nvPicPr>
                    <pic:cNvPr id="168" name="image85.png"/>
                    <pic:cNvPicPr/>
                  </pic:nvPicPr>
                  <pic:blipFill>
                    <a:blip r:embed="rId194"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 6.14:</w:t>
      </w:r>
      <w:r>
        <w:rPr>
          <w:spacing w:val="1"/>
          <w:sz w:val="16"/>
        </w:rPr>
        <w:t> </w:t>
      </w:r>
      <w:r>
        <w:rPr>
          <w:sz w:val="16"/>
        </w:rPr>
        <w:t>Identifying</w:t>
      </w:r>
      <w:r>
        <w:rPr>
          <w:spacing w:val="1"/>
          <w:sz w:val="16"/>
        </w:rPr>
        <w:t> </w:t>
      </w:r>
      <w:r>
        <w:rPr>
          <w:sz w:val="16"/>
        </w:rPr>
        <w:t>the</w:t>
      </w:r>
      <w:r>
        <w:rPr>
          <w:spacing w:val="1"/>
          <w:sz w:val="16"/>
        </w:rPr>
        <w:t> </w:t>
      </w:r>
      <w:r>
        <w:rPr>
          <w:sz w:val="16"/>
        </w:rPr>
        <w:t>Inside Value</w:t>
      </w:r>
      <w:r>
        <w:rPr>
          <w:spacing w:val="2"/>
          <w:sz w:val="16"/>
        </w:rPr>
        <w:t> </w:t>
      </w:r>
      <w:r>
        <w:rPr>
          <w:sz w:val="16"/>
        </w:rPr>
        <w:t>relationship</w:t>
      </w:r>
      <w:r>
        <w:rPr>
          <w:spacing w:val="1"/>
          <w:sz w:val="16"/>
        </w:rPr>
        <w:t> </w:t>
      </w:r>
      <w:r>
        <w:rPr>
          <w:sz w:val="16"/>
        </w:rPr>
        <w:t>using</w:t>
      </w:r>
      <w:r>
        <w:rPr>
          <w:spacing w:val="1"/>
          <w:sz w:val="16"/>
        </w:rPr>
        <w:t> </w:t>
      </w:r>
      <w:r>
        <w:rPr>
          <w:sz w:val="16"/>
        </w:rPr>
        <w:t>the</w:t>
      </w:r>
      <w:r>
        <w:rPr>
          <w:spacing w:val="1"/>
          <w:sz w:val="16"/>
        </w:rPr>
        <w:t> </w:t>
      </w:r>
      <w:r>
        <w:rPr>
          <w:sz w:val="16"/>
        </w:rPr>
        <w:t>DPR </w:t>
      </w:r>
      <w:r>
        <w:rPr>
          <w:spacing w:val="-2"/>
          <w:sz w:val="16"/>
        </w:rPr>
        <w:t>indicator</w:t>
      </w:r>
    </w:p>
    <w:p>
      <w:pPr>
        <w:pStyle w:val="BodyText"/>
        <w:spacing w:before="2"/>
      </w:pPr>
    </w:p>
    <w:p>
      <w:pPr>
        <w:pStyle w:val="BodyText"/>
        <w:ind w:left="139" w:right="497" w:firstLine="432"/>
        <w:jc w:val="both"/>
      </w:pPr>
      <w:r>
        <w:rPr/>
        <w:t>The one factor that I really like to see when this relationship develops is a noticeable difference in width between the two pivot ranges. If the prior day’s pivot range is noticeably wider than the inside day pivot range, you are more likely to see a breakout opportunity, especially if the current day’s</w:t>
      </w:r>
      <w:r>
        <w:rPr>
          <w:spacing w:val="40"/>
        </w:rPr>
        <w:t> </w:t>
      </w:r>
      <w:r>
        <w:rPr/>
        <w:t>pivot range is very narrow. This basically confirms that price has been winding</w:t>
      </w:r>
      <w:r>
        <w:rPr>
          <w:spacing w:val="-1"/>
        </w:rPr>
        <w:t> </w:t>
      </w:r>
      <w:r>
        <w:rPr/>
        <w:t>up</w:t>
      </w:r>
      <w:r>
        <w:rPr>
          <w:spacing w:val="-1"/>
        </w:rPr>
        <w:t> </w:t>
      </w:r>
      <w:r>
        <w:rPr/>
        <w:t>toward</w:t>
      </w:r>
      <w:r>
        <w:rPr>
          <w:spacing w:val="-1"/>
        </w:rPr>
        <w:t> </w:t>
      </w:r>
      <w:r>
        <w:rPr/>
        <w:t>a</w:t>
      </w:r>
      <w:r>
        <w:rPr>
          <w:spacing w:val="-1"/>
        </w:rPr>
        <w:t> </w:t>
      </w:r>
      <w:r>
        <w:rPr/>
        <w:t>virtual</w:t>
      </w:r>
      <w:r>
        <w:rPr>
          <w:spacing w:val="-1"/>
        </w:rPr>
        <w:t> </w:t>
      </w:r>
      <w:r>
        <w:rPr/>
        <w:t>apex</w:t>
      </w:r>
      <w:r>
        <w:rPr>
          <w:spacing w:val="-1"/>
        </w:rPr>
        <w:t> </w:t>
      </w:r>
      <w:r>
        <w:rPr/>
        <w:t>and</w:t>
      </w:r>
      <w:r>
        <w:rPr>
          <w:spacing w:val="-1"/>
        </w:rPr>
        <w:t> </w:t>
      </w:r>
      <w:r>
        <w:rPr/>
        <w:t>is</w:t>
      </w:r>
      <w:r>
        <w:rPr>
          <w:spacing w:val="-1"/>
        </w:rPr>
        <w:t> </w:t>
      </w:r>
      <w:r>
        <w:rPr/>
        <w:t>on</w:t>
      </w:r>
      <w:r>
        <w:rPr>
          <w:spacing w:val="-1"/>
        </w:rPr>
        <w:t> </w:t>
      </w:r>
      <w:r>
        <w:rPr/>
        <w:t>the</w:t>
      </w:r>
      <w:r>
        <w:rPr>
          <w:spacing w:val="-1"/>
        </w:rPr>
        <w:t> </w:t>
      </w:r>
      <w:r>
        <w:rPr/>
        <w:t>verge</w:t>
      </w:r>
      <w:r>
        <w:rPr>
          <w:spacing w:val="-1"/>
        </w:rPr>
        <w:t> </w:t>
      </w:r>
      <w:r>
        <w:rPr/>
        <w:t>of</w:t>
      </w:r>
      <w:r>
        <w:rPr>
          <w:spacing w:val="-1"/>
        </w:rPr>
        <w:t> </w:t>
      </w:r>
      <w:r>
        <w:rPr/>
        <w:t>a</w:t>
      </w:r>
      <w:r>
        <w:rPr>
          <w:spacing w:val="-1"/>
        </w:rPr>
        <w:t> </w:t>
      </w:r>
      <w:r>
        <w:rPr/>
        <w:t>breakout</w:t>
      </w:r>
      <w:r>
        <w:rPr>
          <w:spacing w:val="-1"/>
        </w:rPr>
        <w:t> </w:t>
      </w:r>
      <w:r>
        <w:rPr/>
        <w:t>attempt.</w:t>
      </w:r>
      <w:r>
        <w:rPr>
          <w:spacing w:val="-2"/>
        </w:rPr>
        <w:t> </w:t>
      </w:r>
      <w:r>
        <w:rPr/>
        <w:t>If both</w:t>
      </w:r>
      <w:r>
        <w:rPr>
          <w:spacing w:val="-3"/>
        </w:rPr>
        <w:t> </w:t>
      </w:r>
      <w:r>
        <w:rPr/>
        <w:t>pivot</w:t>
      </w:r>
      <w:r>
        <w:rPr>
          <w:spacing w:val="-3"/>
        </w:rPr>
        <w:t> </w:t>
      </w:r>
      <w:r>
        <w:rPr/>
        <w:t>ranges</w:t>
      </w:r>
      <w:r>
        <w:rPr>
          <w:spacing w:val="-3"/>
        </w:rPr>
        <w:t> </w:t>
      </w:r>
      <w:r>
        <w:rPr/>
        <w:t>are</w:t>
      </w:r>
      <w:r>
        <w:rPr>
          <w:spacing w:val="-3"/>
        </w:rPr>
        <w:t> </w:t>
      </w:r>
      <w:r>
        <w:rPr/>
        <w:t>virtually</w:t>
      </w:r>
      <w:r>
        <w:rPr>
          <w:spacing w:val="-3"/>
        </w:rPr>
        <w:t> </w:t>
      </w:r>
      <w:r>
        <w:rPr/>
        <w:t>the</w:t>
      </w:r>
      <w:r>
        <w:rPr>
          <w:spacing w:val="-3"/>
        </w:rPr>
        <w:t> </w:t>
      </w:r>
      <w:r>
        <w:rPr/>
        <w:t>same</w:t>
      </w:r>
      <w:r>
        <w:rPr>
          <w:spacing w:val="-2"/>
        </w:rPr>
        <w:t> </w:t>
      </w:r>
      <w:r>
        <w:rPr/>
        <w:t>width,</w:t>
      </w:r>
      <w:r>
        <w:rPr>
          <w:spacing w:val="-4"/>
        </w:rPr>
        <w:t> </w:t>
      </w:r>
      <w:r>
        <w:rPr/>
        <w:t>but</w:t>
      </w:r>
      <w:r>
        <w:rPr>
          <w:spacing w:val="-3"/>
        </w:rPr>
        <w:t> </w:t>
      </w:r>
      <w:r>
        <w:rPr/>
        <w:t>technically</w:t>
      </w:r>
      <w:r>
        <w:rPr>
          <w:spacing w:val="-3"/>
        </w:rPr>
        <w:t> </w:t>
      </w:r>
      <w:r>
        <w:rPr/>
        <w:t>meet</w:t>
      </w:r>
      <w:r>
        <w:rPr>
          <w:spacing w:val="-2"/>
        </w:rPr>
        <w:t> </w:t>
      </w:r>
      <w:r>
        <w:rPr/>
        <w:t>the</w:t>
      </w:r>
      <w:r>
        <w:rPr>
          <w:spacing w:val="-3"/>
        </w:rPr>
        <w:t> </w:t>
      </w:r>
      <w:r>
        <w:rPr/>
        <w:t>inside requirement, the rate of success will noticeably drop.</w:t>
      </w:r>
    </w:p>
    <w:p>
      <w:pPr>
        <w:pStyle w:val="BodyText"/>
        <w:ind w:left="139" w:right="496" w:firstLine="432"/>
        <w:jc w:val="both"/>
      </w:pPr>
      <w:r>
        <w:rPr/>
        <w:t>As a quick reference, Figure 6.15 illustrates each of the two-day range relationships. Like the Money Zone, the two-day pivot range relationships offer guidelines for trading virtually any type of market: trending, breakout, and</w:t>
      </w:r>
      <w:r>
        <w:rPr>
          <w:spacing w:val="-3"/>
        </w:rPr>
        <w:t> </w:t>
      </w:r>
      <w:r>
        <w:rPr/>
        <w:t>trading</w:t>
      </w:r>
      <w:r>
        <w:rPr>
          <w:spacing w:val="-3"/>
        </w:rPr>
        <w:t> </w:t>
      </w:r>
      <w:r>
        <w:rPr/>
        <w:t>range.</w:t>
      </w:r>
      <w:r>
        <w:rPr>
          <w:spacing w:val="-4"/>
        </w:rPr>
        <w:t> </w:t>
      </w:r>
      <w:r>
        <w:rPr/>
        <w:t>It</w:t>
      </w:r>
      <w:r>
        <w:rPr>
          <w:spacing w:val="-4"/>
        </w:rPr>
        <w:t> </w:t>
      </w:r>
      <w:r>
        <w:rPr/>
        <w:t>is</w:t>
      </w:r>
      <w:r>
        <w:rPr>
          <w:spacing w:val="-3"/>
        </w:rPr>
        <w:t> </w:t>
      </w:r>
      <w:r>
        <w:rPr/>
        <w:t>your</w:t>
      </w:r>
      <w:r>
        <w:rPr>
          <w:spacing w:val="-5"/>
        </w:rPr>
        <w:t> </w:t>
      </w:r>
      <w:r>
        <w:rPr/>
        <w:t>job</w:t>
      </w:r>
      <w:r>
        <w:rPr>
          <w:spacing w:val="-3"/>
        </w:rPr>
        <w:t> </w:t>
      </w:r>
      <w:r>
        <w:rPr/>
        <w:t>to</w:t>
      </w:r>
      <w:r>
        <w:rPr>
          <w:spacing w:val="-3"/>
        </w:rPr>
        <w:t> </w:t>
      </w:r>
      <w:r>
        <w:rPr/>
        <w:t>properly</w:t>
      </w:r>
      <w:r>
        <w:rPr>
          <w:spacing w:val="-5"/>
        </w:rPr>
        <w:t> </w:t>
      </w:r>
      <w:r>
        <w:rPr/>
        <w:t>diagnose</w:t>
      </w:r>
      <w:r>
        <w:rPr>
          <w:spacing w:val="-3"/>
        </w:rPr>
        <w:t> </w:t>
      </w:r>
      <w:r>
        <w:rPr/>
        <w:t>the</w:t>
      </w:r>
      <w:r>
        <w:rPr>
          <w:spacing w:val="-3"/>
        </w:rPr>
        <w:t> </w:t>
      </w:r>
      <w:r>
        <w:rPr/>
        <w:t>two-day</w:t>
      </w:r>
      <w:r>
        <w:rPr>
          <w:spacing w:val="-3"/>
        </w:rPr>
        <w:t> </w:t>
      </w:r>
      <w:r>
        <w:rPr/>
        <w:t>relationship and apply proper confirmation before entering a trade. As always, the faster you can recognize the pattern of the market,</w:t>
      </w:r>
      <w:r>
        <w:rPr/>
        <w:t> the faster you will be able to deploy your capital in a confident and profitable manner. Anybody can plot the Floor Pivots on their screen, but the traders that have a keen understanding of the market’s behavioral tendencies with regards to the pivots are the ones that will profit by using these amazing levels. Sometimes the</w:t>
      </w:r>
      <w:r>
        <w:rPr>
          <w:spacing w:val="17"/>
        </w:rPr>
        <w:t> </w:t>
      </w:r>
      <w:r>
        <w:rPr/>
        <w:t>tendencies</w:t>
      </w:r>
      <w:r>
        <w:rPr>
          <w:spacing w:val="17"/>
        </w:rPr>
        <w:t> </w:t>
      </w:r>
      <w:r>
        <w:rPr/>
        <w:t>have</w:t>
      </w:r>
      <w:r>
        <w:rPr>
          <w:spacing w:val="17"/>
        </w:rPr>
        <w:t> </w:t>
      </w:r>
      <w:r>
        <w:rPr/>
        <w:t>a</w:t>
      </w:r>
      <w:r>
        <w:rPr>
          <w:spacing w:val="17"/>
        </w:rPr>
        <w:t> </w:t>
      </w:r>
      <w:r>
        <w:rPr/>
        <w:t>penchant</w:t>
      </w:r>
      <w:r>
        <w:rPr>
          <w:spacing w:val="17"/>
        </w:rPr>
        <w:t> </w:t>
      </w:r>
      <w:r>
        <w:rPr/>
        <w:t>for</w:t>
      </w:r>
      <w:r>
        <w:rPr>
          <w:spacing w:val="17"/>
        </w:rPr>
        <w:t> </w:t>
      </w:r>
      <w:r>
        <w:rPr/>
        <w:t>the</w:t>
      </w:r>
      <w:r>
        <w:rPr>
          <w:spacing w:val="17"/>
        </w:rPr>
        <w:t> </w:t>
      </w:r>
      <w:r>
        <w:rPr/>
        <w:t>obvious,</w:t>
      </w:r>
      <w:r>
        <w:rPr>
          <w:spacing w:val="17"/>
        </w:rPr>
        <w:t> </w:t>
      </w:r>
      <w:r>
        <w:rPr/>
        <w:t>while</w:t>
      </w:r>
      <w:r>
        <w:rPr>
          <w:spacing w:val="17"/>
        </w:rPr>
        <w:t> </w:t>
      </w:r>
      <w:r>
        <w:rPr/>
        <w:t>other</w:t>
      </w:r>
      <w:r>
        <w:rPr>
          <w:spacing w:val="17"/>
        </w:rPr>
        <w:t> </w:t>
      </w:r>
      <w:r>
        <w:rPr/>
        <w:t>times</w:t>
      </w:r>
      <w:r>
        <w:rPr>
          <w:spacing w:val="17"/>
        </w:rPr>
        <w:t> </w:t>
      </w:r>
      <w:r>
        <w:rPr/>
        <w:t>are</w:t>
      </w:r>
      <w:r>
        <w:rPr>
          <w:spacing w:val="18"/>
        </w:rPr>
        <w:t> </w:t>
      </w:r>
      <w:r>
        <w:rPr>
          <w:spacing w:val="-4"/>
        </w:rPr>
        <w:t>more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pPr>
      <w:r>
        <w:rPr/>
        <w:t>subtle. However, with continued practice, every opportunity will become an obvious opportunity.</w:t>
      </w:r>
    </w:p>
    <w:p>
      <w:pPr>
        <w:pStyle w:val="BodyText"/>
        <w:spacing w:before="7"/>
        <w:rPr>
          <w:sz w:val="21"/>
        </w:rPr>
      </w:pPr>
    </w:p>
    <w:tbl>
      <w:tblPr>
        <w:tblW w:w="0" w:type="auto"/>
        <w:jc w:val="left"/>
        <w:tblInd w:w="9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33"/>
        <w:gridCol w:w="615"/>
        <w:gridCol w:w="929"/>
        <w:gridCol w:w="909"/>
        <w:gridCol w:w="571"/>
        <w:gridCol w:w="1487"/>
      </w:tblGrid>
      <w:tr>
        <w:trPr>
          <w:trHeight w:val="535" w:hRule="atLeast"/>
        </w:trPr>
        <w:tc>
          <w:tcPr>
            <w:tcW w:w="5944" w:type="dxa"/>
            <w:gridSpan w:val="6"/>
            <w:tcBorders>
              <w:top w:val="nil"/>
              <w:bottom w:val="nil"/>
            </w:tcBorders>
            <w:shd w:val="clear" w:color="auto" w:fill="000000"/>
          </w:tcPr>
          <w:p>
            <w:pPr>
              <w:pStyle w:val="TableParagraph"/>
              <w:spacing w:before="98"/>
              <w:ind w:left="972" w:right="957"/>
              <w:jc w:val="center"/>
              <w:rPr>
                <w:rFonts w:ascii="Verdana"/>
                <w:sz w:val="28"/>
              </w:rPr>
            </w:pPr>
            <w:r>
              <w:rPr>
                <w:rFonts w:ascii="Verdana"/>
                <w:color w:val="FFFFFF"/>
                <w:sz w:val="28"/>
              </w:rPr>
              <w:t>Two-Day</w:t>
            </w:r>
            <w:r>
              <w:rPr>
                <w:rFonts w:ascii="Verdana"/>
                <w:color w:val="FFFFFF"/>
                <w:spacing w:val="-6"/>
                <w:sz w:val="28"/>
              </w:rPr>
              <w:t> </w:t>
            </w:r>
            <w:r>
              <w:rPr>
                <w:rFonts w:ascii="Verdana"/>
                <w:color w:val="FFFFFF"/>
                <w:sz w:val="28"/>
              </w:rPr>
              <w:t>Pivot</w:t>
            </w:r>
            <w:r>
              <w:rPr>
                <w:rFonts w:ascii="Verdana"/>
                <w:color w:val="FFFFFF"/>
                <w:spacing w:val="-6"/>
                <w:sz w:val="28"/>
              </w:rPr>
              <w:t> </w:t>
            </w:r>
            <w:r>
              <w:rPr>
                <w:rFonts w:ascii="Verdana"/>
                <w:color w:val="FFFFFF"/>
                <w:spacing w:val="-2"/>
                <w:sz w:val="28"/>
              </w:rPr>
              <w:t>Relationships</w:t>
            </w:r>
          </w:p>
        </w:tc>
      </w:tr>
      <w:tr>
        <w:trPr>
          <w:trHeight w:val="1818" w:hRule="atLeast"/>
        </w:trPr>
        <w:tc>
          <w:tcPr>
            <w:tcW w:w="2048" w:type="dxa"/>
            <w:gridSpan w:val="2"/>
            <w:tcBorders>
              <w:top w:val="nil"/>
            </w:tcBorders>
          </w:tcPr>
          <w:p>
            <w:pPr>
              <w:pStyle w:val="TableParagraph"/>
              <w:spacing w:before="3"/>
              <w:rPr>
                <w:rFonts w:ascii="Times New Roman"/>
                <w:sz w:val="26"/>
              </w:rPr>
            </w:pPr>
          </w:p>
          <w:p>
            <w:pPr>
              <w:pStyle w:val="TableParagraph"/>
              <w:ind w:left="558"/>
              <w:rPr>
                <w:rFonts w:ascii="Times New Roman"/>
                <w:sz w:val="20"/>
              </w:rPr>
            </w:pPr>
            <w:r>
              <w:rPr>
                <w:rFonts w:ascii="Times New Roman"/>
                <w:sz w:val="20"/>
              </w:rPr>
              <w:pict>
                <v:group style="width:22.45pt;height:29.2pt;mso-position-horizontal-relative:char;mso-position-vertical-relative:line" id="docshapegroup528" coordorigin="0,0" coordsize="449,584">
                  <v:rect style="position:absolute;left:7;top:7;width:434;height:569" id="docshape529" filled="true" fillcolor="#000000" stroked="false">
                    <v:fill type="solid"/>
                  </v:rect>
                  <v:rect style="position:absolute;left:7;top:7;width:434;height:569" id="docshape530" filled="false" stroked="true" strokeweight=".75pt" strokecolor="#000000">
                    <v:stroke dashstyle="solid"/>
                  </v:rect>
                </v:group>
              </w:pict>
            </w:r>
            <w:r>
              <w:rPr>
                <w:rFonts w:ascii="Times New Roman"/>
                <w:sz w:val="20"/>
              </w:rPr>
            </w:r>
            <w:r>
              <w:rPr>
                <w:rFonts w:ascii="Times New Roman"/>
                <w:spacing w:val="129"/>
                <w:sz w:val="20"/>
              </w:rPr>
              <w:t> </w:t>
            </w:r>
            <w:r>
              <w:rPr>
                <w:rFonts w:ascii="Times New Roman"/>
                <w:spacing w:val="129"/>
                <w:sz w:val="20"/>
              </w:rPr>
              <w:pict>
                <v:group style="width:22.45pt;height:29.2pt;mso-position-horizontal-relative:char;mso-position-vertical-relative:line" id="docshapegroup531" coordorigin="0,0" coordsize="449,584">
                  <v:rect style="position:absolute;left:7;top:7;width:435;height:569" id="docshape532" filled="true" fillcolor="#000000" stroked="false">
                    <v:fill type="solid"/>
                  </v:rect>
                  <v:rect style="position:absolute;left:7;top:7;width:434;height:569" id="docshape533" filled="false" stroked="true" strokeweight=".75pt" strokecolor="#000000">
                    <v:stroke dashstyle="solid"/>
                  </v:rect>
                </v:group>
              </w:pict>
            </w:r>
            <w:r>
              <w:rPr>
                <w:rFonts w:ascii="Times New Roman"/>
                <w:spacing w:val="129"/>
                <w:sz w:val="20"/>
              </w:rPr>
            </w:r>
          </w:p>
          <w:p>
            <w:pPr>
              <w:pStyle w:val="TableParagraph"/>
              <w:spacing w:before="137"/>
              <w:ind w:left="813" w:hanging="302"/>
              <w:rPr>
                <w:sz w:val="24"/>
              </w:rPr>
            </w:pPr>
            <w:r>
              <w:rPr>
                <w:spacing w:val="-2"/>
                <w:sz w:val="24"/>
              </w:rPr>
              <w:t>Unchanged Value</w:t>
            </w:r>
          </w:p>
        </w:tc>
        <w:tc>
          <w:tcPr>
            <w:tcW w:w="1838" w:type="dxa"/>
            <w:gridSpan w:val="2"/>
            <w:tcBorders>
              <w:top w:val="nil"/>
            </w:tcBorders>
          </w:tcPr>
          <w:p>
            <w:pPr>
              <w:pStyle w:val="TableParagraph"/>
              <w:spacing w:before="4"/>
              <w:rPr>
                <w:rFonts w:ascii="Times New Roman"/>
                <w:sz w:val="14"/>
              </w:rPr>
            </w:pPr>
          </w:p>
          <w:p>
            <w:pPr>
              <w:pStyle w:val="TableParagraph"/>
              <w:ind w:left="377"/>
              <w:rPr>
                <w:rFonts w:ascii="Times New Roman"/>
                <w:sz w:val="20"/>
              </w:rPr>
            </w:pPr>
            <w:r>
              <w:rPr>
                <w:rFonts w:ascii="Times New Roman"/>
                <w:position w:val="13"/>
                <w:sz w:val="20"/>
              </w:rPr>
              <w:pict>
                <v:group style="width:22.5pt;height:29.2pt;mso-position-horizontal-relative:char;mso-position-vertical-relative:line" id="docshapegroup534" coordorigin="0,0" coordsize="450,584">
                  <v:rect style="position:absolute;left:7;top:7;width:435;height:569" id="docshape535" filled="true" fillcolor="#000000" stroked="false">
                    <v:fill type="solid"/>
                  </v:rect>
                  <v:rect style="position:absolute;left:7;top:7;width:435;height:569" id="docshape536" filled="false" stroked="true" strokeweight=".75pt" strokecolor="#000000">
                    <v:stroke dashstyle="solid"/>
                  </v:rect>
                </v:group>
              </w:pict>
            </w:r>
            <w:r>
              <w:rPr>
                <w:rFonts w:ascii="Times New Roman"/>
                <w:position w:val="13"/>
                <w:sz w:val="20"/>
              </w:rPr>
            </w:r>
            <w:r>
              <w:rPr>
                <w:rFonts w:ascii="Times New Roman"/>
                <w:spacing w:val="114"/>
                <w:position w:val="13"/>
                <w:sz w:val="20"/>
              </w:rPr>
              <w:t> </w:t>
            </w:r>
            <w:r>
              <w:rPr>
                <w:rFonts w:ascii="Times New Roman"/>
                <w:spacing w:val="114"/>
                <w:sz w:val="20"/>
              </w:rPr>
              <w:pict>
                <v:group style="width:22.5pt;height:42.45pt;mso-position-horizontal-relative:char;mso-position-vertical-relative:line" id="docshapegroup537" coordorigin="0,0" coordsize="450,849">
                  <v:rect style="position:absolute;left:8;top:7;width:434;height:834" id="docshape538" filled="true" fillcolor="#000000" stroked="false">
                    <v:fill type="solid"/>
                  </v:rect>
                  <v:rect style="position:absolute;left:7;top:7;width:435;height:834" id="docshape539" filled="false" stroked="true" strokeweight=".75pt" strokecolor="#000000">
                    <v:stroke dashstyle="solid"/>
                  </v:rect>
                </v:group>
              </w:pict>
            </w:r>
            <w:r>
              <w:rPr>
                <w:rFonts w:ascii="Times New Roman"/>
                <w:spacing w:val="114"/>
                <w:sz w:val="20"/>
              </w:rPr>
            </w:r>
          </w:p>
          <w:p>
            <w:pPr>
              <w:pStyle w:val="TableParagraph"/>
              <w:spacing w:before="4"/>
              <w:ind w:left="626" w:right="497" w:hanging="111"/>
              <w:rPr>
                <w:sz w:val="24"/>
              </w:rPr>
            </w:pPr>
            <w:r>
              <w:rPr>
                <w:spacing w:val="-2"/>
                <w:sz w:val="24"/>
              </w:rPr>
              <w:t>Outside Value</w:t>
            </w:r>
          </w:p>
        </w:tc>
        <w:tc>
          <w:tcPr>
            <w:tcW w:w="2058" w:type="dxa"/>
            <w:gridSpan w:val="2"/>
            <w:tcBorders>
              <w:top w:val="nil"/>
            </w:tcBorders>
          </w:tcPr>
          <w:p>
            <w:pPr>
              <w:pStyle w:val="TableParagraph"/>
              <w:spacing w:before="3"/>
              <w:rPr>
                <w:rFonts w:ascii="Times New Roman"/>
                <w:sz w:val="26"/>
              </w:rPr>
            </w:pPr>
          </w:p>
          <w:p>
            <w:pPr>
              <w:pStyle w:val="TableParagraph"/>
              <w:ind w:left="399"/>
              <w:rPr>
                <w:rFonts w:ascii="Times New Roman"/>
                <w:sz w:val="20"/>
              </w:rPr>
            </w:pPr>
            <w:r>
              <w:rPr>
                <w:rFonts w:ascii="Times New Roman"/>
                <w:sz w:val="20"/>
              </w:rPr>
              <w:pict>
                <v:group style="width:22.5pt;height:29.2pt;mso-position-horizontal-relative:char;mso-position-vertical-relative:line" id="docshapegroup540" coordorigin="0,0" coordsize="450,584">
                  <v:rect style="position:absolute;left:7;top:7;width:435;height:569" id="docshape541" filled="true" fillcolor="#000000" stroked="false">
                    <v:fill type="solid"/>
                  </v:rect>
                  <v:rect style="position:absolute;left:7;top:7;width:435;height:569" id="docshape542" filled="false" stroked="true" strokeweight=".75pt" strokecolor="#000000">
                    <v:stroke dashstyle="solid"/>
                  </v:rect>
                </v:group>
              </w:pict>
            </w:r>
            <w:r>
              <w:rPr>
                <w:rFonts w:ascii="Times New Roman"/>
                <w:sz w:val="20"/>
              </w:rPr>
            </w:r>
            <w:r>
              <w:rPr>
                <w:rFonts w:ascii="Times New Roman"/>
                <w:spacing w:val="114"/>
                <w:sz w:val="20"/>
              </w:rPr>
              <w:t> </w:t>
            </w:r>
            <w:r>
              <w:rPr>
                <w:rFonts w:ascii="Times New Roman"/>
                <w:spacing w:val="114"/>
                <w:position w:val="6"/>
                <w:sz w:val="20"/>
              </w:rPr>
              <w:pict>
                <v:group style="width:22.5pt;height:21.9pt;mso-position-horizontal-relative:char;mso-position-vertical-relative:line" id="docshapegroup543" coordorigin="0,0" coordsize="450,438">
                  <v:rect style="position:absolute;left:8;top:7;width:434;height:423" id="docshape544" filled="true" fillcolor="#000000" stroked="false">
                    <v:fill type="solid"/>
                  </v:rect>
                  <v:rect style="position:absolute;left:7;top:7;width:435;height:423" id="docshape545" filled="false" stroked="true" strokeweight=".75pt" strokecolor="#000000">
                    <v:stroke dashstyle="solid"/>
                  </v:rect>
                </v:group>
              </w:pict>
            </w:r>
            <w:r>
              <w:rPr>
                <w:rFonts w:ascii="Times New Roman"/>
                <w:spacing w:val="114"/>
                <w:position w:val="6"/>
                <w:sz w:val="20"/>
              </w:rPr>
            </w:r>
          </w:p>
          <w:p>
            <w:pPr>
              <w:pStyle w:val="TableParagraph"/>
              <w:spacing w:before="133"/>
              <w:ind w:left="661" w:right="759" w:hanging="30"/>
              <w:rPr>
                <w:sz w:val="24"/>
              </w:rPr>
            </w:pPr>
            <w:r>
              <w:rPr>
                <w:spacing w:val="-2"/>
                <w:sz w:val="24"/>
              </w:rPr>
              <w:t>Inside Value</w:t>
            </w:r>
          </w:p>
        </w:tc>
      </w:tr>
      <w:tr>
        <w:trPr>
          <w:trHeight w:val="2335" w:hRule="atLeast"/>
        </w:trPr>
        <w:tc>
          <w:tcPr>
            <w:tcW w:w="1433" w:type="dxa"/>
          </w:tcPr>
          <w:p>
            <w:pPr>
              <w:pStyle w:val="TableParagraph"/>
              <w:spacing w:before="8"/>
              <w:rPr>
                <w:rFonts w:ascii="Times New Roman"/>
                <w:sz w:val="24"/>
              </w:rPr>
            </w:pPr>
          </w:p>
          <w:p>
            <w:pPr>
              <w:pStyle w:val="TableParagraph"/>
              <w:ind w:left="784"/>
              <w:rPr>
                <w:rFonts w:ascii="Times New Roman"/>
                <w:sz w:val="20"/>
              </w:rPr>
            </w:pPr>
            <w:r>
              <w:rPr>
                <w:rFonts w:ascii="Times New Roman"/>
                <w:sz w:val="20"/>
              </w:rPr>
              <w:pict>
                <v:group style="width:22.5pt;height:29.2pt;mso-position-horizontal-relative:char;mso-position-vertical-relative:line" id="docshapegroup546" coordorigin="0,0" coordsize="450,584">
                  <v:rect style="position:absolute;left:7;top:7;width:435;height:570" id="docshape547" filled="true" fillcolor="#000000" stroked="false">
                    <v:fill type="solid"/>
                  </v:rect>
                  <v:rect style="position:absolute;left:7;top:7;width:435;height:569" id="docshape548" filled="false" stroked="true" strokeweight=".75pt" strokecolor="#000000">
                    <v:stroke dashstyle="solid"/>
                  </v:rect>
                </v:group>
              </w:pict>
            </w:r>
            <w:r>
              <w:rPr>
                <w:rFonts w:ascii="Times New Roman"/>
                <w:sz w:val="20"/>
              </w:rPr>
            </w:r>
          </w:p>
          <w:p>
            <w:pPr>
              <w:pStyle w:val="TableParagraph"/>
              <w:spacing w:before="3"/>
              <w:rPr>
                <w:rFonts w:ascii="Times New Roman"/>
                <w:sz w:val="9"/>
              </w:rPr>
            </w:pPr>
          </w:p>
          <w:p>
            <w:pPr>
              <w:pStyle w:val="TableParagraph"/>
              <w:ind w:left="149"/>
              <w:rPr>
                <w:rFonts w:ascii="Times New Roman"/>
                <w:sz w:val="20"/>
              </w:rPr>
            </w:pPr>
            <w:r>
              <w:rPr>
                <w:rFonts w:ascii="Times New Roman"/>
                <w:sz w:val="20"/>
              </w:rPr>
              <w:pict>
                <v:group style="width:22.45pt;height:29.2pt;mso-position-horizontal-relative:char;mso-position-vertical-relative:line" id="docshapegroup549" coordorigin="0,0" coordsize="449,584">
                  <v:rect style="position:absolute;left:7;top:7;width:435;height:569" id="docshape550" filled="true" fillcolor="#000000" stroked="false">
                    <v:fill type="solid"/>
                  </v:rect>
                  <v:rect style="position:absolute;left:7;top:7;width:434;height:569" id="docshape551" filled="false" stroked="true" strokeweight=".75pt" strokecolor="#000000">
                    <v:stroke dashstyle="solid"/>
                  </v:rect>
                </v:group>
              </w:pict>
            </w:r>
            <w:r>
              <w:rPr>
                <w:rFonts w:ascii="Times New Roman"/>
                <w:sz w:val="20"/>
              </w:rPr>
            </w:r>
          </w:p>
          <w:p>
            <w:pPr>
              <w:pStyle w:val="TableParagraph"/>
              <w:spacing w:before="24"/>
              <w:ind w:left="393" w:right="377" w:hanging="57"/>
              <w:rPr>
                <w:sz w:val="24"/>
              </w:rPr>
            </w:pPr>
            <w:r>
              <w:rPr>
                <w:spacing w:val="-2"/>
                <w:sz w:val="24"/>
              </w:rPr>
              <w:t>Higher Value</w:t>
            </w:r>
          </w:p>
        </w:tc>
        <w:tc>
          <w:tcPr>
            <w:tcW w:w="1544" w:type="dxa"/>
            <w:gridSpan w:val="2"/>
          </w:tcPr>
          <w:p>
            <w:pPr>
              <w:pStyle w:val="TableParagraph"/>
              <w:rPr>
                <w:rFonts w:ascii="Times New Roman"/>
                <w:sz w:val="20"/>
              </w:rPr>
            </w:pPr>
          </w:p>
          <w:p>
            <w:pPr>
              <w:pStyle w:val="TableParagraph"/>
              <w:spacing w:before="3" w:after="1"/>
              <w:rPr>
                <w:rFonts w:ascii="Times New Roman"/>
                <w:sz w:val="21"/>
              </w:rPr>
            </w:pPr>
          </w:p>
          <w:p>
            <w:pPr>
              <w:pStyle w:val="TableParagraph"/>
              <w:ind w:left="225"/>
              <w:rPr>
                <w:rFonts w:ascii="Times New Roman"/>
                <w:sz w:val="20"/>
              </w:rPr>
            </w:pPr>
            <w:r>
              <w:rPr>
                <w:rFonts w:ascii="Times New Roman"/>
                <w:sz w:val="20"/>
              </w:rPr>
              <w:pict>
                <v:group style="width:22.5pt;height:29.2pt;mso-position-horizontal-relative:char;mso-position-vertical-relative:line" id="docshapegroup552" coordorigin="0,0" coordsize="450,584">
                  <v:rect style="position:absolute;left:7;top:7;width:435;height:569" id="docshape553" filled="true" fillcolor="#000000" stroked="false">
                    <v:fill type="solid"/>
                  </v:rect>
                  <v:rect style="position:absolute;left:7;top:7;width:435;height:569" id="docshape554" filled="false" stroked="true" strokeweight=".75pt" strokecolor="#000000">
                    <v:stroke dashstyle="solid"/>
                  </v:rect>
                </v:group>
              </w:pict>
            </w:r>
            <w:r>
              <w:rPr>
                <w:rFonts w:ascii="Times New Roman"/>
                <w:sz w:val="20"/>
              </w:rPr>
            </w:r>
            <w:r>
              <w:rPr>
                <w:rFonts w:ascii="Times New Roman"/>
                <w:spacing w:val="114"/>
                <w:sz w:val="20"/>
              </w:rPr>
              <w:t> </w:t>
            </w:r>
            <w:r>
              <w:rPr>
                <w:rFonts w:ascii="Times New Roman"/>
                <w:spacing w:val="114"/>
                <w:position w:val="30"/>
                <w:sz w:val="20"/>
              </w:rPr>
              <w:pict>
                <v:group style="width:22.5pt;height:29.25pt;mso-position-horizontal-relative:char;mso-position-vertical-relative:line" id="docshapegroup555" coordorigin="0,0" coordsize="450,585">
                  <v:rect style="position:absolute;left:7;top:8;width:435;height:569" id="docshape556" filled="true" fillcolor="#000000" stroked="false">
                    <v:fill type="solid"/>
                  </v:rect>
                  <v:rect style="position:absolute;left:7;top:7;width:435;height:570" id="docshape557" filled="false" stroked="true" strokeweight=".75pt" strokecolor="#000000">
                    <v:stroke dashstyle="solid"/>
                  </v:rect>
                </v:group>
              </w:pict>
            </w:r>
            <w:r>
              <w:rPr>
                <w:rFonts w:ascii="Times New Roman"/>
                <w:spacing w:val="114"/>
                <w:position w:val="30"/>
                <w:sz w:val="20"/>
              </w:rPr>
            </w:r>
          </w:p>
          <w:p>
            <w:pPr>
              <w:pStyle w:val="TableParagraph"/>
              <w:spacing w:before="2"/>
              <w:rPr>
                <w:rFonts w:ascii="Times New Roman"/>
                <w:sz w:val="20"/>
              </w:rPr>
            </w:pPr>
          </w:p>
          <w:p>
            <w:pPr>
              <w:pStyle w:val="TableParagraph"/>
              <w:ind w:left="89" w:right="74" w:firstLine="43"/>
              <w:rPr>
                <w:sz w:val="24"/>
              </w:rPr>
            </w:pPr>
            <w:r>
              <w:rPr>
                <w:spacing w:val="-2"/>
                <w:sz w:val="24"/>
              </w:rPr>
              <w:t>Overlapping </w:t>
            </w:r>
            <w:r>
              <w:rPr>
                <w:sz w:val="24"/>
              </w:rPr>
              <w:t>Higher </w:t>
            </w:r>
            <w:r>
              <w:rPr>
                <w:spacing w:val="-2"/>
                <w:sz w:val="24"/>
              </w:rPr>
              <w:t>Value</w:t>
            </w:r>
          </w:p>
        </w:tc>
        <w:tc>
          <w:tcPr>
            <w:tcW w:w="1480" w:type="dxa"/>
            <w:gridSpan w:val="2"/>
          </w:tcPr>
          <w:p>
            <w:pPr>
              <w:pStyle w:val="TableParagraph"/>
              <w:spacing w:before="4" w:after="1"/>
              <w:rPr>
                <w:rFonts w:ascii="Times New Roman"/>
                <w:sz w:val="24"/>
              </w:rPr>
            </w:pPr>
          </w:p>
          <w:p>
            <w:pPr>
              <w:pStyle w:val="TableParagraph"/>
              <w:ind w:left="203"/>
              <w:rPr>
                <w:rFonts w:ascii="Times New Roman"/>
                <w:sz w:val="20"/>
              </w:rPr>
            </w:pPr>
            <w:r>
              <w:rPr>
                <w:rFonts w:ascii="Times New Roman"/>
                <w:sz w:val="20"/>
              </w:rPr>
              <w:pict>
                <v:group style="width:22.45pt;height:29.2pt;mso-position-horizontal-relative:char;mso-position-vertical-relative:line" id="docshapegroup558" coordorigin="0,0" coordsize="449,584">
                  <v:rect style="position:absolute;left:7;top:7;width:434;height:569" id="docshape559" filled="true" fillcolor="#000000" stroked="false">
                    <v:fill type="solid"/>
                  </v:rect>
                  <v:rect style="position:absolute;left:7;top:7;width:434;height:569" id="docshape560" filled="false" stroked="true" strokeweight=".75pt" strokecolor="#000000">
                    <v:stroke dashstyle="solid"/>
                  </v:rect>
                </v:group>
              </w:pict>
            </w:r>
            <w:r>
              <w:rPr>
                <w:rFonts w:ascii="Times New Roman"/>
                <w:sz w:val="20"/>
              </w:rPr>
            </w:r>
          </w:p>
          <w:p>
            <w:pPr>
              <w:pStyle w:val="TableParagraph"/>
              <w:rPr>
                <w:rFonts w:ascii="Times New Roman"/>
                <w:sz w:val="10"/>
              </w:rPr>
            </w:pPr>
          </w:p>
          <w:p>
            <w:pPr>
              <w:pStyle w:val="TableParagraph"/>
              <w:ind w:left="838"/>
              <w:rPr>
                <w:rFonts w:ascii="Times New Roman"/>
                <w:sz w:val="20"/>
              </w:rPr>
            </w:pPr>
            <w:r>
              <w:rPr>
                <w:rFonts w:ascii="Times New Roman"/>
                <w:sz w:val="20"/>
              </w:rPr>
              <w:pict>
                <v:group style="width:22.45pt;height:29.2pt;mso-position-horizontal-relative:char;mso-position-vertical-relative:line" id="docshapegroup561" coordorigin="0,0" coordsize="449,584">
                  <v:rect style="position:absolute;left:7;top:7;width:435;height:569" id="docshape562" filled="true" fillcolor="#000000" stroked="false">
                    <v:fill type="solid"/>
                  </v:rect>
                  <v:rect style="position:absolute;left:7;top:7;width:434;height:569" id="docshape563" filled="false" stroked="true" strokeweight=".75pt" strokecolor="#000000">
                    <v:stroke dashstyle="solid"/>
                  </v:rect>
                </v:group>
              </w:pict>
            </w:r>
            <w:r>
              <w:rPr>
                <w:rFonts w:ascii="Times New Roman"/>
                <w:sz w:val="20"/>
              </w:rPr>
            </w:r>
          </w:p>
          <w:p>
            <w:pPr>
              <w:pStyle w:val="TableParagraph"/>
              <w:spacing w:before="18"/>
              <w:ind w:left="428" w:right="414" w:hanging="28"/>
              <w:rPr>
                <w:sz w:val="24"/>
              </w:rPr>
            </w:pPr>
            <w:r>
              <w:rPr>
                <w:spacing w:val="-2"/>
                <w:sz w:val="24"/>
              </w:rPr>
              <w:t>Lower Value</w:t>
            </w:r>
          </w:p>
        </w:tc>
        <w:tc>
          <w:tcPr>
            <w:tcW w:w="1487" w:type="dxa"/>
          </w:tcPr>
          <w:p>
            <w:pPr>
              <w:pStyle w:val="TableParagraph"/>
              <w:rPr>
                <w:rFonts w:ascii="Times New Roman"/>
                <w:sz w:val="20"/>
              </w:rPr>
            </w:pPr>
          </w:p>
          <w:p>
            <w:pPr>
              <w:pStyle w:val="TableParagraph"/>
              <w:spacing w:before="2"/>
              <w:rPr>
                <w:rFonts w:ascii="Times New Roman"/>
                <w:sz w:val="21"/>
              </w:rPr>
            </w:pPr>
          </w:p>
          <w:p>
            <w:pPr>
              <w:pStyle w:val="TableParagraph"/>
              <w:ind w:left="240"/>
              <w:rPr>
                <w:rFonts w:ascii="Times New Roman"/>
                <w:sz w:val="20"/>
              </w:rPr>
            </w:pPr>
            <w:r>
              <w:rPr>
                <w:rFonts w:ascii="Times New Roman"/>
                <w:position w:val="31"/>
                <w:sz w:val="20"/>
              </w:rPr>
              <w:pict>
                <v:group style="width:22.45pt;height:29.2pt;mso-position-horizontal-relative:char;mso-position-vertical-relative:line" id="docshapegroup564" coordorigin="0,0" coordsize="449,584">
                  <v:rect style="position:absolute;left:7;top:7;width:435;height:569" id="docshape565" filled="true" fillcolor="#000000" stroked="false">
                    <v:fill type="solid"/>
                  </v:rect>
                  <v:rect style="position:absolute;left:7;top:7;width:434;height:569" id="docshape566" filled="false" stroked="true" strokeweight=".75pt" strokecolor="#000000">
                    <v:stroke dashstyle="solid"/>
                  </v:rect>
                </v:group>
              </w:pict>
            </w:r>
            <w:r>
              <w:rPr>
                <w:rFonts w:ascii="Times New Roman"/>
                <w:position w:val="31"/>
                <w:sz w:val="20"/>
              </w:rPr>
            </w:r>
            <w:r>
              <w:rPr>
                <w:rFonts w:ascii="Times New Roman"/>
                <w:spacing w:val="129"/>
                <w:position w:val="31"/>
                <w:sz w:val="20"/>
              </w:rPr>
              <w:t> </w:t>
            </w:r>
            <w:r>
              <w:rPr>
                <w:rFonts w:ascii="Times New Roman"/>
                <w:spacing w:val="129"/>
                <w:sz w:val="20"/>
              </w:rPr>
              <w:pict>
                <v:group style="width:22.5pt;height:29.2pt;mso-position-horizontal-relative:char;mso-position-vertical-relative:line" id="docshapegroup567" coordorigin="0,0" coordsize="450,584">
                  <v:rect style="position:absolute;left:7;top:7;width:435;height:569" id="docshape568" filled="true" fillcolor="#000000" stroked="false">
                    <v:fill type="solid"/>
                  </v:rect>
                  <v:rect style="position:absolute;left:7;top:7;width:435;height:569" id="docshape569" filled="false" stroked="true" strokeweight=".75pt" strokecolor="#000000">
                    <v:stroke dashstyle="solid"/>
                  </v:rect>
                </v:group>
              </w:pict>
            </w:r>
            <w:r>
              <w:rPr>
                <w:rFonts w:ascii="Times New Roman"/>
                <w:spacing w:val="129"/>
                <w:sz w:val="20"/>
              </w:rPr>
            </w:r>
          </w:p>
          <w:p>
            <w:pPr>
              <w:pStyle w:val="TableParagraph"/>
              <w:spacing w:before="5"/>
              <w:rPr>
                <w:rFonts w:ascii="Times New Roman"/>
                <w:sz w:val="20"/>
              </w:rPr>
            </w:pPr>
          </w:p>
          <w:p>
            <w:pPr>
              <w:pStyle w:val="TableParagraph"/>
              <w:ind w:left="78" w:right="84" w:firstLine="15"/>
              <w:rPr>
                <w:sz w:val="24"/>
              </w:rPr>
            </w:pPr>
            <w:r>
              <w:rPr>
                <w:spacing w:val="-2"/>
                <w:sz w:val="24"/>
              </w:rPr>
              <w:t>Overlapping </w:t>
            </w:r>
            <w:r>
              <w:rPr>
                <w:sz w:val="24"/>
              </w:rPr>
              <w:t>Lower </w:t>
            </w:r>
            <w:r>
              <w:rPr>
                <w:spacing w:val="-2"/>
                <w:sz w:val="24"/>
              </w:rPr>
              <w:t>Value</w:t>
            </w:r>
          </w:p>
        </w:tc>
      </w:tr>
    </w:tbl>
    <w:p>
      <w:pPr>
        <w:spacing w:before="6"/>
        <w:ind w:left="931" w:right="0" w:firstLine="0"/>
        <w:jc w:val="left"/>
        <w:rPr>
          <w:sz w:val="16"/>
        </w:rPr>
      </w:pPr>
      <w:r>
        <w:rPr>
          <w:sz w:val="16"/>
        </w:rPr>
        <w:t>FIGURE</w:t>
      </w:r>
      <w:r>
        <w:rPr>
          <w:spacing w:val="2"/>
          <w:sz w:val="16"/>
        </w:rPr>
        <w:t> </w:t>
      </w:r>
      <w:r>
        <w:rPr>
          <w:sz w:val="16"/>
        </w:rPr>
        <w:t>6.15:</w:t>
      </w:r>
      <w:r>
        <w:rPr>
          <w:spacing w:val="2"/>
          <w:sz w:val="16"/>
        </w:rPr>
        <w:t> </w:t>
      </w:r>
      <w:r>
        <w:rPr>
          <w:sz w:val="16"/>
        </w:rPr>
        <w:t>Diagram</w:t>
      </w:r>
      <w:r>
        <w:rPr>
          <w:spacing w:val="3"/>
          <w:sz w:val="16"/>
        </w:rPr>
        <w:t> </w:t>
      </w:r>
      <w:r>
        <w:rPr>
          <w:sz w:val="16"/>
        </w:rPr>
        <w:t>of</w:t>
      </w:r>
      <w:r>
        <w:rPr>
          <w:spacing w:val="3"/>
          <w:sz w:val="16"/>
        </w:rPr>
        <w:t> </w:t>
      </w:r>
      <w:r>
        <w:rPr>
          <w:sz w:val="16"/>
        </w:rPr>
        <w:t>the</w:t>
      </w:r>
      <w:r>
        <w:rPr>
          <w:spacing w:val="2"/>
          <w:sz w:val="16"/>
        </w:rPr>
        <w:t> </w:t>
      </w:r>
      <w:r>
        <w:rPr>
          <w:sz w:val="16"/>
        </w:rPr>
        <w:t>seven</w:t>
      </w:r>
      <w:r>
        <w:rPr>
          <w:spacing w:val="3"/>
          <w:sz w:val="16"/>
        </w:rPr>
        <w:t> </w:t>
      </w:r>
      <w:r>
        <w:rPr>
          <w:sz w:val="16"/>
        </w:rPr>
        <w:t>two-day</w:t>
      </w:r>
      <w:r>
        <w:rPr>
          <w:spacing w:val="3"/>
          <w:sz w:val="16"/>
        </w:rPr>
        <w:t> </w:t>
      </w:r>
      <w:r>
        <w:rPr>
          <w:spacing w:val="-2"/>
          <w:sz w:val="16"/>
        </w:rPr>
        <w:t>relationships</w:t>
      </w:r>
    </w:p>
    <w:p>
      <w:pPr>
        <w:pStyle w:val="BodyText"/>
        <w:spacing w:before="1"/>
      </w:pPr>
    </w:p>
    <w:p>
      <w:pPr>
        <w:pStyle w:val="Heading3"/>
        <w:ind w:left="500"/>
      </w:pPr>
      <w:r>
        <w:rPr/>
        <w:pict>
          <v:shape style="position:absolute;margin-left:54.240002pt;margin-top:17.21032pt;width:341pt;height:.1pt;mso-position-horizontal-relative:page;mso-position-vertical-relative:paragraph;z-index:-15629824;mso-wrap-distance-left:0;mso-wrap-distance-right:0" id="docshape570" coordorigin="1085,344" coordsize="6820,0" path="m1085,344l7904,344e" filled="false" stroked="true" strokeweight=".75pt" strokecolor="#000000">
            <v:path arrowok="t"/>
            <v:stroke dashstyle="solid"/>
            <w10:wrap type="topAndBottom"/>
          </v:shape>
        </w:pict>
      </w:r>
      <w:bookmarkStart w:name="_TOC_250038" w:id="53"/>
      <w:r>
        <w:rPr>
          <w:smallCaps/>
        </w:rPr>
        <w:t>Pivot</w:t>
      </w:r>
      <w:r>
        <w:rPr>
          <w:smallCaps/>
          <w:spacing w:val="-14"/>
        </w:rPr>
        <w:t> </w:t>
      </w:r>
      <w:r>
        <w:rPr>
          <w:smallCaps/>
        </w:rPr>
        <w:t>Width</w:t>
      </w:r>
      <w:r>
        <w:rPr>
          <w:smallCaps/>
          <w:spacing w:val="-12"/>
        </w:rPr>
        <w:t> </w:t>
      </w:r>
      <w:bookmarkEnd w:id="53"/>
      <w:r>
        <w:rPr>
          <w:smallCaps/>
          <w:spacing w:val="-2"/>
        </w:rPr>
        <w:t>Forecasting</w:t>
      </w:r>
    </w:p>
    <w:p>
      <w:pPr>
        <w:pStyle w:val="BodyText"/>
        <w:spacing w:before="224"/>
        <w:ind w:left="499" w:right="135" w:firstLine="432"/>
        <w:jc w:val="both"/>
      </w:pPr>
      <w:r>
        <w:rPr/>
        <w:t>Pivot width forecasting</w:t>
      </w:r>
      <w:r>
        <w:rPr/>
        <w:t> is a consistent theme throughout the book, as each of the major forms of pivots, from the Money Zone to the Camarilla Equation, reveals major behavioral cues based on the day’s pivot width.</w:t>
      </w:r>
      <w:r>
        <w:rPr>
          <w:spacing w:val="40"/>
        </w:rPr>
        <w:t> </w:t>
      </w:r>
      <w:r>
        <w:rPr/>
        <w:t>Since</w:t>
      </w:r>
      <w:r>
        <w:rPr>
          <w:spacing w:val="-1"/>
        </w:rPr>
        <w:t> </w:t>
      </w:r>
      <w:r>
        <w:rPr/>
        <w:t>the</w:t>
      </w:r>
      <w:r>
        <w:rPr>
          <w:spacing w:val="-1"/>
        </w:rPr>
        <w:t> </w:t>
      </w:r>
      <w:r>
        <w:rPr/>
        <w:t>prior</w:t>
      </w:r>
      <w:r>
        <w:rPr>
          <w:spacing w:val="-1"/>
        </w:rPr>
        <w:t> </w:t>
      </w:r>
      <w:r>
        <w:rPr/>
        <w:t>day’s</w:t>
      </w:r>
      <w:r>
        <w:rPr>
          <w:spacing w:val="-1"/>
        </w:rPr>
        <w:t> </w:t>
      </w:r>
      <w:r>
        <w:rPr/>
        <w:t>trading</w:t>
      </w:r>
      <w:r>
        <w:rPr>
          <w:spacing w:val="-1"/>
        </w:rPr>
        <w:t> </w:t>
      </w:r>
      <w:r>
        <w:rPr/>
        <w:t>activity</w:t>
      </w:r>
      <w:r>
        <w:rPr>
          <w:spacing w:val="-1"/>
        </w:rPr>
        <w:t> </w:t>
      </w:r>
      <w:r>
        <w:rPr/>
        <w:t>leads</w:t>
      </w:r>
      <w:r>
        <w:rPr>
          <w:spacing w:val="-1"/>
        </w:rPr>
        <w:t> </w:t>
      </w:r>
      <w:r>
        <w:rPr/>
        <w:t>to</w:t>
      </w:r>
      <w:r>
        <w:rPr>
          <w:spacing w:val="-1"/>
        </w:rPr>
        <w:t> </w:t>
      </w:r>
      <w:r>
        <w:rPr/>
        <w:t>the</w:t>
      </w:r>
      <w:r>
        <w:rPr>
          <w:spacing w:val="-1"/>
        </w:rPr>
        <w:t> </w:t>
      </w:r>
      <w:r>
        <w:rPr/>
        <w:t>creation</w:t>
      </w:r>
      <w:r>
        <w:rPr>
          <w:spacing w:val="-1"/>
        </w:rPr>
        <w:t> </w:t>
      </w:r>
      <w:r>
        <w:rPr/>
        <w:t>of</w:t>
      </w:r>
      <w:r>
        <w:rPr>
          <w:spacing w:val="-1"/>
        </w:rPr>
        <w:t> </w:t>
      </w:r>
      <w:r>
        <w:rPr/>
        <w:t>today’s</w:t>
      </w:r>
      <w:r>
        <w:rPr>
          <w:spacing w:val="-1"/>
        </w:rPr>
        <w:t> </w:t>
      </w:r>
      <w:r>
        <w:rPr/>
        <w:t>pivots,</w:t>
      </w:r>
      <w:r>
        <w:rPr>
          <w:spacing w:val="-1"/>
        </w:rPr>
        <w:t> </w:t>
      </w:r>
      <w:r>
        <w:rPr/>
        <w:t>it is extremely important to understand how the market behaved in the prior</w:t>
      </w:r>
      <w:r>
        <w:rPr>
          <w:spacing w:val="40"/>
        </w:rPr>
        <w:t> </w:t>
      </w:r>
      <w:r>
        <w:rPr/>
        <w:t>day in order to forecast what may occur in the upcoming session. More specifically, if the market experienced a wide range of movement in the prior session, the pivots for the following day will likely be wider than normal, which usually leads to a Typical Day, Trading Range Day, or Sideways Day scenario. Conversely, if the market experiences a very quiet trading day in</w:t>
      </w:r>
      <w:r>
        <w:rPr>
          <w:spacing w:val="40"/>
        </w:rPr>
        <w:t> </w:t>
      </w:r>
      <w:r>
        <w:rPr/>
        <w:t>the prior session, the pivots for the following day are likely to be unusually tight, or narrow, which typically leads to a Trend Day, Double-Distribution Trend Day, or Extended Typical Day scenario. It is important to understand the pivot width concept, as this information allows you to prepare properly for specific day types in the upcoming session. If you are able to anticipate the</w:t>
      </w:r>
      <w:r>
        <w:rPr>
          <w:spacing w:val="48"/>
        </w:rPr>
        <w:t> </w:t>
      </w:r>
      <w:r>
        <w:rPr/>
        <w:t>market’s</w:t>
      </w:r>
      <w:r>
        <w:rPr>
          <w:spacing w:val="50"/>
        </w:rPr>
        <w:t> </w:t>
      </w:r>
      <w:r>
        <w:rPr/>
        <w:t>likely</w:t>
      </w:r>
      <w:r>
        <w:rPr>
          <w:spacing w:val="47"/>
        </w:rPr>
        <w:t> </w:t>
      </w:r>
      <w:r>
        <w:rPr/>
        <w:t>behavior,</w:t>
      </w:r>
      <w:r>
        <w:rPr>
          <w:spacing w:val="48"/>
        </w:rPr>
        <w:t> </w:t>
      </w:r>
      <w:r>
        <w:rPr/>
        <w:t>you</w:t>
      </w:r>
      <w:r>
        <w:rPr>
          <w:spacing w:val="49"/>
        </w:rPr>
        <w:t> </w:t>
      </w:r>
      <w:r>
        <w:rPr/>
        <w:t>are</w:t>
      </w:r>
      <w:r>
        <w:rPr>
          <w:spacing w:val="50"/>
        </w:rPr>
        <w:t> </w:t>
      </w:r>
      <w:r>
        <w:rPr/>
        <w:t>giving</w:t>
      </w:r>
      <w:r>
        <w:rPr>
          <w:spacing w:val="47"/>
        </w:rPr>
        <w:t> </w:t>
      </w:r>
      <w:r>
        <w:rPr/>
        <w:t>yourself</w:t>
      </w:r>
      <w:r>
        <w:rPr>
          <w:spacing w:val="49"/>
        </w:rPr>
        <w:t> </w:t>
      </w:r>
      <w:r>
        <w:rPr/>
        <w:t>the</w:t>
      </w:r>
      <w:r>
        <w:rPr>
          <w:spacing w:val="49"/>
        </w:rPr>
        <w:t> </w:t>
      </w:r>
      <w:r>
        <w:rPr/>
        <w:t>best</w:t>
      </w:r>
      <w:r>
        <w:rPr>
          <w:spacing w:val="51"/>
        </w:rPr>
        <w:t> </w:t>
      </w:r>
      <w:r>
        <w:rPr/>
        <w:t>chance</w:t>
      </w:r>
      <w:r>
        <w:rPr>
          <w:spacing w:val="50"/>
        </w:rPr>
        <w:t> </w:t>
      </w:r>
      <w:r>
        <w:rPr>
          <w:spacing w:val="-5"/>
        </w:rPr>
        <w:t>at</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7"/>
        <w:jc w:val="both"/>
      </w:pPr>
      <w:r>
        <w:rPr/>
        <w:t>success because you are able to deploy specific setups that are tailored for certain types of days. Any time you have an idea of how the market will behave in the following session, you are giving yourself a significant trading </w:t>
      </w:r>
      <w:r>
        <w:rPr>
          <w:spacing w:val="-2"/>
        </w:rPr>
        <w:t>edge.</w:t>
      </w:r>
    </w:p>
    <w:p>
      <w:pPr>
        <w:pStyle w:val="BodyText"/>
        <w:ind w:left="140" w:right="495" w:firstLine="432"/>
        <w:jc w:val="both"/>
      </w:pPr>
      <w:r>
        <w:rPr/>
        <w:t>The width of the central pivot range is perhaps my favorite method for forecasting</w:t>
      </w:r>
      <w:r>
        <w:rPr/>
        <w:t> potential price behavior for the following session. When describing the width, I am referring to the distance between the top central pivot and the bottom central pivot (TC - BC). Typically, an extremely tight central pivot range indicates the market traded sideways or consolidated in the prior period of time (from which the high, low, and close were derived). As such, this price behavior usually leads to breakout or trending behavior in the following session. Conversely, an extremely wide central pivot range indicates the market experienced a wide range of movement in the prior day, which usually leads to sideways or trading range behavior in the following </w:t>
      </w:r>
      <w:r>
        <w:rPr>
          <w:spacing w:val="-2"/>
        </w:rPr>
        <w:t>session.</w:t>
      </w:r>
    </w:p>
    <w:p>
      <w:pPr>
        <w:pStyle w:val="BodyText"/>
        <w:ind w:left="140" w:right="496" w:firstLine="432"/>
        <w:jc w:val="both"/>
      </w:pPr>
      <w:r>
        <w:rPr/>
        <w:t>It is important to note, however, that pivot width analysis works best when</w:t>
      </w:r>
      <w:r>
        <w:rPr/>
        <w:t> the range of movement is distinctly high or low, thereby creating unusually wide or narrow pivots. That is, it must be clear that the width of</w:t>
      </w:r>
      <w:r>
        <w:rPr>
          <w:spacing w:val="40"/>
        </w:rPr>
        <w:t> </w:t>
      </w:r>
      <w:r>
        <w:rPr/>
        <w:t>the pivots is either abnormally wide or narrow, as these are the sessions that lend themselves to a higher probability of forecasting success. If the pivot width is not distinctly wide or narrow, it becomes very difficult to predict potential trading behavior with any degree of certainty for the following session. You must also keep in mind that this analysis is not without fault. Measuring pivot width gives you a significant edge in determining the potential behavior for the upcoming session, but like any form of technical analysis, this method is not always correct; therefore, use it as a guideline.</w:t>
      </w:r>
    </w:p>
    <w:p>
      <w:pPr>
        <w:pStyle w:val="BodyText"/>
        <w:ind w:left="140" w:right="496" w:firstLine="432"/>
        <w:jc w:val="both"/>
      </w:pPr>
      <w:r>
        <w:rPr/>
        <w:t>Let’s take a closer look at the pivot width relationship that can lead to one of the most explosive days in the market: the narrow pivot range relationship. An unusually narrow pivot range usually indicates the market is primed for an explosive breakout opportunity. Therefore, it becomes highly beneficial to know when this relationship has formed. If you have studied chart patterns, you know that consolidations and trading ranges lead to breakouts and range expansion. Essentially, a tight pivot range is telling you the prior day was consolidating, which usually leads to a breakout on the day with the narrow pivot range, given the right opening characteristics. Also, most trending days occur when the central pivot range is considerably tighter than the prior day’s range, especially if the prior day’s pivot range is unusually wide.</w:t>
      </w:r>
    </w:p>
    <w:p>
      <w:pPr>
        <w:pStyle w:val="BodyText"/>
        <w:spacing w:before="1"/>
      </w:pPr>
    </w:p>
    <w:p>
      <w:pPr>
        <w:spacing w:before="0"/>
        <w:ind w:left="1579" w:right="519" w:hanging="1293"/>
        <w:jc w:val="left"/>
        <w:rPr>
          <w:i/>
          <w:sz w:val="22"/>
        </w:rPr>
      </w:pPr>
      <w:r>
        <w:rPr>
          <w:i/>
          <w:sz w:val="22"/>
        </w:rPr>
        <w:t>A</w:t>
      </w:r>
      <w:r>
        <w:rPr>
          <w:i/>
          <w:spacing w:val="-3"/>
          <w:sz w:val="22"/>
        </w:rPr>
        <w:t> </w:t>
      </w:r>
      <w:r>
        <w:rPr>
          <w:i/>
          <w:sz w:val="22"/>
        </w:rPr>
        <w:t>tight</w:t>
      </w:r>
      <w:r>
        <w:rPr>
          <w:i/>
          <w:spacing w:val="-3"/>
          <w:sz w:val="22"/>
        </w:rPr>
        <w:t> </w:t>
      </w:r>
      <w:r>
        <w:rPr>
          <w:i/>
          <w:sz w:val="22"/>
        </w:rPr>
        <w:t>central</w:t>
      </w:r>
      <w:r>
        <w:rPr>
          <w:i/>
          <w:spacing w:val="-3"/>
          <w:sz w:val="22"/>
        </w:rPr>
        <w:t> </w:t>
      </w:r>
      <w:r>
        <w:rPr>
          <w:i/>
          <w:sz w:val="22"/>
        </w:rPr>
        <w:t>pivot</w:t>
      </w:r>
      <w:r>
        <w:rPr>
          <w:i/>
          <w:spacing w:val="-3"/>
          <w:sz w:val="22"/>
        </w:rPr>
        <w:t> </w:t>
      </w:r>
      <w:r>
        <w:rPr>
          <w:i/>
          <w:sz w:val="22"/>
        </w:rPr>
        <w:t>range</w:t>
      </w:r>
      <w:r>
        <w:rPr>
          <w:i/>
          <w:spacing w:val="-3"/>
          <w:sz w:val="22"/>
        </w:rPr>
        <w:t> </w:t>
      </w:r>
      <w:r>
        <w:rPr>
          <w:i/>
          <w:sz w:val="22"/>
        </w:rPr>
        <w:t>can</w:t>
      </w:r>
      <w:r>
        <w:rPr>
          <w:i/>
          <w:spacing w:val="-3"/>
          <w:sz w:val="22"/>
        </w:rPr>
        <w:t> </w:t>
      </w:r>
      <w:r>
        <w:rPr>
          <w:i/>
          <w:sz w:val="22"/>
        </w:rPr>
        <w:t>be</w:t>
      </w:r>
      <w:r>
        <w:rPr>
          <w:i/>
          <w:spacing w:val="-3"/>
          <w:sz w:val="22"/>
        </w:rPr>
        <w:t> </w:t>
      </w:r>
      <w:r>
        <w:rPr>
          <w:i/>
          <w:sz w:val="22"/>
        </w:rPr>
        <w:t>dynamite.</w:t>
      </w:r>
      <w:r>
        <w:rPr>
          <w:i/>
          <w:spacing w:val="-3"/>
          <w:sz w:val="22"/>
        </w:rPr>
        <w:t> </w:t>
      </w:r>
      <w:r>
        <w:rPr>
          <w:i/>
          <w:sz w:val="22"/>
        </w:rPr>
        <w:t>You</w:t>
      </w:r>
      <w:r>
        <w:rPr>
          <w:i/>
          <w:spacing w:val="-3"/>
          <w:sz w:val="22"/>
        </w:rPr>
        <w:t> </w:t>
      </w:r>
      <w:r>
        <w:rPr>
          <w:i/>
          <w:sz w:val="22"/>
        </w:rPr>
        <w:t>want</w:t>
      </w:r>
      <w:r>
        <w:rPr>
          <w:i/>
          <w:spacing w:val="-5"/>
          <w:sz w:val="22"/>
        </w:rPr>
        <w:t> </w:t>
      </w:r>
      <w:r>
        <w:rPr>
          <w:i/>
          <w:sz w:val="22"/>
        </w:rPr>
        <w:t>to</w:t>
      </w:r>
      <w:r>
        <w:rPr>
          <w:i/>
          <w:spacing w:val="-3"/>
          <w:sz w:val="22"/>
        </w:rPr>
        <w:t> </w:t>
      </w:r>
      <w:r>
        <w:rPr>
          <w:i/>
          <w:sz w:val="22"/>
        </w:rPr>
        <w:t>be</w:t>
      </w:r>
      <w:r>
        <w:rPr>
          <w:i/>
          <w:spacing w:val="-3"/>
          <w:sz w:val="22"/>
        </w:rPr>
        <w:t> </w:t>
      </w:r>
      <w:r>
        <w:rPr>
          <w:i/>
          <w:sz w:val="22"/>
        </w:rPr>
        <w:t>aware</w:t>
      </w:r>
      <w:r>
        <w:rPr>
          <w:i/>
          <w:spacing w:val="-5"/>
          <w:sz w:val="22"/>
        </w:rPr>
        <w:t> </w:t>
      </w:r>
      <w:r>
        <w:rPr>
          <w:i/>
          <w:sz w:val="22"/>
        </w:rPr>
        <w:t>when</w:t>
      </w:r>
      <w:r>
        <w:rPr>
          <w:i/>
          <w:spacing w:val="-3"/>
          <w:sz w:val="22"/>
        </w:rPr>
        <w:t> </w:t>
      </w:r>
      <w:r>
        <w:rPr>
          <w:i/>
          <w:sz w:val="22"/>
        </w:rPr>
        <w:t>a</w:t>
      </w:r>
      <w:r>
        <w:rPr>
          <w:i/>
          <w:sz w:val="22"/>
        </w:rPr>
        <w:t> day has the potential to start off with a bang.</w:t>
      </w:r>
    </w:p>
    <w:p>
      <w:pPr>
        <w:spacing w:after="0"/>
        <w:jc w:val="left"/>
        <w:rPr>
          <w:sz w:val="22"/>
        </w:rPr>
        <w:sectPr>
          <w:pgSz w:w="8640" w:h="12960"/>
          <w:pgMar w:header="579" w:footer="1060" w:top="760" w:bottom="1260" w:left="580" w:right="580"/>
        </w:sectPr>
      </w:pPr>
    </w:p>
    <w:p>
      <w:pPr>
        <w:pStyle w:val="BodyText"/>
        <w:spacing w:before="3"/>
        <w:rPr>
          <w:i/>
        </w:rPr>
      </w:pPr>
    </w:p>
    <w:p>
      <w:pPr>
        <w:pStyle w:val="BodyText"/>
        <w:spacing w:before="64"/>
        <w:ind w:left="500" w:right="136" w:firstLine="432"/>
        <w:jc w:val="both"/>
      </w:pPr>
      <w:r>
        <w:rPr/>
        <w:t>Let’s take a look at Figure 6.16, which is a fifteen-minute chart of Amazon.com. In this example, AMZN traded quietly sideways throughout</w:t>
      </w:r>
      <w:r>
        <w:rPr>
          <w:spacing w:val="40"/>
        </w:rPr>
        <w:t> </w:t>
      </w:r>
      <w:r>
        <w:rPr/>
        <w:t>the</w:t>
      </w:r>
      <w:r>
        <w:rPr>
          <w:spacing w:val="-1"/>
        </w:rPr>
        <w:t> </w:t>
      </w:r>
      <w:r>
        <w:rPr/>
        <w:t>day</w:t>
      </w:r>
      <w:r>
        <w:rPr>
          <w:spacing w:val="-1"/>
        </w:rPr>
        <w:t> </w:t>
      </w:r>
      <w:r>
        <w:rPr/>
        <w:t>on</w:t>
      </w:r>
      <w:r>
        <w:rPr>
          <w:spacing w:val="-1"/>
        </w:rPr>
        <w:t> </w:t>
      </w:r>
      <w:r>
        <w:rPr/>
        <w:t>March</w:t>
      </w:r>
      <w:r>
        <w:rPr>
          <w:spacing w:val="-1"/>
        </w:rPr>
        <w:t> </w:t>
      </w:r>
      <w:r>
        <w:rPr/>
        <w:t>5,</w:t>
      </w:r>
      <w:r>
        <w:rPr>
          <w:spacing w:val="-1"/>
        </w:rPr>
        <w:t> </w:t>
      </w:r>
      <w:r>
        <w:rPr/>
        <w:t>2009,</w:t>
      </w:r>
      <w:r>
        <w:rPr>
          <w:spacing w:val="-2"/>
        </w:rPr>
        <w:t> </w:t>
      </w:r>
      <w:r>
        <w:rPr/>
        <w:t>which</w:t>
      </w:r>
      <w:r>
        <w:rPr>
          <w:spacing w:val="-1"/>
        </w:rPr>
        <w:t> </w:t>
      </w:r>
      <w:r>
        <w:rPr/>
        <w:t>led</w:t>
      </w:r>
      <w:r>
        <w:rPr>
          <w:spacing w:val="-1"/>
        </w:rPr>
        <w:t> </w:t>
      </w:r>
      <w:r>
        <w:rPr/>
        <w:t>to</w:t>
      </w:r>
      <w:r>
        <w:rPr>
          <w:spacing w:val="-1"/>
        </w:rPr>
        <w:t> </w:t>
      </w:r>
      <w:r>
        <w:rPr/>
        <w:t>an</w:t>
      </w:r>
      <w:r>
        <w:rPr>
          <w:spacing w:val="-1"/>
        </w:rPr>
        <w:t> </w:t>
      </w:r>
      <w:r>
        <w:rPr/>
        <w:t>extremely</w:t>
      </w:r>
      <w:r>
        <w:rPr>
          <w:spacing w:val="-2"/>
        </w:rPr>
        <w:t> </w:t>
      </w:r>
      <w:r>
        <w:rPr/>
        <w:t>tight</w:t>
      </w:r>
      <w:r>
        <w:rPr>
          <w:spacing w:val="-1"/>
        </w:rPr>
        <w:t> </w:t>
      </w:r>
      <w:r>
        <w:rPr/>
        <w:t>central</w:t>
      </w:r>
      <w:r>
        <w:rPr>
          <w:spacing w:val="-1"/>
        </w:rPr>
        <w:t> </w:t>
      </w:r>
      <w:r>
        <w:rPr/>
        <w:t>pivot</w:t>
      </w:r>
      <w:r>
        <w:rPr>
          <w:spacing w:val="-1"/>
        </w:rPr>
        <w:t> </w:t>
      </w:r>
      <w:r>
        <w:rPr/>
        <w:t>range for the following session. Remember, today’s central pivot range is derived by using the prior day’s high, low, and close prices. If the market breaks free from the prior day’s price range, a Trend Day could be seen. On this day, price opened the day within the prior day’s price range, which means you must wait for a violation of the prior day’s range before entering a trade. Eventually, initiative sellers overwhelmed the bottom of the prior day’s range, ultimately pushing price to lower value. When this occurs, the conditions</w:t>
      </w:r>
      <w:r>
        <w:rPr>
          <w:spacing w:val="-2"/>
        </w:rPr>
        <w:t> </w:t>
      </w:r>
      <w:r>
        <w:rPr/>
        <w:t>are</w:t>
      </w:r>
      <w:r>
        <w:rPr>
          <w:spacing w:val="-2"/>
        </w:rPr>
        <w:t> </w:t>
      </w:r>
      <w:r>
        <w:rPr/>
        <w:t>ripe</w:t>
      </w:r>
      <w:r>
        <w:rPr>
          <w:spacing w:val="-2"/>
        </w:rPr>
        <w:t> </w:t>
      </w:r>
      <w:r>
        <w:rPr/>
        <w:t>for</w:t>
      </w:r>
      <w:r>
        <w:rPr>
          <w:spacing w:val="-2"/>
        </w:rPr>
        <w:t> </w:t>
      </w:r>
      <w:r>
        <w:rPr/>
        <w:t>a</w:t>
      </w:r>
      <w:r>
        <w:rPr>
          <w:spacing w:val="-1"/>
        </w:rPr>
        <w:t> </w:t>
      </w:r>
      <w:r>
        <w:rPr/>
        <w:t>beautiful</w:t>
      </w:r>
      <w:r>
        <w:rPr>
          <w:spacing w:val="-2"/>
        </w:rPr>
        <w:t> </w:t>
      </w:r>
      <w:r>
        <w:rPr/>
        <w:t>trending</w:t>
      </w:r>
      <w:r>
        <w:rPr>
          <w:spacing w:val="-2"/>
        </w:rPr>
        <w:t> </w:t>
      </w:r>
      <w:r>
        <w:rPr/>
        <w:t>day,</w:t>
      </w:r>
      <w:r>
        <w:rPr>
          <w:spacing w:val="-2"/>
        </w:rPr>
        <w:t> </w:t>
      </w:r>
      <w:r>
        <w:rPr/>
        <w:t>which</w:t>
      </w:r>
      <w:r>
        <w:rPr>
          <w:spacing w:val="-2"/>
        </w:rPr>
        <w:t> </w:t>
      </w:r>
      <w:r>
        <w:rPr/>
        <w:t>was</w:t>
      </w:r>
      <w:r>
        <w:rPr>
          <w:spacing w:val="-2"/>
        </w:rPr>
        <w:t> </w:t>
      </w:r>
      <w:r>
        <w:rPr/>
        <w:t>indeed</w:t>
      </w:r>
      <w:r>
        <w:rPr>
          <w:spacing w:val="-1"/>
        </w:rPr>
        <w:t> </w:t>
      </w:r>
      <w:r>
        <w:rPr/>
        <w:t>the</w:t>
      </w:r>
      <w:r>
        <w:rPr>
          <w:spacing w:val="-2"/>
        </w:rPr>
        <w:t> </w:t>
      </w:r>
      <w:r>
        <w:rPr/>
        <w:t>case</w:t>
      </w:r>
      <w:r>
        <w:rPr>
          <w:spacing w:val="-2"/>
        </w:rPr>
        <w:t> </w:t>
      </w:r>
      <w:r>
        <w:rPr/>
        <w:t>on this day.</w:t>
      </w:r>
    </w:p>
    <w:p>
      <w:pPr>
        <w:pStyle w:val="BodyText"/>
        <w:spacing w:before="1"/>
        <w:rPr>
          <w:sz w:val="20"/>
        </w:rPr>
      </w:pPr>
      <w:r>
        <w:rPr/>
        <w:drawing>
          <wp:anchor distT="0" distB="0" distL="0" distR="0" allowOverlap="1" layoutInCell="1" locked="0" behindDoc="0" simplePos="0" relativeHeight="194">
            <wp:simplePos x="0" y="0"/>
            <wp:positionH relativeFrom="page">
              <wp:posOffset>685800</wp:posOffset>
            </wp:positionH>
            <wp:positionV relativeFrom="paragraph">
              <wp:posOffset>162030</wp:posOffset>
            </wp:positionV>
            <wp:extent cx="4342089" cy="3016377"/>
            <wp:effectExtent l="0" t="0" r="0" b="0"/>
            <wp:wrapTopAndBottom/>
            <wp:docPr id="169" name="image86.png"/>
            <wp:cNvGraphicFramePr>
              <a:graphicFrameLocks noChangeAspect="1"/>
            </wp:cNvGraphicFramePr>
            <a:graphic>
              <a:graphicData uri="http://schemas.openxmlformats.org/drawingml/2006/picture">
                <pic:pic>
                  <pic:nvPicPr>
                    <pic:cNvPr id="170" name="image86.png"/>
                    <pic:cNvPicPr/>
                  </pic:nvPicPr>
                  <pic:blipFill>
                    <a:blip r:embed="rId195" cstate="print"/>
                    <a:stretch>
                      <a:fillRect/>
                    </a:stretch>
                  </pic:blipFill>
                  <pic:spPr>
                    <a:xfrm>
                      <a:off x="0" y="0"/>
                      <a:ext cx="4342089" cy="3016377"/>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6.16:</w:t>
      </w:r>
      <w:r>
        <w:rPr>
          <w:spacing w:val="2"/>
          <w:sz w:val="16"/>
        </w:rPr>
        <w:t> </w:t>
      </w:r>
      <w:r>
        <w:rPr>
          <w:sz w:val="16"/>
        </w:rPr>
        <w:t>A</w:t>
      </w:r>
      <w:r>
        <w:rPr>
          <w:spacing w:val="5"/>
          <w:sz w:val="16"/>
        </w:rPr>
        <w:t> </w:t>
      </w:r>
      <w:r>
        <w:rPr>
          <w:sz w:val="16"/>
        </w:rPr>
        <w:t>tight</w:t>
      </w:r>
      <w:r>
        <w:rPr>
          <w:spacing w:val="2"/>
          <w:sz w:val="16"/>
        </w:rPr>
        <w:t> </w:t>
      </w:r>
      <w:r>
        <w:rPr>
          <w:sz w:val="16"/>
        </w:rPr>
        <w:t>pivot</w:t>
      </w:r>
      <w:r>
        <w:rPr>
          <w:spacing w:val="1"/>
          <w:sz w:val="16"/>
        </w:rPr>
        <w:t> </w:t>
      </w:r>
      <w:r>
        <w:rPr>
          <w:sz w:val="16"/>
        </w:rPr>
        <w:t>range</w:t>
      </w:r>
      <w:r>
        <w:rPr>
          <w:spacing w:val="2"/>
          <w:sz w:val="16"/>
        </w:rPr>
        <w:t> </w:t>
      </w:r>
      <w:r>
        <w:rPr>
          <w:sz w:val="16"/>
        </w:rPr>
        <w:t>leads</w:t>
      </w:r>
      <w:r>
        <w:rPr>
          <w:spacing w:val="2"/>
          <w:sz w:val="16"/>
        </w:rPr>
        <w:t> </w:t>
      </w:r>
      <w:r>
        <w:rPr>
          <w:sz w:val="16"/>
        </w:rPr>
        <w:t>to</w:t>
      </w:r>
      <w:r>
        <w:rPr>
          <w:spacing w:val="2"/>
          <w:sz w:val="16"/>
        </w:rPr>
        <w:t> </w:t>
      </w:r>
      <w:r>
        <w:rPr>
          <w:sz w:val="16"/>
        </w:rPr>
        <w:t>a</w:t>
      </w:r>
      <w:r>
        <w:rPr>
          <w:spacing w:val="1"/>
          <w:sz w:val="16"/>
        </w:rPr>
        <w:t> </w:t>
      </w:r>
      <w:r>
        <w:rPr>
          <w:sz w:val="16"/>
        </w:rPr>
        <w:t>breakout</w:t>
      </w:r>
      <w:r>
        <w:rPr>
          <w:spacing w:val="2"/>
          <w:sz w:val="16"/>
        </w:rPr>
        <w:t> </w:t>
      </w:r>
      <w:r>
        <w:rPr>
          <w:sz w:val="16"/>
        </w:rPr>
        <w:t>in</w:t>
      </w:r>
      <w:r>
        <w:rPr>
          <w:spacing w:val="2"/>
          <w:sz w:val="16"/>
        </w:rPr>
        <w:t> </w:t>
      </w:r>
      <w:r>
        <w:rPr>
          <w:spacing w:val="-2"/>
          <w:sz w:val="16"/>
        </w:rPr>
        <w:t>Amazon.com</w:t>
      </w:r>
    </w:p>
    <w:p>
      <w:pPr>
        <w:pStyle w:val="BodyText"/>
        <w:spacing w:before="9"/>
        <w:rPr>
          <w:sz w:val="21"/>
        </w:rPr>
      </w:pPr>
    </w:p>
    <w:p>
      <w:pPr>
        <w:pStyle w:val="BodyText"/>
        <w:ind w:left="499" w:right="137" w:firstLine="432"/>
        <w:jc w:val="both"/>
      </w:pPr>
      <w:r>
        <w:rPr/>
        <w:t>Look at it like this. If you were to remove all the pivots from the chart, you would see a consolidation and the breakout that followed. The pivot range confirmed this behavior, allowing you to anticipate a powerful</w:t>
      </w:r>
      <w:r>
        <w:rPr>
          <w:spacing w:val="40"/>
        </w:rPr>
        <w:t> </w:t>
      </w:r>
      <w:r>
        <w:rPr/>
        <w:t>breakout move. Why not look solely for consolidations then? The formula</w:t>
      </w:r>
      <w:r>
        <w:rPr>
          <w:spacing w:val="80"/>
        </w:rPr>
        <w:t> </w:t>
      </w:r>
      <w:r>
        <w:rPr/>
        <w:t>for</w:t>
      </w:r>
      <w:r>
        <w:rPr>
          <w:spacing w:val="-3"/>
        </w:rPr>
        <w:t> </w:t>
      </w:r>
      <w:r>
        <w:rPr/>
        <w:t>the</w:t>
      </w:r>
      <w:r>
        <w:rPr>
          <w:spacing w:val="-2"/>
        </w:rPr>
        <w:t> </w:t>
      </w:r>
      <w:r>
        <w:rPr/>
        <w:t>central</w:t>
      </w:r>
      <w:r>
        <w:rPr>
          <w:spacing w:val="-2"/>
        </w:rPr>
        <w:t> </w:t>
      </w:r>
      <w:r>
        <w:rPr/>
        <w:t>pivot</w:t>
      </w:r>
      <w:r>
        <w:rPr>
          <w:spacing w:val="-2"/>
        </w:rPr>
        <w:t> </w:t>
      </w:r>
      <w:r>
        <w:rPr/>
        <w:t>range</w:t>
      </w:r>
      <w:r>
        <w:rPr>
          <w:spacing w:val="-3"/>
        </w:rPr>
        <w:t> </w:t>
      </w:r>
      <w:r>
        <w:rPr/>
        <w:t>is</w:t>
      </w:r>
      <w:r>
        <w:rPr>
          <w:spacing w:val="-2"/>
        </w:rPr>
        <w:t> </w:t>
      </w:r>
      <w:r>
        <w:rPr/>
        <w:t>able</w:t>
      </w:r>
      <w:r>
        <w:rPr>
          <w:spacing w:val="-1"/>
        </w:rPr>
        <w:t> </w:t>
      </w:r>
      <w:r>
        <w:rPr/>
        <w:t>to</w:t>
      </w:r>
      <w:r>
        <w:rPr>
          <w:spacing w:val="-2"/>
        </w:rPr>
        <w:t> </w:t>
      </w:r>
      <w:r>
        <w:rPr/>
        <w:t>determine</w:t>
      </w:r>
      <w:r>
        <w:rPr>
          <w:spacing w:val="-2"/>
        </w:rPr>
        <w:t> </w:t>
      </w:r>
      <w:r>
        <w:rPr/>
        <w:t>when</w:t>
      </w:r>
      <w:r>
        <w:rPr>
          <w:spacing w:val="-1"/>
        </w:rPr>
        <w:t> </w:t>
      </w:r>
      <w:r>
        <w:rPr/>
        <w:t>price</w:t>
      </w:r>
      <w:r>
        <w:rPr>
          <w:spacing w:val="-2"/>
        </w:rPr>
        <w:t> </w:t>
      </w:r>
      <w:r>
        <w:rPr/>
        <w:t>behavior</w:t>
      </w:r>
      <w:r>
        <w:rPr>
          <w:spacing w:val="-1"/>
        </w:rPr>
        <w:t> </w:t>
      </w:r>
      <w:r>
        <w:rPr/>
        <w:t>is</w:t>
      </w:r>
      <w:r>
        <w:rPr>
          <w:spacing w:val="-2"/>
        </w:rPr>
        <w:t> </w:t>
      </w:r>
      <w:r>
        <w:rPr/>
        <w:t>ripe</w:t>
      </w:r>
      <w:r>
        <w:rPr>
          <w:spacing w:val="-3"/>
        </w:rPr>
        <w:t> </w:t>
      </w:r>
      <w:r>
        <w:rPr/>
        <w:t>for a</w:t>
      </w:r>
      <w:r>
        <w:rPr>
          <w:spacing w:val="-2"/>
        </w:rPr>
        <w:t> </w:t>
      </w:r>
      <w:r>
        <w:rPr/>
        <w:t>breakout</w:t>
      </w:r>
      <w:r>
        <w:rPr>
          <w:spacing w:val="-2"/>
        </w:rPr>
        <w:t> </w:t>
      </w:r>
      <w:r>
        <w:rPr/>
        <w:t>without</w:t>
      </w:r>
      <w:r>
        <w:rPr>
          <w:spacing w:val="-2"/>
        </w:rPr>
        <w:t> </w:t>
      </w:r>
      <w:r>
        <w:rPr/>
        <w:t>an</w:t>
      </w:r>
      <w:r>
        <w:rPr>
          <w:spacing w:val="-2"/>
        </w:rPr>
        <w:t> </w:t>
      </w:r>
      <w:r>
        <w:rPr/>
        <w:t>outright</w:t>
      </w:r>
      <w:r>
        <w:rPr>
          <w:spacing w:val="-2"/>
        </w:rPr>
        <w:t> </w:t>
      </w:r>
      <w:r>
        <w:rPr/>
        <w:t>visual</w:t>
      </w:r>
      <w:r>
        <w:rPr>
          <w:spacing w:val="-2"/>
        </w:rPr>
        <w:t> </w:t>
      </w:r>
      <w:r>
        <w:rPr/>
        <w:t>consolidation</w:t>
      </w:r>
      <w:r>
        <w:rPr>
          <w:spacing w:val="-2"/>
        </w:rPr>
        <w:t> </w:t>
      </w:r>
      <w:r>
        <w:rPr/>
        <w:t>being</w:t>
      </w:r>
      <w:r>
        <w:rPr>
          <w:spacing w:val="-2"/>
        </w:rPr>
        <w:t> </w:t>
      </w:r>
      <w:r>
        <w:rPr/>
        <w:t>present</w:t>
      </w:r>
      <w:r>
        <w:rPr>
          <w:spacing w:val="-2"/>
        </w:rPr>
        <w:t> </w:t>
      </w:r>
      <w:r>
        <w:rPr/>
        <w:t>in</w:t>
      </w:r>
      <w:r>
        <w:rPr>
          <w:spacing w:val="-2"/>
        </w:rPr>
        <w:t> </w:t>
      </w:r>
      <w:r>
        <w:rPr/>
        <w:t>the</w:t>
      </w:r>
      <w:r>
        <w:rPr>
          <w:spacing w:val="-2"/>
        </w:rPr>
        <w:t> </w:t>
      </w:r>
      <w:r>
        <w:rPr/>
        <w:t>chart. This</w:t>
      </w:r>
      <w:r>
        <w:rPr>
          <w:spacing w:val="41"/>
        </w:rPr>
        <w:t> </w:t>
      </w:r>
      <w:r>
        <w:rPr/>
        <w:t>allows</w:t>
      </w:r>
      <w:r>
        <w:rPr>
          <w:spacing w:val="41"/>
        </w:rPr>
        <w:t> </w:t>
      </w:r>
      <w:r>
        <w:rPr/>
        <w:t>you</w:t>
      </w:r>
      <w:r>
        <w:rPr>
          <w:spacing w:val="42"/>
        </w:rPr>
        <w:t> </w:t>
      </w:r>
      <w:r>
        <w:rPr/>
        <w:t>to</w:t>
      </w:r>
      <w:r>
        <w:rPr>
          <w:spacing w:val="41"/>
        </w:rPr>
        <w:t> </w:t>
      </w:r>
      <w:r>
        <w:rPr/>
        <w:t>forecast</w:t>
      </w:r>
      <w:r>
        <w:rPr>
          <w:spacing w:val="41"/>
        </w:rPr>
        <w:t> </w:t>
      </w:r>
      <w:r>
        <w:rPr/>
        <w:t>when</w:t>
      </w:r>
      <w:r>
        <w:rPr>
          <w:spacing w:val="42"/>
        </w:rPr>
        <w:t> </w:t>
      </w:r>
      <w:r>
        <w:rPr/>
        <w:t>price</w:t>
      </w:r>
      <w:r>
        <w:rPr>
          <w:spacing w:val="41"/>
        </w:rPr>
        <w:t> </w:t>
      </w:r>
      <w:r>
        <w:rPr/>
        <w:t>is</w:t>
      </w:r>
      <w:r>
        <w:rPr>
          <w:spacing w:val="41"/>
        </w:rPr>
        <w:t> </w:t>
      </w:r>
      <w:r>
        <w:rPr/>
        <w:t>due</w:t>
      </w:r>
      <w:r>
        <w:rPr>
          <w:spacing w:val="42"/>
        </w:rPr>
        <w:t> </w:t>
      </w:r>
      <w:r>
        <w:rPr/>
        <w:t>for</w:t>
      </w:r>
      <w:r>
        <w:rPr>
          <w:spacing w:val="40"/>
        </w:rPr>
        <w:t> </w:t>
      </w:r>
      <w:r>
        <w:rPr/>
        <w:t>a</w:t>
      </w:r>
      <w:r>
        <w:rPr>
          <w:spacing w:val="41"/>
        </w:rPr>
        <w:t> </w:t>
      </w:r>
      <w:r>
        <w:rPr/>
        <w:t>breakout</w:t>
      </w:r>
      <w:r>
        <w:rPr>
          <w:spacing w:val="41"/>
        </w:rPr>
        <w:t> </w:t>
      </w:r>
      <w:r>
        <w:rPr/>
        <w:t>in</w:t>
      </w:r>
      <w:r>
        <w:rPr>
          <w:spacing w:val="41"/>
        </w:rPr>
        <w:t> </w:t>
      </w:r>
      <w:r>
        <w:rPr>
          <w:spacing w:val="-2"/>
        </w:rPr>
        <w:t>markets</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519"/>
      </w:pPr>
      <w:r>
        <w:rPr/>
        <w:t>where consolidations are blatantly visible and in markets when they are not</w:t>
      </w:r>
      <w:r>
        <w:rPr>
          <w:spacing w:val="40"/>
        </w:rPr>
        <w:t> </w:t>
      </w:r>
      <w:r>
        <w:rPr/>
        <w:t>so apparent.</w:t>
      </w:r>
    </w:p>
    <w:p>
      <w:pPr>
        <w:pStyle w:val="BodyText"/>
        <w:spacing w:before="2"/>
      </w:pPr>
    </w:p>
    <w:p>
      <w:pPr>
        <w:spacing w:before="0"/>
        <w:ind w:left="1576" w:right="0" w:hanging="1420"/>
        <w:jc w:val="left"/>
        <w:rPr>
          <w:i/>
          <w:sz w:val="22"/>
        </w:rPr>
      </w:pPr>
      <w:r>
        <w:rPr>
          <w:i/>
          <w:sz w:val="22"/>
        </w:rPr>
        <w:t>The</w:t>
      </w:r>
      <w:r>
        <w:rPr>
          <w:i/>
          <w:spacing w:val="-3"/>
          <w:sz w:val="22"/>
        </w:rPr>
        <w:t> </w:t>
      </w:r>
      <w:r>
        <w:rPr>
          <w:i/>
          <w:sz w:val="22"/>
        </w:rPr>
        <w:t>magic</w:t>
      </w:r>
      <w:r>
        <w:rPr>
          <w:i/>
          <w:spacing w:val="-3"/>
          <w:sz w:val="22"/>
        </w:rPr>
        <w:t> </w:t>
      </w:r>
      <w:r>
        <w:rPr>
          <w:i/>
          <w:sz w:val="22"/>
        </w:rPr>
        <w:t>behind</w:t>
      </w:r>
      <w:r>
        <w:rPr>
          <w:i/>
          <w:spacing w:val="-3"/>
          <w:sz w:val="22"/>
        </w:rPr>
        <w:t> </w:t>
      </w:r>
      <w:r>
        <w:rPr>
          <w:i/>
          <w:sz w:val="22"/>
        </w:rPr>
        <w:t>the</w:t>
      </w:r>
      <w:r>
        <w:rPr>
          <w:i/>
          <w:spacing w:val="-3"/>
          <w:sz w:val="22"/>
        </w:rPr>
        <w:t> </w:t>
      </w:r>
      <w:r>
        <w:rPr>
          <w:i/>
          <w:sz w:val="22"/>
        </w:rPr>
        <w:t>CPR</w:t>
      </w:r>
      <w:r>
        <w:rPr>
          <w:i/>
          <w:spacing w:val="-3"/>
          <w:sz w:val="22"/>
        </w:rPr>
        <w:t> </w:t>
      </w:r>
      <w:r>
        <w:rPr>
          <w:i/>
          <w:sz w:val="22"/>
        </w:rPr>
        <w:t>formula</w:t>
      </w:r>
      <w:r>
        <w:rPr>
          <w:i/>
          <w:spacing w:val="-3"/>
          <w:sz w:val="22"/>
        </w:rPr>
        <w:t> </w:t>
      </w:r>
      <w:r>
        <w:rPr>
          <w:i/>
          <w:sz w:val="22"/>
        </w:rPr>
        <w:t>brings</w:t>
      </w:r>
      <w:r>
        <w:rPr>
          <w:i/>
          <w:spacing w:val="-3"/>
          <w:sz w:val="22"/>
        </w:rPr>
        <w:t> </w:t>
      </w:r>
      <w:r>
        <w:rPr>
          <w:i/>
          <w:sz w:val="22"/>
        </w:rPr>
        <w:t>out</w:t>
      </w:r>
      <w:r>
        <w:rPr>
          <w:i/>
          <w:spacing w:val="-3"/>
          <w:sz w:val="22"/>
        </w:rPr>
        <w:t> </w:t>
      </w:r>
      <w:r>
        <w:rPr>
          <w:i/>
          <w:sz w:val="22"/>
        </w:rPr>
        <w:t>the</w:t>
      </w:r>
      <w:r>
        <w:rPr>
          <w:i/>
          <w:spacing w:val="-3"/>
          <w:sz w:val="22"/>
        </w:rPr>
        <w:t> </w:t>
      </w:r>
      <w:r>
        <w:rPr>
          <w:i/>
          <w:sz w:val="22"/>
        </w:rPr>
        <w:t>inherent</w:t>
      </w:r>
      <w:r>
        <w:rPr>
          <w:i/>
          <w:spacing w:val="-3"/>
          <w:sz w:val="22"/>
        </w:rPr>
        <w:t> </w:t>
      </w:r>
      <w:r>
        <w:rPr>
          <w:i/>
          <w:sz w:val="22"/>
        </w:rPr>
        <w:t>details</w:t>
      </w:r>
      <w:r>
        <w:rPr>
          <w:i/>
          <w:spacing w:val="-3"/>
          <w:sz w:val="22"/>
        </w:rPr>
        <w:t> </w:t>
      </w:r>
      <w:r>
        <w:rPr>
          <w:i/>
          <w:sz w:val="22"/>
        </w:rPr>
        <w:t>from</w:t>
      </w:r>
      <w:r>
        <w:rPr>
          <w:i/>
          <w:spacing w:val="-3"/>
          <w:sz w:val="22"/>
        </w:rPr>
        <w:t> </w:t>
      </w:r>
      <w:r>
        <w:rPr>
          <w:i/>
          <w:sz w:val="22"/>
        </w:rPr>
        <w:t>price</w:t>
      </w:r>
      <w:r>
        <w:rPr>
          <w:i/>
          <w:sz w:val="22"/>
        </w:rPr>
        <w:t> behavior when the chart sometimes does not.</w:t>
      </w:r>
    </w:p>
    <w:p>
      <w:pPr>
        <w:pStyle w:val="BodyText"/>
        <w:spacing w:before="10"/>
        <w:rPr>
          <w:i/>
          <w:sz w:val="21"/>
        </w:rPr>
      </w:pPr>
    </w:p>
    <w:p>
      <w:pPr>
        <w:pStyle w:val="BodyText"/>
        <w:ind w:left="139" w:right="495" w:firstLine="432"/>
        <w:jc w:val="both"/>
      </w:pPr>
      <w:r>
        <w:rPr/>
        <w:t>For a case in point, let’s examine Figure 6.17, which is a fifteen-minute chart of Amazon.com. In this example, AMZN traded in a fairly tight range on Friday, March 20. However, this quiet behavior was </w:t>
      </w:r>
      <w:r>
        <w:rPr>
          <w:i/>
        </w:rPr>
        <w:t>not </w:t>
      </w:r>
      <w:r>
        <w:rPr/>
        <w:t>in the form of a traditional consolidation. Despite this fact, the day’s price activity led to the creation of an extremely tight central pivot range for the following session. As</w:t>
      </w:r>
      <w:r>
        <w:rPr>
          <w:spacing w:val="-1"/>
        </w:rPr>
        <w:t> </w:t>
      </w:r>
      <w:r>
        <w:rPr/>
        <w:t>a matter</w:t>
      </w:r>
      <w:r>
        <w:rPr>
          <w:spacing w:val="-1"/>
        </w:rPr>
        <w:t> </w:t>
      </w:r>
      <w:r>
        <w:rPr/>
        <w:t>of</w:t>
      </w:r>
      <w:r>
        <w:rPr>
          <w:spacing w:val="-1"/>
        </w:rPr>
        <w:t> </w:t>
      </w:r>
      <w:r>
        <w:rPr/>
        <w:t>fact,</w:t>
      </w:r>
      <w:r>
        <w:rPr>
          <w:spacing w:val="-1"/>
        </w:rPr>
        <w:t> </w:t>
      </w:r>
      <w:r>
        <w:rPr/>
        <w:t>the</w:t>
      </w:r>
      <w:r>
        <w:rPr>
          <w:spacing w:val="-1"/>
        </w:rPr>
        <w:t> </w:t>
      </w:r>
      <w:r>
        <w:rPr/>
        <w:t>pivot</w:t>
      </w:r>
      <w:r>
        <w:rPr>
          <w:spacing w:val="-1"/>
        </w:rPr>
        <w:t> </w:t>
      </w:r>
      <w:r>
        <w:rPr/>
        <w:t>range</w:t>
      </w:r>
      <w:r>
        <w:rPr>
          <w:spacing w:val="-1"/>
        </w:rPr>
        <w:t> </w:t>
      </w:r>
      <w:r>
        <w:rPr/>
        <w:t>was so</w:t>
      </w:r>
      <w:r>
        <w:rPr>
          <w:spacing w:val="-1"/>
        </w:rPr>
        <w:t> </w:t>
      </w:r>
      <w:r>
        <w:rPr/>
        <w:t>tight</w:t>
      </w:r>
      <w:r>
        <w:rPr>
          <w:spacing w:val="-1"/>
        </w:rPr>
        <w:t> </w:t>
      </w:r>
      <w:r>
        <w:rPr/>
        <w:t>on</w:t>
      </w:r>
      <w:r>
        <w:rPr>
          <w:spacing w:val="-1"/>
        </w:rPr>
        <w:t> </w:t>
      </w:r>
      <w:r>
        <w:rPr/>
        <w:t>this</w:t>
      </w:r>
      <w:r>
        <w:rPr>
          <w:spacing w:val="-1"/>
        </w:rPr>
        <w:t> </w:t>
      </w:r>
      <w:r>
        <w:rPr/>
        <w:t>day</w:t>
      </w:r>
      <w:r>
        <w:rPr>
          <w:spacing w:val="-1"/>
        </w:rPr>
        <w:t> </w:t>
      </w:r>
      <w:r>
        <w:rPr/>
        <w:t>that</w:t>
      </w:r>
      <w:r>
        <w:rPr>
          <w:spacing w:val="-1"/>
        </w:rPr>
        <w:t> </w:t>
      </w:r>
      <w:r>
        <w:rPr/>
        <w:t>all</w:t>
      </w:r>
      <w:r>
        <w:rPr>
          <w:spacing w:val="-1"/>
        </w:rPr>
        <w:t> </w:t>
      </w:r>
      <w:r>
        <w:rPr/>
        <w:t>three</w:t>
      </w:r>
      <w:r>
        <w:rPr>
          <w:spacing w:val="-1"/>
        </w:rPr>
        <w:t> </w:t>
      </w:r>
      <w:r>
        <w:rPr/>
        <w:t>lines seemed to be at the exact same level, even though they were a few cents apart.</w:t>
      </w:r>
      <w:r>
        <w:rPr/>
        <w:t> When this occurs, the chart is telling you that the stock is about to explode</w:t>
      </w:r>
      <w:r>
        <w:rPr>
          <w:spacing w:val="-2"/>
        </w:rPr>
        <w:t> </w:t>
      </w:r>
      <w:r>
        <w:rPr/>
        <w:t>in</w:t>
      </w:r>
      <w:r>
        <w:rPr>
          <w:spacing w:val="-2"/>
        </w:rPr>
        <w:t> </w:t>
      </w:r>
      <w:r>
        <w:rPr/>
        <w:t>one</w:t>
      </w:r>
      <w:r>
        <w:rPr>
          <w:spacing w:val="-2"/>
        </w:rPr>
        <w:t> </w:t>
      </w:r>
      <w:r>
        <w:rPr/>
        <w:t>direction</w:t>
      </w:r>
      <w:r>
        <w:rPr>
          <w:spacing w:val="-2"/>
        </w:rPr>
        <w:t> </w:t>
      </w:r>
      <w:r>
        <w:rPr/>
        <w:t>or</w:t>
      </w:r>
      <w:r>
        <w:rPr>
          <w:spacing w:val="-2"/>
        </w:rPr>
        <w:t> </w:t>
      </w:r>
      <w:r>
        <w:rPr/>
        <w:t>the</w:t>
      </w:r>
      <w:r>
        <w:rPr>
          <w:spacing w:val="-2"/>
        </w:rPr>
        <w:t> </w:t>
      </w:r>
      <w:r>
        <w:rPr/>
        <w:t>other,</w:t>
      </w:r>
      <w:r>
        <w:rPr>
          <w:spacing w:val="-2"/>
        </w:rPr>
        <w:t> </w:t>
      </w:r>
      <w:r>
        <w:rPr/>
        <w:t>depending</w:t>
      </w:r>
      <w:r>
        <w:rPr>
          <w:spacing w:val="-2"/>
        </w:rPr>
        <w:t> </w:t>
      </w:r>
      <w:r>
        <w:rPr/>
        <w:t>on</w:t>
      </w:r>
      <w:r>
        <w:rPr>
          <w:spacing w:val="-2"/>
        </w:rPr>
        <w:t> </w:t>
      </w:r>
      <w:r>
        <w:rPr/>
        <w:t>how</w:t>
      </w:r>
      <w:r>
        <w:rPr>
          <w:spacing w:val="-2"/>
        </w:rPr>
        <w:t> </w:t>
      </w:r>
      <w:r>
        <w:rPr/>
        <w:t>the</w:t>
      </w:r>
      <w:r>
        <w:rPr>
          <w:spacing w:val="-1"/>
        </w:rPr>
        <w:t> </w:t>
      </w:r>
      <w:r>
        <w:rPr/>
        <w:t>market</w:t>
      </w:r>
      <w:r>
        <w:rPr>
          <w:spacing w:val="-2"/>
        </w:rPr>
        <w:t> </w:t>
      </w:r>
      <w:r>
        <w:rPr/>
        <w:t>opens</w:t>
      </w:r>
      <w:r>
        <w:rPr>
          <w:spacing w:val="-2"/>
        </w:rPr>
        <w:t> </w:t>
      </w:r>
      <w:r>
        <w:rPr/>
        <w:t>the following day. If the opening print confirms a drastic change in market sentiment by opening beyond the prior day’s price range, you are likely to</w:t>
      </w:r>
      <w:r>
        <w:rPr>
          <w:spacing w:val="40"/>
        </w:rPr>
        <w:t> </w:t>
      </w:r>
      <w:r>
        <w:rPr/>
        <w:t>see an explosive breakout opportunity. As it turns out, Amazon.com opened the day above the prior day’s high and rallied nearly six points on the</w:t>
      </w:r>
      <w:r>
        <w:rPr>
          <w:spacing w:val="40"/>
        </w:rPr>
        <w:t> </w:t>
      </w:r>
      <w:r>
        <w:rPr/>
        <w:t>session, which is what you would expect to see when the pivot range is as tight as it was on this day.</w:t>
      </w:r>
    </w:p>
    <w:p>
      <w:pPr>
        <w:pStyle w:val="BodyText"/>
        <w:spacing w:before="1"/>
        <w:rPr>
          <w:sz w:val="20"/>
        </w:rPr>
      </w:pPr>
      <w:r>
        <w:rPr/>
        <w:drawing>
          <wp:anchor distT="0" distB="0" distL="0" distR="0" allowOverlap="1" layoutInCell="1" locked="0" behindDoc="0" simplePos="0" relativeHeight="195">
            <wp:simplePos x="0" y="0"/>
            <wp:positionH relativeFrom="page">
              <wp:posOffset>457200</wp:posOffset>
            </wp:positionH>
            <wp:positionV relativeFrom="paragraph">
              <wp:posOffset>162264</wp:posOffset>
            </wp:positionV>
            <wp:extent cx="4342089" cy="3016377"/>
            <wp:effectExtent l="0" t="0" r="0" b="0"/>
            <wp:wrapTopAndBottom/>
            <wp:docPr id="171" name="image87.png"/>
            <wp:cNvGraphicFramePr>
              <a:graphicFrameLocks noChangeAspect="1"/>
            </wp:cNvGraphicFramePr>
            <a:graphic>
              <a:graphicData uri="http://schemas.openxmlformats.org/drawingml/2006/picture">
                <pic:pic>
                  <pic:nvPicPr>
                    <pic:cNvPr id="172" name="image87.png"/>
                    <pic:cNvPicPr/>
                  </pic:nvPicPr>
                  <pic:blipFill>
                    <a:blip r:embed="rId196" cstate="print"/>
                    <a:stretch>
                      <a:fillRect/>
                    </a:stretch>
                  </pic:blipFill>
                  <pic:spPr>
                    <a:xfrm>
                      <a:off x="0" y="0"/>
                      <a:ext cx="4342089" cy="3016377"/>
                    </a:xfrm>
                    <a:prstGeom prst="rect">
                      <a:avLst/>
                    </a:prstGeom>
                  </pic:spPr>
                </pic:pic>
              </a:graphicData>
            </a:graphic>
          </wp:anchor>
        </w:drawing>
      </w:r>
    </w:p>
    <w:p>
      <w:pPr>
        <w:spacing w:before="0"/>
        <w:ind w:left="140" w:right="0" w:firstLine="0"/>
        <w:jc w:val="left"/>
        <w:rPr>
          <w:sz w:val="16"/>
        </w:rPr>
      </w:pPr>
      <w:r>
        <w:rPr>
          <w:sz w:val="16"/>
        </w:rPr>
        <w:t>FIGURE 6.17:</w:t>
      </w:r>
      <w:r>
        <w:rPr>
          <w:spacing w:val="1"/>
          <w:sz w:val="16"/>
        </w:rPr>
        <w:t> </w:t>
      </w:r>
      <w:r>
        <w:rPr>
          <w:sz w:val="16"/>
        </w:rPr>
        <w:t>An</w:t>
      </w:r>
      <w:r>
        <w:rPr>
          <w:spacing w:val="1"/>
          <w:sz w:val="16"/>
        </w:rPr>
        <w:t> </w:t>
      </w:r>
      <w:r>
        <w:rPr>
          <w:sz w:val="16"/>
        </w:rPr>
        <w:t>extremely</w:t>
      </w:r>
      <w:r>
        <w:rPr>
          <w:spacing w:val="1"/>
          <w:sz w:val="16"/>
        </w:rPr>
        <w:t> </w:t>
      </w:r>
      <w:r>
        <w:rPr>
          <w:sz w:val="16"/>
        </w:rPr>
        <w:t>tight</w:t>
      </w:r>
      <w:r>
        <w:rPr>
          <w:spacing w:val="1"/>
          <w:sz w:val="16"/>
        </w:rPr>
        <w:t> </w:t>
      </w:r>
      <w:r>
        <w:rPr>
          <w:sz w:val="16"/>
        </w:rPr>
        <w:t>pivot</w:t>
      </w:r>
      <w:r>
        <w:rPr>
          <w:spacing w:val="1"/>
          <w:sz w:val="16"/>
        </w:rPr>
        <w:t> </w:t>
      </w:r>
      <w:r>
        <w:rPr>
          <w:sz w:val="16"/>
        </w:rPr>
        <w:t>range</w:t>
      </w:r>
      <w:r>
        <w:rPr>
          <w:spacing w:val="1"/>
          <w:sz w:val="16"/>
        </w:rPr>
        <w:t> </w:t>
      </w:r>
      <w:r>
        <w:rPr>
          <w:sz w:val="16"/>
        </w:rPr>
        <w:t>leads</w:t>
      </w:r>
      <w:r>
        <w:rPr>
          <w:spacing w:val="1"/>
          <w:sz w:val="16"/>
        </w:rPr>
        <w:t> </w:t>
      </w:r>
      <w:r>
        <w:rPr>
          <w:sz w:val="16"/>
        </w:rPr>
        <w:t>to</w:t>
      </w:r>
      <w:r>
        <w:rPr>
          <w:spacing w:val="1"/>
          <w:sz w:val="16"/>
        </w:rPr>
        <w:t> </w:t>
      </w:r>
      <w:r>
        <w:rPr>
          <w:sz w:val="16"/>
        </w:rPr>
        <w:t>a breakout</w:t>
      </w:r>
      <w:r>
        <w:rPr>
          <w:spacing w:val="1"/>
          <w:sz w:val="16"/>
        </w:rPr>
        <w:t> </w:t>
      </w:r>
      <w:r>
        <w:rPr>
          <w:sz w:val="16"/>
        </w:rPr>
        <w:t>in</w:t>
      </w:r>
      <w:r>
        <w:rPr>
          <w:spacing w:val="1"/>
          <w:sz w:val="16"/>
        </w:rPr>
        <w:t> </w:t>
      </w:r>
      <w:r>
        <w:rPr>
          <w:spacing w:val="-2"/>
          <w:sz w:val="16"/>
        </w:rPr>
        <w:t>Amazon.com.</w:t>
      </w:r>
    </w:p>
    <w:p>
      <w:pPr>
        <w:spacing w:after="0"/>
        <w:jc w:val="left"/>
        <w:rPr>
          <w:sz w:val="16"/>
        </w:rPr>
        <w:sectPr>
          <w:pgSz w:w="8640" w:h="12960"/>
          <w:pgMar w:header="579" w:footer="1060" w:top="760" w:bottom="1260" w:left="580" w:right="580"/>
        </w:sectPr>
      </w:pPr>
    </w:p>
    <w:p>
      <w:pPr>
        <w:pStyle w:val="BodyText"/>
        <w:spacing w:before="3"/>
      </w:pPr>
    </w:p>
    <w:p>
      <w:pPr>
        <w:pStyle w:val="BodyText"/>
        <w:spacing w:before="64"/>
        <w:ind w:left="500"/>
      </w:pPr>
      <w:r>
        <w:rPr/>
        <w:t>BOSS</w:t>
      </w:r>
      <w:r>
        <w:rPr>
          <w:spacing w:val="-5"/>
        </w:rPr>
        <w:t> </w:t>
      </w:r>
      <w:r>
        <w:rPr/>
        <w:t>IN</w:t>
      </w:r>
      <w:r>
        <w:rPr>
          <w:spacing w:val="-5"/>
        </w:rPr>
        <w:t> </w:t>
      </w:r>
      <w:r>
        <w:rPr>
          <w:spacing w:val="-2"/>
        </w:rPr>
        <w:t>ACTION</w:t>
      </w:r>
    </w:p>
    <w:p>
      <w:pPr>
        <w:pStyle w:val="BodyText"/>
      </w:pPr>
    </w:p>
    <w:p>
      <w:pPr>
        <w:pStyle w:val="BodyText"/>
        <w:ind w:left="500" w:right="135" w:firstLine="432"/>
        <w:jc w:val="both"/>
      </w:pPr>
      <w:r>
        <w:rPr/>
        <w:t>When the market develops an extremely tight central pivot range, I’m typically</w:t>
      </w:r>
      <w:r>
        <w:rPr>
          <w:spacing w:val="-3"/>
        </w:rPr>
        <w:t> </w:t>
      </w:r>
      <w:r>
        <w:rPr/>
        <w:t>chomping</w:t>
      </w:r>
      <w:r>
        <w:rPr>
          <w:spacing w:val="-3"/>
        </w:rPr>
        <w:t> </w:t>
      </w:r>
      <w:r>
        <w:rPr/>
        <w:t>at</w:t>
      </w:r>
      <w:r>
        <w:rPr>
          <w:spacing w:val="-3"/>
        </w:rPr>
        <w:t> </w:t>
      </w:r>
      <w:r>
        <w:rPr/>
        <w:t>the</w:t>
      </w:r>
      <w:r>
        <w:rPr>
          <w:spacing w:val="-2"/>
        </w:rPr>
        <w:t> </w:t>
      </w:r>
      <w:r>
        <w:rPr/>
        <w:t>bit</w:t>
      </w:r>
      <w:r>
        <w:rPr>
          <w:spacing w:val="-3"/>
        </w:rPr>
        <w:t> </w:t>
      </w:r>
      <w:r>
        <w:rPr/>
        <w:t>to</w:t>
      </w:r>
      <w:r>
        <w:rPr>
          <w:spacing w:val="-3"/>
        </w:rPr>
        <w:t> </w:t>
      </w:r>
      <w:r>
        <w:rPr/>
        <w:t>place</w:t>
      </w:r>
      <w:r>
        <w:rPr>
          <w:spacing w:val="-3"/>
        </w:rPr>
        <w:t> </w:t>
      </w:r>
      <w:r>
        <w:rPr/>
        <w:t>a</w:t>
      </w:r>
      <w:r>
        <w:rPr>
          <w:spacing w:val="-3"/>
        </w:rPr>
        <w:t> </w:t>
      </w:r>
      <w:r>
        <w:rPr/>
        <w:t>trade</w:t>
      </w:r>
      <w:r>
        <w:rPr>
          <w:spacing w:val="-3"/>
        </w:rPr>
        <w:t> </w:t>
      </w:r>
      <w:r>
        <w:rPr/>
        <w:t>because</w:t>
      </w:r>
      <w:r>
        <w:rPr>
          <w:spacing w:val="-2"/>
        </w:rPr>
        <w:t> </w:t>
      </w:r>
      <w:r>
        <w:rPr/>
        <w:t>I</w:t>
      </w:r>
      <w:r>
        <w:rPr>
          <w:spacing w:val="-4"/>
        </w:rPr>
        <w:t> </w:t>
      </w:r>
      <w:r>
        <w:rPr/>
        <w:t>know</w:t>
      </w:r>
      <w:r>
        <w:rPr>
          <w:spacing w:val="-3"/>
        </w:rPr>
        <w:t> </w:t>
      </w:r>
      <w:r>
        <w:rPr/>
        <w:t>that</w:t>
      </w:r>
      <w:r>
        <w:rPr>
          <w:spacing w:val="-3"/>
        </w:rPr>
        <w:t> </w:t>
      </w:r>
      <w:r>
        <w:rPr/>
        <w:t>many</w:t>
      </w:r>
      <w:r>
        <w:rPr>
          <w:spacing w:val="-3"/>
        </w:rPr>
        <w:t> </w:t>
      </w:r>
      <w:r>
        <w:rPr/>
        <w:t>of</w:t>
      </w:r>
      <w:r>
        <w:rPr>
          <w:spacing w:val="-3"/>
        </w:rPr>
        <w:t> </w:t>
      </w:r>
      <w:r>
        <w:rPr/>
        <w:t>the biggest days of the month typically coincide with a narrow pivot range. My excitement grows further if the market opens with a bang via a breakaway gap since this usually indicates that market sentiment has shifted drastically overnight, which is fertile ground for trending behavior, as initiative participants are entering the market with conviction.</w:t>
      </w:r>
    </w:p>
    <w:p>
      <w:pPr>
        <w:pStyle w:val="BodyText"/>
        <w:ind w:left="500" w:right="137" w:firstLine="432"/>
        <w:jc w:val="both"/>
      </w:pPr>
      <w:r>
        <w:rPr/>
        <w:t>At the end of every session, I plot the developing pivot range indicator onto my charts and begin to record the two-day pivot range relationships and important pivot range width characteristics. When I come across a narrow pivot range for the upcoming session, I make a special note to watch that particular symbol closely for a potential breakout opportunity. On March 4, 2010, the indicator illuminated a great narrow range breakout opportunity in the E-Mini S&amp;P 400 futures contract, seen in Figure 6.18.</w:t>
      </w:r>
    </w:p>
    <w:p>
      <w:pPr>
        <w:pStyle w:val="BodyText"/>
        <w:spacing w:before="2"/>
        <w:rPr>
          <w:sz w:val="20"/>
        </w:rPr>
      </w:pPr>
      <w:r>
        <w:rPr/>
        <w:drawing>
          <wp:anchor distT="0" distB="0" distL="0" distR="0" allowOverlap="1" layoutInCell="1" locked="0" behindDoc="0" simplePos="0" relativeHeight="196">
            <wp:simplePos x="0" y="0"/>
            <wp:positionH relativeFrom="page">
              <wp:posOffset>685800</wp:posOffset>
            </wp:positionH>
            <wp:positionV relativeFrom="paragraph">
              <wp:posOffset>162592</wp:posOffset>
            </wp:positionV>
            <wp:extent cx="4342239" cy="3111722"/>
            <wp:effectExtent l="0" t="0" r="0" b="0"/>
            <wp:wrapTopAndBottom/>
            <wp:docPr id="173" name="image88.png"/>
            <wp:cNvGraphicFramePr>
              <a:graphicFrameLocks noChangeAspect="1"/>
            </wp:cNvGraphicFramePr>
            <a:graphic>
              <a:graphicData uri="http://schemas.openxmlformats.org/drawingml/2006/picture">
                <pic:pic>
                  <pic:nvPicPr>
                    <pic:cNvPr id="174" name="image88.png"/>
                    <pic:cNvPicPr/>
                  </pic:nvPicPr>
                  <pic:blipFill>
                    <a:blip r:embed="rId197" cstate="print"/>
                    <a:stretch>
                      <a:fillRect/>
                    </a:stretch>
                  </pic:blipFill>
                  <pic:spPr>
                    <a:xfrm>
                      <a:off x="0" y="0"/>
                      <a:ext cx="4342239" cy="3111722"/>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6.18:</w:t>
      </w:r>
      <w:r>
        <w:rPr>
          <w:spacing w:val="2"/>
          <w:sz w:val="16"/>
        </w:rPr>
        <w:t> </w:t>
      </w:r>
      <w:r>
        <w:rPr>
          <w:sz w:val="16"/>
        </w:rPr>
        <w:t>Identifying</w:t>
      </w:r>
      <w:r>
        <w:rPr>
          <w:spacing w:val="2"/>
          <w:sz w:val="16"/>
        </w:rPr>
        <w:t> </w:t>
      </w:r>
      <w:r>
        <w:rPr>
          <w:sz w:val="16"/>
        </w:rPr>
        <w:t>a</w:t>
      </w:r>
      <w:r>
        <w:rPr>
          <w:spacing w:val="2"/>
          <w:sz w:val="16"/>
        </w:rPr>
        <w:t> </w:t>
      </w:r>
      <w:r>
        <w:rPr>
          <w:sz w:val="16"/>
        </w:rPr>
        <w:t>narrow</w:t>
      </w:r>
      <w:r>
        <w:rPr>
          <w:spacing w:val="3"/>
          <w:sz w:val="16"/>
        </w:rPr>
        <w:t> </w:t>
      </w:r>
      <w:r>
        <w:rPr>
          <w:sz w:val="16"/>
        </w:rPr>
        <w:t>pivot</w:t>
      </w:r>
      <w:r>
        <w:rPr>
          <w:spacing w:val="2"/>
          <w:sz w:val="16"/>
        </w:rPr>
        <w:t> </w:t>
      </w:r>
      <w:r>
        <w:rPr>
          <w:sz w:val="16"/>
        </w:rPr>
        <w:t>range</w:t>
      </w:r>
      <w:r>
        <w:rPr>
          <w:spacing w:val="2"/>
          <w:sz w:val="16"/>
        </w:rPr>
        <w:t> </w:t>
      </w:r>
      <w:r>
        <w:rPr>
          <w:sz w:val="16"/>
        </w:rPr>
        <w:t>using</w:t>
      </w:r>
      <w:r>
        <w:rPr>
          <w:spacing w:val="2"/>
          <w:sz w:val="16"/>
        </w:rPr>
        <w:t> </w:t>
      </w:r>
      <w:r>
        <w:rPr>
          <w:sz w:val="16"/>
        </w:rPr>
        <w:t>the</w:t>
      </w:r>
      <w:r>
        <w:rPr>
          <w:spacing w:val="2"/>
          <w:sz w:val="16"/>
        </w:rPr>
        <w:t> </w:t>
      </w:r>
      <w:r>
        <w:rPr>
          <w:sz w:val="16"/>
        </w:rPr>
        <w:t>DPR</w:t>
      </w:r>
      <w:r>
        <w:rPr>
          <w:spacing w:val="2"/>
          <w:sz w:val="16"/>
        </w:rPr>
        <w:t> </w:t>
      </w:r>
      <w:r>
        <w:rPr>
          <w:spacing w:val="-2"/>
          <w:sz w:val="16"/>
        </w:rPr>
        <w:t>indicator</w:t>
      </w:r>
    </w:p>
    <w:p>
      <w:pPr>
        <w:pStyle w:val="BodyText"/>
        <w:spacing w:before="9"/>
        <w:rPr>
          <w:sz w:val="21"/>
        </w:rPr>
      </w:pPr>
    </w:p>
    <w:p>
      <w:pPr>
        <w:pStyle w:val="BodyText"/>
        <w:ind w:left="499" w:right="137" w:firstLine="432"/>
        <w:jc w:val="both"/>
      </w:pPr>
      <w:r>
        <w:rPr/>
        <w:t>The</w:t>
      </w:r>
      <w:r>
        <w:rPr>
          <w:spacing w:val="-2"/>
        </w:rPr>
        <w:t> </w:t>
      </w:r>
      <w:r>
        <w:rPr/>
        <w:t>top</w:t>
      </w:r>
      <w:r>
        <w:rPr>
          <w:spacing w:val="-3"/>
        </w:rPr>
        <w:t> </w:t>
      </w:r>
      <w:r>
        <w:rPr/>
        <w:t>and</w:t>
      </w:r>
      <w:r>
        <w:rPr>
          <w:spacing w:val="-3"/>
        </w:rPr>
        <w:t> </w:t>
      </w:r>
      <w:r>
        <w:rPr/>
        <w:t>bottom</w:t>
      </w:r>
      <w:r>
        <w:rPr>
          <w:spacing w:val="-2"/>
        </w:rPr>
        <w:t> </w:t>
      </w:r>
      <w:r>
        <w:rPr/>
        <w:t>lines</w:t>
      </w:r>
      <w:r>
        <w:rPr>
          <w:spacing w:val="-2"/>
        </w:rPr>
        <w:t> </w:t>
      </w:r>
      <w:r>
        <w:rPr/>
        <w:t>of</w:t>
      </w:r>
      <w:r>
        <w:rPr>
          <w:spacing w:val="-2"/>
        </w:rPr>
        <w:t> </w:t>
      </w:r>
      <w:r>
        <w:rPr/>
        <w:t>the</w:t>
      </w:r>
      <w:r>
        <w:rPr>
          <w:spacing w:val="-2"/>
        </w:rPr>
        <w:t> </w:t>
      </w:r>
      <w:r>
        <w:rPr/>
        <w:t>indicator</w:t>
      </w:r>
      <w:r>
        <w:rPr>
          <w:spacing w:val="-3"/>
        </w:rPr>
        <w:t> </w:t>
      </w:r>
      <w:r>
        <w:rPr/>
        <w:t>closed</w:t>
      </w:r>
      <w:r>
        <w:rPr>
          <w:spacing w:val="-2"/>
        </w:rPr>
        <w:t> </w:t>
      </w:r>
      <w:r>
        <w:rPr/>
        <w:t>the</w:t>
      </w:r>
      <w:r>
        <w:rPr>
          <w:spacing w:val="-2"/>
        </w:rPr>
        <w:t> </w:t>
      </w:r>
      <w:r>
        <w:rPr/>
        <w:t>session</w:t>
      </w:r>
      <w:r>
        <w:rPr>
          <w:spacing w:val="-2"/>
        </w:rPr>
        <w:t> </w:t>
      </w:r>
      <w:r>
        <w:rPr/>
        <w:t>within</w:t>
      </w:r>
      <w:r>
        <w:rPr>
          <w:spacing w:val="-3"/>
        </w:rPr>
        <w:t> </w:t>
      </w:r>
      <w:r>
        <w:rPr/>
        <w:t>a</w:t>
      </w:r>
      <w:r>
        <w:rPr>
          <w:spacing w:val="-3"/>
        </w:rPr>
        <w:t> </w:t>
      </w:r>
      <w:r>
        <w:rPr/>
        <w:t>half point of one another, which is an extremely narrow range for this particular futures</w:t>
      </w:r>
      <w:r>
        <w:rPr>
          <w:spacing w:val="25"/>
        </w:rPr>
        <w:t> </w:t>
      </w:r>
      <w:r>
        <w:rPr/>
        <w:t>contract.</w:t>
      </w:r>
      <w:r>
        <w:rPr>
          <w:spacing w:val="26"/>
        </w:rPr>
        <w:t> </w:t>
      </w:r>
      <w:r>
        <w:rPr/>
        <w:t>Remember,</w:t>
      </w:r>
      <w:r>
        <w:rPr>
          <w:spacing w:val="26"/>
        </w:rPr>
        <w:t> </w:t>
      </w:r>
      <w:r>
        <w:rPr/>
        <w:t>the</w:t>
      </w:r>
      <w:r>
        <w:rPr>
          <w:spacing w:val="26"/>
        </w:rPr>
        <w:t> </w:t>
      </w:r>
      <w:r>
        <w:rPr/>
        <w:t>closing</w:t>
      </w:r>
      <w:r>
        <w:rPr>
          <w:spacing w:val="26"/>
        </w:rPr>
        <w:t> </w:t>
      </w:r>
      <w:r>
        <w:rPr/>
        <w:t>values</w:t>
      </w:r>
      <w:r>
        <w:rPr>
          <w:spacing w:val="26"/>
        </w:rPr>
        <w:t> </w:t>
      </w:r>
      <w:r>
        <w:rPr/>
        <w:t>of</w:t>
      </w:r>
      <w:r>
        <w:rPr>
          <w:spacing w:val="26"/>
        </w:rPr>
        <w:t> </w:t>
      </w:r>
      <w:r>
        <w:rPr/>
        <w:t>the</w:t>
      </w:r>
      <w:r>
        <w:rPr>
          <w:spacing w:val="26"/>
        </w:rPr>
        <w:t> </w:t>
      </w:r>
      <w:r>
        <w:rPr/>
        <w:t>developing</w:t>
      </w:r>
      <w:r>
        <w:rPr>
          <w:spacing w:val="26"/>
        </w:rPr>
        <w:t> </w:t>
      </w:r>
      <w:r>
        <w:rPr>
          <w:spacing w:val="-2"/>
        </w:rPr>
        <w:t>indicator</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jc w:val="both"/>
      </w:pPr>
      <w:r>
        <w:rPr/>
        <w:t>tell you where the static levels for the central pivot range will be located for the next session. Therefore, I knew that a potential trending session could be seen the next day.</w:t>
      </w:r>
    </w:p>
    <w:p>
      <w:pPr>
        <w:pStyle w:val="BodyText"/>
        <w:spacing w:before="1"/>
        <w:ind w:left="140" w:right="495" w:firstLine="432"/>
        <w:jc w:val="both"/>
      </w:pPr>
      <w:r>
        <w:rPr/>
        <w:t>Looking at Figure 6.19 shows the market actually traded quietly sideways within an established two-day trading range prior to the formation of the narrow pivot range in anticipation of a potential breakout move. When price opened the day with a gap beyond the prior day’s range and value, the groundwork for a major trending session was laid. I allowed the first fifteen- minute candle of the day to fully form in order to judge price behavior after the gap. After fifteen minutes passed, a bullish wick reversal signal formed, essentially triggering my entry near the open of the following bar at 762.80. I set my fixed loss stop below the session’s low and allowed my 1.5 ATR trailing profit stop to manage the trade throughout the session. Price trended steadily higher throughout the session and eventually closed the day near the session’s highs, which is very typical when a Trend Day has developed. Eventually, my trade session boundary stop automatically liquated my position</w:t>
      </w:r>
      <w:r>
        <w:rPr>
          <w:spacing w:val="-2"/>
        </w:rPr>
        <w:t> </w:t>
      </w:r>
      <w:r>
        <w:rPr/>
        <w:t>fifteen</w:t>
      </w:r>
      <w:r>
        <w:rPr>
          <w:spacing w:val="-1"/>
        </w:rPr>
        <w:t> </w:t>
      </w:r>
      <w:r>
        <w:rPr/>
        <w:t>minutes</w:t>
      </w:r>
      <w:r>
        <w:rPr>
          <w:spacing w:val="-1"/>
        </w:rPr>
        <w:t> </w:t>
      </w:r>
      <w:r>
        <w:rPr/>
        <w:t>before</w:t>
      </w:r>
      <w:r>
        <w:rPr>
          <w:spacing w:val="-1"/>
        </w:rPr>
        <w:t> </w:t>
      </w:r>
      <w:r>
        <w:rPr/>
        <w:t>the</w:t>
      </w:r>
      <w:r>
        <w:rPr>
          <w:spacing w:val="-1"/>
        </w:rPr>
        <w:t> </w:t>
      </w:r>
      <w:r>
        <w:rPr/>
        <w:t>close</w:t>
      </w:r>
      <w:r>
        <w:rPr>
          <w:spacing w:val="-1"/>
        </w:rPr>
        <w:t> </w:t>
      </w:r>
      <w:r>
        <w:rPr/>
        <w:t>of</w:t>
      </w:r>
      <w:r>
        <w:rPr>
          <w:spacing w:val="-1"/>
        </w:rPr>
        <w:t> </w:t>
      </w:r>
      <w:r>
        <w:rPr/>
        <w:t>the</w:t>
      </w:r>
      <w:r>
        <w:rPr>
          <w:spacing w:val="-2"/>
        </w:rPr>
        <w:t> </w:t>
      </w:r>
      <w:r>
        <w:rPr/>
        <w:t>session</w:t>
      </w:r>
      <w:r>
        <w:rPr>
          <w:spacing w:val="-1"/>
        </w:rPr>
        <w:t> </w:t>
      </w:r>
      <w:r>
        <w:rPr/>
        <w:t>at</w:t>
      </w:r>
      <w:r>
        <w:rPr>
          <w:spacing w:val="-1"/>
        </w:rPr>
        <w:t> </w:t>
      </w:r>
      <w:r>
        <w:rPr/>
        <w:t>769.60,</w:t>
      </w:r>
      <w:r>
        <w:rPr>
          <w:spacing w:val="-2"/>
        </w:rPr>
        <w:t> </w:t>
      </w:r>
      <w:r>
        <w:rPr/>
        <w:t>giving</w:t>
      </w:r>
      <w:r>
        <w:rPr>
          <w:spacing w:val="-2"/>
        </w:rPr>
        <w:t> </w:t>
      </w:r>
      <w:r>
        <w:rPr/>
        <w:t>me a gain of 6.8 points, which amounts to $680 per contract traded.</w:t>
      </w:r>
    </w:p>
    <w:p>
      <w:pPr>
        <w:pStyle w:val="BodyText"/>
        <w:rPr>
          <w:sz w:val="20"/>
        </w:rPr>
      </w:pPr>
      <w:r>
        <w:rPr/>
        <w:drawing>
          <wp:anchor distT="0" distB="0" distL="0" distR="0" allowOverlap="1" layoutInCell="1" locked="0" behindDoc="0" simplePos="0" relativeHeight="197">
            <wp:simplePos x="0" y="0"/>
            <wp:positionH relativeFrom="page">
              <wp:posOffset>457200</wp:posOffset>
            </wp:positionH>
            <wp:positionV relativeFrom="paragraph">
              <wp:posOffset>161526</wp:posOffset>
            </wp:positionV>
            <wp:extent cx="4342239" cy="3111722"/>
            <wp:effectExtent l="0" t="0" r="0" b="0"/>
            <wp:wrapTopAndBottom/>
            <wp:docPr id="175" name="image89.png"/>
            <wp:cNvGraphicFramePr>
              <a:graphicFrameLocks noChangeAspect="1"/>
            </wp:cNvGraphicFramePr>
            <a:graphic>
              <a:graphicData uri="http://schemas.openxmlformats.org/drawingml/2006/picture">
                <pic:pic>
                  <pic:nvPicPr>
                    <pic:cNvPr id="176" name="image89.png"/>
                    <pic:cNvPicPr/>
                  </pic:nvPicPr>
                  <pic:blipFill>
                    <a:blip r:embed="rId198"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 6.19:</w:t>
      </w:r>
      <w:r>
        <w:rPr>
          <w:spacing w:val="1"/>
          <w:sz w:val="16"/>
        </w:rPr>
        <w:t> </w:t>
      </w:r>
      <w:r>
        <w:rPr>
          <w:sz w:val="16"/>
        </w:rPr>
        <w:t>Identifying</w:t>
      </w:r>
      <w:r>
        <w:rPr>
          <w:spacing w:val="1"/>
          <w:sz w:val="16"/>
        </w:rPr>
        <w:t> </w:t>
      </w:r>
      <w:r>
        <w:rPr>
          <w:sz w:val="16"/>
        </w:rPr>
        <w:t>the</w:t>
      </w:r>
      <w:r>
        <w:rPr>
          <w:spacing w:val="1"/>
          <w:sz w:val="16"/>
        </w:rPr>
        <w:t> </w:t>
      </w:r>
      <w:r>
        <w:rPr>
          <w:sz w:val="16"/>
        </w:rPr>
        <w:t>narrow</w:t>
      </w:r>
      <w:r>
        <w:rPr>
          <w:spacing w:val="1"/>
          <w:sz w:val="16"/>
        </w:rPr>
        <w:t> </w:t>
      </w:r>
      <w:r>
        <w:rPr>
          <w:sz w:val="16"/>
        </w:rPr>
        <w:t>pivot</w:t>
      </w:r>
      <w:r>
        <w:rPr>
          <w:spacing w:val="1"/>
          <w:sz w:val="16"/>
        </w:rPr>
        <w:t> </w:t>
      </w:r>
      <w:r>
        <w:rPr>
          <w:sz w:val="16"/>
        </w:rPr>
        <w:t>range allowed</w:t>
      </w:r>
      <w:r>
        <w:rPr>
          <w:spacing w:val="2"/>
          <w:sz w:val="16"/>
        </w:rPr>
        <w:t> </w:t>
      </w:r>
      <w:r>
        <w:rPr>
          <w:sz w:val="16"/>
        </w:rPr>
        <w:t>me</w:t>
      </w:r>
      <w:r>
        <w:rPr>
          <w:spacing w:val="2"/>
          <w:sz w:val="16"/>
        </w:rPr>
        <w:t> </w:t>
      </w:r>
      <w:r>
        <w:rPr>
          <w:sz w:val="16"/>
        </w:rPr>
        <w:t>to</w:t>
      </w:r>
      <w:r>
        <w:rPr>
          <w:spacing w:val="1"/>
          <w:sz w:val="16"/>
        </w:rPr>
        <w:t> </w:t>
      </w:r>
      <w:r>
        <w:rPr>
          <w:sz w:val="16"/>
        </w:rPr>
        <w:t>hone</w:t>
      </w:r>
      <w:r>
        <w:rPr>
          <w:spacing w:val="1"/>
          <w:sz w:val="16"/>
        </w:rPr>
        <w:t> </w:t>
      </w:r>
      <w:r>
        <w:rPr>
          <w:sz w:val="16"/>
        </w:rPr>
        <w:t>in</w:t>
      </w:r>
      <w:r>
        <w:rPr>
          <w:spacing w:val="1"/>
          <w:sz w:val="16"/>
        </w:rPr>
        <w:t> </w:t>
      </w:r>
      <w:r>
        <w:rPr>
          <w:sz w:val="16"/>
        </w:rPr>
        <w:t>on</w:t>
      </w:r>
      <w:r>
        <w:rPr>
          <w:spacing w:val="1"/>
          <w:sz w:val="16"/>
        </w:rPr>
        <w:t> </w:t>
      </w:r>
      <w:r>
        <w:rPr>
          <w:sz w:val="16"/>
        </w:rPr>
        <w:t>this </w:t>
      </w:r>
      <w:r>
        <w:rPr>
          <w:spacing w:val="-2"/>
          <w:sz w:val="16"/>
        </w:rPr>
        <w:t>trade.</w:t>
      </w:r>
    </w:p>
    <w:p>
      <w:pPr>
        <w:spacing w:after="0"/>
        <w:jc w:val="both"/>
        <w:rPr>
          <w:sz w:val="16"/>
        </w:rPr>
        <w:sectPr>
          <w:pgSz w:w="8640" w:h="12960"/>
          <w:pgMar w:header="579" w:footer="1060" w:top="760" w:bottom="1260" w:left="580" w:right="580"/>
        </w:sectPr>
      </w:pPr>
    </w:p>
    <w:p>
      <w:pPr>
        <w:pStyle w:val="BodyText"/>
        <w:spacing w:before="3"/>
      </w:pPr>
    </w:p>
    <w:p>
      <w:pPr>
        <w:pStyle w:val="BodyText"/>
        <w:spacing w:before="64"/>
        <w:ind w:left="500" w:right="134" w:firstLine="432"/>
        <w:jc w:val="both"/>
      </w:pPr>
      <w:r>
        <w:rPr/>
        <w:t>The key to this trade is the fact that I allowed a wider cushion than normal on my trailing profit stop. I use a 1.5 ATR cushion on days that I suspect will become Trend Days, as it is usually enough to capture an entire day’s trending move in a fifteen-minute periodicity. Since a narrow pivot range indicated a greater range of movement for this day, I want to be able to hold on to the trade as long as possible, especially if the move is hot. My best-case scenario occurs when my trailing profit stop is never tested and keeps me in the trade throughout the day, allowing my mechanical trade session boundary stop to automatically exit my trade, which I set to fifteen minutes before the close of the market, as was the case in this trade.</w:t>
      </w:r>
    </w:p>
    <w:p>
      <w:pPr>
        <w:pStyle w:val="BodyText"/>
        <w:ind w:left="500" w:right="135" w:firstLine="432"/>
        <w:jc w:val="both"/>
      </w:pPr>
      <w:r>
        <w:rPr/>
        <w:t>Great poker players always know “when to hold them, and when to fold them.” For traders, a tight central pivot range can help you to do just that. Entering</w:t>
      </w:r>
      <w:r>
        <w:rPr>
          <w:spacing w:val="-2"/>
        </w:rPr>
        <w:t> </w:t>
      </w:r>
      <w:r>
        <w:rPr/>
        <w:t>a</w:t>
      </w:r>
      <w:r>
        <w:rPr>
          <w:spacing w:val="-2"/>
        </w:rPr>
        <w:t> </w:t>
      </w:r>
      <w:r>
        <w:rPr/>
        <w:t>trade</w:t>
      </w:r>
      <w:r>
        <w:rPr>
          <w:spacing w:val="-2"/>
        </w:rPr>
        <w:t> </w:t>
      </w:r>
      <w:r>
        <w:rPr/>
        <w:t>on</w:t>
      </w:r>
      <w:r>
        <w:rPr>
          <w:spacing w:val="-2"/>
        </w:rPr>
        <w:t> </w:t>
      </w:r>
      <w:r>
        <w:rPr/>
        <w:t>a</w:t>
      </w:r>
      <w:r>
        <w:rPr>
          <w:spacing w:val="-2"/>
        </w:rPr>
        <w:t> </w:t>
      </w:r>
      <w:r>
        <w:rPr/>
        <w:t>day</w:t>
      </w:r>
      <w:r>
        <w:rPr>
          <w:spacing w:val="-3"/>
        </w:rPr>
        <w:t> </w:t>
      </w:r>
      <w:r>
        <w:rPr/>
        <w:t>when</w:t>
      </w:r>
      <w:r>
        <w:rPr>
          <w:spacing w:val="-2"/>
        </w:rPr>
        <w:t> </w:t>
      </w:r>
      <w:r>
        <w:rPr/>
        <w:t>the</w:t>
      </w:r>
      <w:r>
        <w:rPr>
          <w:spacing w:val="-2"/>
        </w:rPr>
        <w:t> </w:t>
      </w:r>
      <w:r>
        <w:rPr/>
        <w:t>centrals</w:t>
      </w:r>
      <w:r>
        <w:rPr>
          <w:spacing w:val="-2"/>
        </w:rPr>
        <w:t> </w:t>
      </w:r>
      <w:r>
        <w:rPr/>
        <w:t>are</w:t>
      </w:r>
      <w:r>
        <w:rPr>
          <w:spacing w:val="-2"/>
        </w:rPr>
        <w:t> </w:t>
      </w:r>
      <w:r>
        <w:rPr/>
        <w:t>tight</w:t>
      </w:r>
      <w:r>
        <w:rPr>
          <w:spacing w:val="-2"/>
        </w:rPr>
        <w:t> </w:t>
      </w:r>
      <w:r>
        <w:rPr/>
        <w:t>should</w:t>
      </w:r>
      <w:r>
        <w:rPr>
          <w:spacing w:val="-3"/>
        </w:rPr>
        <w:t> </w:t>
      </w:r>
      <w:r>
        <w:rPr/>
        <w:t>cause</w:t>
      </w:r>
      <w:r>
        <w:rPr>
          <w:spacing w:val="-2"/>
        </w:rPr>
        <w:t> </w:t>
      </w:r>
      <w:r>
        <w:rPr/>
        <w:t>you</w:t>
      </w:r>
      <w:r>
        <w:rPr>
          <w:spacing w:val="-2"/>
        </w:rPr>
        <w:t> </w:t>
      </w:r>
      <w:r>
        <w:rPr/>
        <w:t>to</w:t>
      </w:r>
      <w:r>
        <w:rPr>
          <w:spacing w:val="-3"/>
        </w:rPr>
        <w:t> </w:t>
      </w:r>
      <w:r>
        <w:rPr/>
        <w:t>hold onto the position longer than you normally would, since the pivot range forecasts a wider range of movement on this day. As you may recall from Chapter 1, the market usually closes at the day’s extreme on Trend Days, which</w:t>
      </w:r>
      <w:r>
        <w:rPr>
          <w:spacing w:val="-2"/>
        </w:rPr>
        <w:t> </w:t>
      </w:r>
      <w:r>
        <w:rPr/>
        <w:t>means</w:t>
      </w:r>
      <w:r>
        <w:rPr>
          <w:spacing w:val="-2"/>
        </w:rPr>
        <w:t> </w:t>
      </w:r>
      <w:r>
        <w:rPr/>
        <w:t>holding</w:t>
      </w:r>
      <w:r>
        <w:rPr>
          <w:spacing w:val="-3"/>
        </w:rPr>
        <w:t> </w:t>
      </w:r>
      <w:r>
        <w:rPr/>
        <w:t>the</w:t>
      </w:r>
      <w:r>
        <w:rPr>
          <w:spacing w:val="-3"/>
        </w:rPr>
        <w:t> </w:t>
      </w:r>
      <w:r>
        <w:rPr/>
        <w:t>position</w:t>
      </w:r>
      <w:r>
        <w:rPr>
          <w:spacing w:val="-3"/>
        </w:rPr>
        <w:t> </w:t>
      </w:r>
      <w:r>
        <w:rPr/>
        <w:t>the</w:t>
      </w:r>
      <w:r>
        <w:rPr>
          <w:spacing w:val="-3"/>
        </w:rPr>
        <w:t> </w:t>
      </w:r>
      <w:r>
        <w:rPr/>
        <w:t>entire</w:t>
      </w:r>
      <w:r>
        <w:rPr>
          <w:spacing w:val="-3"/>
        </w:rPr>
        <w:t> </w:t>
      </w:r>
      <w:r>
        <w:rPr/>
        <w:t>day</w:t>
      </w:r>
      <w:r>
        <w:rPr>
          <w:spacing w:val="-3"/>
        </w:rPr>
        <w:t> </w:t>
      </w:r>
      <w:r>
        <w:rPr/>
        <w:t>is</w:t>
      </w:r>
      <w:r>
        <w:rPr>
          <w:spacing w:val="-3"/>
        </w:rPr>
        <w:t> </w:t>
      </w:r>
      <w:r>
        <w:rPr/>
        <w:t>usually</w:t>
      </w:r>
      <w:r>
        <w:rPr>
          <w:spacing w:val="-3"/>
        </w:rPr>
        <w:t> </w:t>
      </w:r>
      <w:r>
        <w:rPr/>
        <w:t>the</w:t>
      </w:r>
      <w:r>
        <w:rPr>
          <w:spacing w:val="-3"/>
        </w:rPr>
        <w:t> </w:t>
      </w:r>
      <w:r>
        <w:rPr/>
        <w:t>most</w:t>
      </w:r>
      <w:r>
        <w:rPr>
          <w:spacing w:val="-3"/>
        </w:rPr>
        <w:t> </w:t>
      </w:r>
      <w:r>
        <w:rPr/>
        <w:t>profitable </w:t>
      </w:r>
      <w:r>
        <w:rPr>
          <w:spacing w:val="-2"/>
        </w:rPr>
        <w:t>outcome.</w:t>
      </w:r>
    </w:p>
    <w:p>
      <w:pPr>
        <w:pStyle w:val="BodyText"/>
        <w:ind w:left="500" w:right="135" w:firstLine="432"/>
        <w:jc w:val="both"/>
      </w:pPr>
      <w:r>
        <w:rPr/>
        <w:t>Much to our dismay, the pivot range does not always offer a tight range that is ripe for beautiful trending behavior. Oftentimes, after explosive price movement, the calculation for the CPR yields a very wide pivot range, thus creating a role reversal. While quiet movement and a wide pivot range typically lead to a tight centrals range, the reverse happens after you see big movement in the market. That is, a day that has a wide range of movement, like a Trend Day, will lead to the creation of an abnormally wide pivot range for the following session. In this instance, you typically see a quieter atmosphere in the market, as dictated by the wide-set pivot range.</w:t>
      </w:r>
    </w:p>
    <w:p>
      <w:pPr>
        <w:pStyle w:val="BodyText"/>
        <w:ind w:left="500" w:right="134" w:firstLine="432"/>
        <w:jc w:val="both"/>
      </w:pPr>
      <w:r>
        <w:rPr/>
        <w:t>Why is this important to know? Wouldn’t you want to know in advance that the market might not move much on certain days, thus allowing you to trade less or bet smaller positions? These types of days have much less volatility, which results in less conviction, smaller moves, and lots of whipsaw activity. Knowing when to spot these days in advance can save you a small fortune. When the pivot range is wider than normal, you either</w:t>
      </w:r>
      <w:r>
        <w:rPr>
          <w:spacing w:val="40"/>
        </w:rPr>
        <w:t> </w:t>
      </w:r>
      <w:r>
        <w:rPr/>
        <w:t>change your trading style to play smaller intraday swings or you avoid</w:t>
      </w:r>
      <w:r>
        <w:rPr>
          <w:spacing w:val="40"/>
        </w:rPr>
        <w:t> </w:t>
      </w:r>
      <w:r>
        <w:rPr/>
        <w:t>trading all together. Either way, the central pivot range gives you an</w:t>
      </w:r>
      <w:r>
        <w:rPr>
          <w:spacing w:val="40"/>
        </w:rPr>
        <w:t> </w:t>
      </w:r>
      <w:r>
        <w:rPr/>
        <w:t>advanced reading of what type of day the upcoming session may become, which allows you to adjust your trading plan accordingly.</w:t>
      </w:r>
    </w:p>
    <w:p>
      <w:pPr>
        <w:pStyle w:val="BodyText"/>
        <w:ind w:left="500" w:right="137" w:firstLine="432"/>
        <w:jc w:val="both"/>
      </w:pPr>
      <w:r>
        <w:rPr/>
        <w:t>Take a look at Figure 6.20, which is a sixty-minute chart of the GBP/USD</w:t>
      </w:r>
      <w:r>
        <w:rPr>
          <w:spacing w:val="-2"/>
        </w:rPr>
        <w:t> </w:t>
      </w:r>
      <w:r>
        <w:rPr/>
        <w:t>forex</w:t>
      </w:r>
      <w:r>
        <w:rPr>
          <w:spacing w:val="-4"/>
        </w:rPr>
        <w:t> </w:t>
      </w:r>
      <w:r>
        <w:rPr/>
        <w:t>pair</w:t>
      </w:r>
      <w:r>
        <w:rPr>
          <w:spacing w:val="-3"/>
        </w:rPr>
        <w:t> </w:t>
      </w:r>
      <w:r>
        <w:rPr/>
        <w:t>that</w:t>
      </w:r>
      <w:r>
        <w:rPr>
          <w:spacing w:val="-3"/>
        </w:rPr>
        <w:t> </w:t>
      </w:r>
      <w:r>
        <w:rPr/>
        <w:t>illustrates</w:t>
      </w:r>
      <w:r>
        <w:rPr>
          <w:spacing w:val="-2"/>
        </w:rPr>
        <w:t> </w:t>
      </w:r>
      <w:r>
        <w:rPr/>
        <w:t>my</w:t>
      </w:r>
      <w:r>
        <w:rPr>
          <w:spacing w:val="-2"/>
        </w:rPr>
        <w:t> </w:t>
      </w:r>
      <w:r>
        <w:rPr/>
        <w:t>point</w:t>
      </w:r>
      <w:r>
        <w:rPr>
          <w:spacing w:val="-3"/>
        </w:rPr>
        <w:t> </w:t>
      </w:r>
      <w:r>
        <w:rPr/>
        <w:t>perfectly.</w:t>
      </w:r>
      <w:r>
        <w:rPr>
          <w:spacing w:val="-4"/>
        </w:rPr>
        <w:t> </w:t>
      </w:r>
      <w:r>
        <w:rPr/>
        <w:t>On</w:t>
      </w:r>
      <w:r>
        <w:rPr>
          <w:spacing w:val="-3"/>
        </w:rPr>
        <w:t> </w:t>
      </w:r>
      <w:r>
        <w:rPr/>
        <w:t>August</w:t>
      </w:r>
      <w:r>
        <w:rPr>
          <w:spacing w:val="-3"/>
        </w:rPr>
        <w:t> </w:t>
      </w:r>
      <w:r>
        <w:rPr/>
        <w:t>3,</w:t>
      </w:r>
      <w:r>
        <w:rPr>
          <w:spacing w:val="-3"/>
        </w:rPr>
        <w:t> </w:t>
      </w:r>
      <w:r>
        <w:rPr/>
        <w:t>the</w:t>
      </w:r>
      <w:r>
        <w:rPr>
          <w:spacing w:val="-3"/>
        </w:rPr>
        <w:t> </w:t>
      </w:r>
      <w:r>
        <w:rPr/>
        <w:t>pair rallied nicely on a day when the CPR was rather tight, which is what we would normally expect. However, this wide range of movement led to an abnormally</w:t>
      </w:r>
      <w:r>
        <w:rPr>
          <w:spacing w:val="16"/>
        </w:rPr>
        <w:t> </w:t>
      </w:r>
      <w:r>
        <w:rPr/>
        <w:t>wide</w:t>
      </w:r>
      <w:r>
        <w:rPr>
          <w:spacing w:val="17"/>
        </w:rPr>
        <w:t> </w:t>
      </w:r>
      <w:r>
        <w:rPr/>
        <w:t>pivot</w:t>
      </w:r>
      <w:r>
        <w:rPr>
          <w:spacing w:val="16"/>
        </w:rPr>
        <w:t> </w:t>
      </w:r>
      <w:r>
        <w:rPr/>
        <w:t>range</w:t>
      </w:r>
      <w:r>
        <w:rPr>
          <w:spacing w:val="17"/>
        </w:rPr>
        <w:t> </w:t>
      </w:r>
      <w:r>
        <w:rPr/>
        <w:t>for</w:t>
      </w:r>
      <w:r>
        <w:rPr>
          <w:spacing w:val="17"/>
        </w:rPr>
        <w:t> </w:t>
      </w:r>
      <w:r>
        <w:rPr/>
        <w:t>the</w:t>
      </w:r>
      <w:r>
        <w:rPr>
          <w:spacing w:val="17"/>
        </w:rPr>
        <w:t> </w:t>
      </w:r>
      <w:r>
        <w:rPr/>
        <w:t>following</w:t>
      </w:r>
      <w:r>
        <w:rPr>
          <w:spacing w:val="16"/>
        </w:rPr>
        <w:t> </w:t>
      </w:r>
      <w:r>
        <w:rPr/>
        <w:t>session,</w:t>
      </w:r>
      <w:r>
        <w:rPr>
          <w:spacing w:val="17"/>
        </w:rPr>
        <w:t> </w:t>
      </w:r>
      <w:r>
        <w:rPr/>
        <w:t>August</w:t>
      </w:r>
      <w:r>
        <w:rPr>
          <w:spacing w:val="16"/>
        </w:rPr>
        <w:t> </w:t>
      </w:r>
      <w:r>
        <w:rPr/>
        <w:t>4.</w:t>
      </w:r>
      <w:r>
        <w:rPr>
          <w:spacing w:val="17"/>
        </w:rPr>
        <w:t> </w:t>
      </w:r>
      <w:r>
        <w:rPr/>
        <w:t>Since</w:t>
      </w:r>
      <w:r>
        <w:rPr>
          <w:spacing w:val="17"/>
        </w:rPr>
        <w:t> </w:t>
      </w:r>
      <w:r>
        <w:rPr>
          <w:spacing w:val="-5"/>
        </w:rPr>
        <w:t>the</w:t>
      </w:r>
    </w:p>
    <w:p>
      <w:pPr>
        <w:spacing w:after="0"/>
        <w:jc w:val="both"/>
        <w:sectPr>
          <w:pgSz w:w="8640" w:h="12960"/>
          <w:pgMar w:header="536" w:footer="1060" w:top="720" w:bottom="1180" w:left="580" w:right="580"/>
        </w:sectPr>
      </w:pPr>
    </w:p>
    <w:p>
      <w:pPr>
        <w:pStyle w:val="BodyText"/>
        <w:spacing w:before="5"/>
        <w:rPr>
          <w:sz w:val="18"/>
        </w:rPr>
      </w:pPr>
    </w:p>
    <w:p>
      <w:pPr>
        <w:pStyle w:val="BodyText"/>
        <w:spacing w:before="64"/>
        <w:ind w:left="140" w:right="495"/>
        <w:jc w:val="both"/>
      </w:pPr>
      <w:r>
        <w:rPr/>
        <w:t>centrals were unusually wide, we would expect quiet trading behavior,</w:t>
      </w:r>
      <w:r>
        <w:rPr>
          <w:spacing w:val="40"/>
        </w:rPr>
        <w:t> </w:t>
      </w:r>
      <w:r>
        <w:rPr/>
        <w:t>similar to a Sideways Day or Trading Range Day. Looking at price movement on this day, you see that the pair didn’t really move at all, as it basically traded between the central pivot point and the top central pivot throughout most of the day. The wider-than-average CPR caused a lull in the market, which is your cue to either hang it up for the day, or trade smaller positions with tight stops and close targets. Actually, the activity on this day was enough to bore most traders to tears, and frustrate the heck out of those traders that didn’t anticipate this behavior in advance.</w:t>
      </w:r>
    </w:p>
    <w:p>
      <w:pPr>
        <w:pStyle w:val="BodyText"/>
        <w:spacing w:before="1"/>
        <w:rPr>
          <w:sz w:val="20"/>
        </w:rPr>
      </w:pPr>
      <w:r>
        <w:rPr/>
        <w:drawing>
          <wp:anchor distT="0" distB="0" distL="0" distR="0" allowOverlap="1" layoutInCell="1" locked="0" behindDoc="0" simplePos="0" relativeHeight="198">
            <wp:simplePos x="0" y="0"/>
            <wp:positionH relativeFrom="page">
              <wp:posOffset>457200</wp:posOffset>
            </wp:positionH>
            <wp:positionV relativeFrom="paragraph">
              <wp:posOffset>162419</wp:posOffset>
            </wp:positionV>
            <wp:extent cx="4343034" cy="3129057"/>
            <wp:effectExtent l="0" t="0" r="0" b="0"/>
            <wp:wrapTopAndBottom/>
            <wp:docPr id="177" name="image90.png"/>
            <wp:cNvGraphicFramePr>
              <a:graphicFrameLocks noChangeAspect="1"/>
            </wp:cNvGraphicFramePr>
            <a:graphic>
              <a:graphicData uri="http://schemas.openxmlformats.org/drawingml/2006/picture">
                <pic:pic>
                  <pic:nvPicPr>
                    <pic:cNvPr id="178" name="image90.png"/>
                    <pic:cNvPicPr/>
                  </pic:nvPicPr>
                  <pic:blipFill>
                    <a:blip r:embed="rId199" cstate="print"/>
                    <a:stretch>
                      <a:fillRect/>
                    </a:stretch>
                  </pic:blipFill>
                  <pic:spPr>
                    <a:xfrm>
                      <a:off x="0" y="0"/>
                      <a:ext cx="4343034" cy="3129057"/>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6.20:</w:t>
      </w:r>
      <w:r>
        <w:rPr>
          <w:spacing w:val="1"/>
          <w:sz w:val="16"/>
        </w:rPr>
        <w:t> </w:t>
      </w:r>
      <w:r>
        <w:rPr>
          <w:sz w:val="16"/>
        </w:rPr>
        <w:t>A</w:t>
      </w:r>
      <w:r>
        <w:rPr>
          <w:spacing w:val="5"/>
          <w:sz w:val="16"/>
        </w:rPr>
        <w:t> </w:t>
      </w:r>
      <w:r>
        <w:rPr>
          <w:sz w:val="16"/>
        </w:rPr>
        <w:t>wide</w:t>
      </w:r>
      <w:r>
        <w:rPr>
          <w:spacing w:val="1"/>
          <w:sz w:val="16"/>
        </w:rPr>
        <w:t> </w:t>
      </w:r>
      <w:r>
        <w:rPr>
          <w:sz w:val="16"/>
        </w:rPr>
        <w:t>pivot</w:t>
      </w:r>
      <w:r>
        <w:rPr>
          <w:spacing w:val="1"/>
          <w:sz w:val="16"/>
        </w:rPr>
        <w:t> </w:t>
      </w:r>
      <w:r>
        <w:rPr>
          <w:sz w:val="16"/>
        </w:rPr>
        <w:t>range</w:t>
      </w:r>
      <w:r>
        <w:rPr>
          <w:spacing w:val="1"/>
          <w:sz w:val="16"/>
        </w:rPr>
        <w:t> </w:t>
      </w:r>
      <w:r>
        <w:rPr>
          <w:sz w:val="16"/>
        </w:rPr>
        <w:t>usually</w:t>
      </w:r>
      <w:r>
        <w:rPr>
          <w:spacing w:val="2"/>
          <w:sz w:val="16"/>
        </w:rPr>
        <w:t> </w:t>
      </w:r>
      <w:r>
        <w:rPr>
          <w:sz w:val="16"/>
        </w:rPr>
        <w:t>leads</w:t>
      </w:r>
      <w:r>
        <w:rPr>
          <w:spacing w:val="1"/>
          <w:sz w:val="16"/>
        </w:rPr>
        <w:t> </w:t>
      </w:r>
      <w:r>
        <w:rPr>
          <w:sz w:val="16"/>
        </w:rPr>
        <w:t>to</w:t>
      </w:r>
      <w:r>
        <w:rPr>
          <w:spacing w:val="1"/>
          <w:sz w:val="16"/>
        </w:rPr>
        <w:t> </w:t>
      </w:r>
      <w:r>
        <w:rPr>
          <w:sz w:val="16"/>
        </w:rPr>
        <w:t>sideways</w:t>
      </w:r>
      <w:r>
        <w:rPr>
          <w:spacing w:val="2"/>
          <w:sz w:val="16"/>
        </w:rPr>
        <w:t> </w:t>
      </w:r>
      <w:r>
        <w:rPr>
          <w:spacing w:val="-2"/>
          <w:sz w:val="16"/>
        </w:rPr>
        <w:t>trading.</w:t>
      </w:r>
    </w:p>
    <w:p>
      <w:pPr>
        <w:pStyle w:val="BodyText"/>
        <w:spacing w:before="9"/>
        <w:rPr>
          <w:sz w:val="21"/>
        </w:rPr>
      </w:pPr>
    </w:p>
    <w:p>
      <w:pPr>
        <w:pStyle w:val="BodyText"/>
        <w:ind w:left="139" w:right="495" w:firstLine="432"/>
        <w:jc w:val="both"/>
      </w:pPr>
      <w:r>
        <w:rPr/>
        <w:t>Of course, the market isn’t always so stagnant when the centrals are wide. Sometimes, a wide-set pivot range leads to nice trading range behavior that</w:t>
      </w:r>
      <w:r>
        <w:rPr>
          <w:spacing w:val="-2"/>
        </w:rPr>
        <w:t> </w:t>
      </w:r>
      <w:r>
        <w:rPr/>
        <w:t>allows</w:t>
      </w:r>
      <w:r>
        <w:rPr>
          <w:spacing w:val="-2"/>
        </w:rPr>
        <w:t> </w:t>
      </w:r>
      <w:r>
        <w:rPr/>
        <w:t>you</w:t>
      </w:r>
      <w:r>
        <w:rPr>
          <w:spacing w:val="-2"/>
        </w:rPr>
        <w:t> </w:t>
      </w:r>
      <w:r>
        <w:rPr/>
        <w:t>to</w:t>
      </w:r>
      <w:r>
        <w:rPr>
          <w:spacing w:val="-3"/>
        </w:rPr>
        <w:t> </w:t>
      </w:r>
      <w:r>
        <w:rPr/>
        <w:t>pick</w:t>
      </w:r>
      <w:r>
        <w:rPr>
          <w:spacing w:val="-3"/>
        </w:rPr>
        <w:t> </w:t>
      </w:r>
      <w:r>
        <w:rPr/>
        <w:t>off</w:t>
      </w:r>
      <w:r>
        <w:rPr>
          <w:spacing w:val="-2"/>
        </w:rPr>
        <w:t> </w:t>
      </w:r>
      <w:r>
        <w:rPr/>
        <w:t>quick</w:t>
      </w:r>
      <w:r>
        <w:rPr>
          <w:spacing w:val="-2"/>
        </w:rPr>
        <w:t> </w:t>
      </w:r>
      <w:r>
        <w:rPr/>
        <w:t>intraday</w:t>
      </w:r>
      <w:r>
        <w:rPr>
          <w:spacing w:val="-3"/>
        </w:rPr>
        <w:t> </w:t>
      </w:r>
      <w:r>
        <w:rPr/>
        <w:t>swings</w:t>
      </w:r>
      <w:r>
        <w:rPr>
          <w:spacing w:val="-2"/>
        </w:rPr>
        <w:t> </w:t>
      </w:r>
      <w:r>
        <w:rPr/>
        <w:t>in</w:t>
      </w:r>
      <w:r>
        <w:rPr>
          <w:spacing w:val="-2"/>
        </w:rPr>
        <w:t> </w:t>
      </w:r>
      <w:r>
        <w:rPr/>
        <w:t>the</w:t>
      </w:r>
      <w:r>
        <w:rPr>
          <w:spacing w:val="-2"/>
        </w:rPr>
        <w:t> </w:t>
      </w:r>
      <w:r>
        <w:rPr/>
        <w:t>market,</w:t>
      </w:r>
      <w:r>
        <w:rPr>
          <w:spacing w:val="-1"/>
        </w:rPr>
        <w:t> </w:t>
      </w:r>
      <w:r>
        <w:rPr/>
        <w:t>much</w:t>
      </w:r>
      <w:r>
        <w:rPr>
          <w:spacing w:val="-2"/>
        </w:rPr>
        <w:t> </w:t>
      </w:r>
      <w:r>
        <w:rPr/>
        <w:t>like</w:t>
      </w:r>
      <w:r>
        <w:rPr>
          <w:spacing w:val="-2"/>
        </w:rPr>
        <w:t> </w:t>
      </w:r>
      <w:r>
        <w:rPr/>
        <w:t>the Trading Range Day described in Chapter 1. Figure 6.21 shows a clear Trading Range Day in Natural Gas when the pivot range was unusually wide and the volatility low. The commodity bounced between S1 and the pivot range throughout the session, offering short-term intraday swings, which can be quite profitable for the traders that anticipated this behavior.</w:t>
      </w:r>
    </w:p>
    <w:p>
      <w:pPr>
        <w:pStyle w:val="BodyText"/>
        <w:ind w:left="139" w:right="498" w:firstLine="432"/>
        <w:jc w:val="both"/>
      </w:pPr>
      <w:r>
        <w:rPr/>
        <w:t>The key to trading a day when the centrals are wide is to identify the day’s</w:t>
      </w:r>
      <w:r>
        <w:rPr>
          <w:spacing w:val="4"/>
        </w:rPr>
        <w:t> </w:t>
      </w:r>
      <w:r>
        <w:rPr/>
        <w:t>initial</w:t>
      </w:r>
      <w:r>
        <w:rPr>
          <w:spacing w:val="5"/>
        </w:rPr>
        <w:t> </w:t>
      </w:r>
      <w:r>
        <w:rPr/>
        <w:t>balance</w:t>
      </w:r>
      <w:r>
        <w:rPr>
          <w:spacing w:val="5"/>
        </w:rPr>
        <w:t> </w:t>
      </w:r>
      <w:r>
        <w:rPr/>
        <w:t>after</w:t>
      </w:r>
      <w:r>
        <w:rPr>
          <w:spacing w:val="6"/>
        </w:rPr>
        <w:t> </w:t>
      </w:r>
      <w:r>
        <w:rPr/>
        <w:t>the</w:t>
      </w:r>
      <w:r>
        <w:rPr>
          <w:spacing w:val="4"/>
        </w:rPr>
        <w:t> </w:t>
      </w:r>
      <w:r>
        <w:rPr/>
        <w:t>first</w:t>
      </w:r>
      <w:r>
        <w:rPr>
          <w:spacing w:val="5"/>
        </w:rPr>
        <w:t> </w:t>
      </w:r>
      <w:r>
        <w:rPr/>
        <w:t>hour</w:t>
      </w:r>
      <w:r>
        <w:rPr>
          <w:spacing w:val="4"/>
        </w:rPr>
        <w:t> </w:t>
      </w:r>
      <w:r>
        <w:rPr/>
        <w:t>of</w:t>
      </w:r>
      <w:r>
        <w:rPr>
          <w:spacing w:val="5"/>
        </w:rPr>
        <w:t> </w:t>
      </w:r>
      <w:r>
        <w:rPr/>
        <w:t>trading.</w:t>
      </w:r>
      <w:r>
        <w:rPr>
          <w:spacing w:val="5"/>
        </w:rPr>
        <w:t> </w:t>
      </w:r>
      <w:r>
        <w:rPr/>
        <w:t>If</w:t>
      </w:r>
      <w:r>
        <w:rPr>
          <w:spacing w:val="4"/>
        </w:rPr>
        <w:t> </w:t>
      </w:r>
      <w:r>
        <w:rPr/>
        <w:t>the</w:t>
      </w:r>
      <w:r>
        <w:rPr>
          <w:spacing w:val="5"/>
        </w:rPr>
        <w:t> </w:t>
      </w:r>
      <w:r>
        <w:rPr/>
        <w:t>initial</w:t>
      </w:r>
      <w:r>
        <w:rPr>
          <w:spacing w:val="4"/>
        </w:rPr>
        <w:t> </w:t>
      </w:r>
      <w:r>
        <w:rPr/>
        <w:t>balance</w:t>
      </w:r>
      <w:r>
        <w:rPr>
          <w:spacing w:val="5"/>
        </w:rPr>
        <w:t> </w:t>
      </w:r>
      <w:r>
        <w:rPr/>
        <w:t>has</w:t>
      </w:r>
      <w:r>
        <w:rPr>
          <w:spacing w:val="5"/>
        </w:rPr>
        <w:t> </w:t>
      </w:r>
      <w:r>
        <w:rPr>
          <w:spacing w:val="-10"/>
        </w:rPr>
        <w:t>a</w:t>
      </w:r>
    </w:p>
    <w:p>
      <w:pPr>
        <w:spacing w:after="0"/>
        <w:jc w:val="both"/>
        <w:sectPr>
          <w:pgSz w:w="8640" w:h="12960"/>
          <w:pgMar w:header="579" w:footer="1060" w:top="760" w:bottom="1260" w:left="580" w:right="580"/>
        </w:sectPr>
      </w:pPr>
    </w:p>
    <w:p>
      <w:pPr>
        <w:pStyle w:val="BodyText"/>
        <w:spacing w:before="3"/>
      </w:pPr>
    </w:p>
    <w:p>
      <w:pPr>
        <w:pStyle w:val="BodyText"/>
        <w:spacing w:before="64" w:after="3"/>
        <w:ind w:left="500" w:right="136"/>
        <w:jc w:val="both"/>
      </w:pPr>
      <w:r>
        <w:rPr/>
        <w:t>wide enough width, you are likely to see trading range behavior within the high and low of the first sixty minutes of the day. Remember, the goal of the market is to identify price levels that easily facilitate trade. After the first sixty minutes have passed, the highest and lowest prices that the market will bear have been set (initial balance high and initial balance low), which then allows market participants to volley price back and forth within these extremes, which is especially the case during a Trading Range Day. If the initial balance coincides with key pivot levels, you have highly confirmed support and resistance levels that offer great opportunities for short-term bounces, as was the case in Figure 6.21.</w:t>
      </w:r>
    </w:p>
    <w:p>
      <w:pPr>
        <w:pStyle w:val="BodyText"/>
        <w:ind w:left="500"/>
        <w:rPr>
          <w:sz w:val="20"/>
        </w:rPr>
      </w:pPr>
      <w:r>
        <w:rPr>
          <w:sz w:val="20"/>
        </w:rPr>
        <w:drawing>
          <wp:inline distT="0" distB="0" distL="0" distR="0">
            <wp:extent cx="4343034" cy="3129057"/>
            <wp:effectExtent l="0" t="0" r="0" b="0"/>
            <wp:docPr id="179" name="image91.png"/>
            <wp:cNvGraphicFramePr>
              <a:graphicFrameLocks noChangeAspect="1"/>
            </wp:cNvGraphicFramePr>
            <a:graphic>
              <a:graphicData uri="http://schemas.openxmlformats.org/drawingml/2006/picture">
                <pic:pic>
                  <pic:nvPicPr>
                    <pic:cNvPr id="180" name="image91.png"/>
                    <pic:cNvPicPr/>
                  </pic:nvPicPr>
                  <pic:blipFill>
                    <a:blip r:embed="rId200" cstate="print"/>
                    <a:stretch>
                      <a:fillRect/>
                    </a:stretch>
                  </pic:blipFill>
                  <pic:spPr>
                    <a:xfrm>
                      <a:off x="0" y="0"/>
                      <a:ext cx="4343034" cy="3129057"/>
                    </a:xfrm>
                    <a:prstGeom prst="rect">
                      <a:avLst/>
                    </a:prstGeom>
                  </pic:spPr>
                </pic:pic>
              </a:graphicData>
            </a:graphic>
          </wp:inline>
        </w:drawing>
      </w:r>
      <w:r>
        <w:rPr>
          <w:sz w:val="20"/>
        </w:rPr>
      </w:r>
    </w:p>
    <w:p>
      <w:pPr>
        <w:spacing w:before="0"/>
        <w:ind w:left="500" w:right="0" w:firstLine="0"/>
        <w:jc w:val="both"/>
        <w:rPr>
          <w:sz w:val="16"/>
        </w:rPr>
      </w:pPr>
      <w:r>
        <w:rPr>
          <w:sz w:val="16"/>
        </w:rPr>
        <w:t>FIGURE</w:t>
      </w:r>
      <w:r>
        <w:rPr>
          <w:spacing w:val="-1"/>
          <w:sz w:val="16"/>
        </w:rPr>
        <w:t> </w:t>
      </w:r>
      <w:r>
        <w:rPr>
          <w:sz w:val="16"/>
        </w:rPr>
        <w:t>6.21: A</w:t>
      </w:r>
      <w:r>
        <w:rPr>
          <w:spacing w:val="3"/>
          <w:sz w:val="16"/>
        </w:rPr>
        <w:t> </w:t>
      </w:r>
      <w:r>
        <w:rPr>
          <w:sz w:val="16"/>
        </w:rPr>
        <w:t>wide</w:t>
      </w:r>
      <w:r>
        <w:rPr>
          <w:spacing w:val="-1"/>
          <w:sz w:val="16"/>
        </w:rPr>
        <w:t> </w:t>
      </w:r>
      <w:r>
        <w:rPr>
          <w:sz w:val="16"/>
        </w:rPr>
        <w:t>pivot range leads</w:t>
      </w:r>
      <w:r>
        <w:rPr>
          <w:spacing w:val="-1"/>
          <w:sz w:val="16"/>
        </w:rPr>
        <w:t> </w:t>
      </w:r>
      <w:r>
        <w:rPr>
          <w:sz w:val="16"/>
        </w:rPr>
        <w:t>to trading range activity</w:t>
      </w:r>
      <w:r>
        <w:rPr>
          <w:spacing w:val="-1"/>
          <w:sz w:val="16"/>
        </w:rPr>
        <w:t> </w:t>
      </w:r>
      <w:r>
        <w:rPr>
          <w:sz w:val="16"/>
        </w:rPr>
        <w:t>in</w:t>
      </w:r>
      <w:r>
        <w:rPr>
          <w:spacing w:val="1"/>
          <w:sz w:val="16"/>
        </w:rPr>
        <w:t> </w:t>
      </w:r>
      <w:r>
        <w:rPr>
          <w:sz w:val="16"/>
        </w:rPr>
        <w:t>Natural Gas </w:t>
      </w:r>
      <w:r>
        <w:rPr>
          <w:spacing w:val="-2"/>
          <w:sz w:val="16"/>
        </w:rPr>
        <w:t>futures.</w:t>
      </w:r>
    </w:p>
    <w:p>
      <w:pPr>
        <w:pStyle w:val="BodyText"/>
        <w:spacing w:before="9"/>
        <w:rPr>
          <w:sz w:val="21"/>
        </w:rPr>
      </w:pPr>
    </w:p>
    <w:p>
      <w:pPr>
        <w:pStyle w:val="BodyText"/>
        <w:ind w:left="499" w:right="136" w:firstLine="432"/>
        <w:jc w:val="both"/>
      </w:pPr>
      <w:r>
        <w:rPr/>
        <w:t>Oftentimes there can be a nice alternating pattern between days with unusually wide and narrow centrals. If the market consolidates, then tight centrals and a big move are likely to follow. After the big move occurs,</w:t>
      </w:r>
      <w:r>
        <w:rPr>
          <w:spacing w:val="80"/>
        </w:rPr>
        <w:t> </w:t>
      </w:r>
      <w:r>
        <w:rPr/>
        <w:t>wider centrals and lower volatility prevail, which again leads to tight centrals and a big move. And so the pattern continues. Figure 6.22 illustrates this recurring pattern perfectly. Whirlpool Corporation traded in a sideways pattern with wide centrals on March 17, which led to tighter centrals and a</w:t>
      </w:r>
      <w:r>
        <w:rPr>
          <w:spacing w:val="40"/>
        </w:rPr>
        <w:t> </w:t>
      </w:r>
      <w:r>
        <w:rPr/>
        <w:t>big</w:t>
      </w:r>
      <w:r>
        <w:rPr>
          <w:spacing w:val="-1"/>
        </w:rPr>
        <w:t> </w:t>
      </w:r>
      <w:r>
        <w:rPr/>
        <w:t>rally</w:t>
      </w:r>
      <w:r>
        <w:rPr>
          <w:spacing w:val="-1"/>
        </w:rPr>
        <w:t> </w:t>
      </w:r>
      <w:r>
        <w:rPr/>
        <w:t>on</w:t>
      </w:r>
      <w:r>
        <w:rPr>
          <w:spacing w:val="-2"/>
        </w:rPr>
        <w:t> </w:t>
      </w:r>
      <w:r>
        <w:rPr/>
        <w:t>March</w:t>
      </w:r>
      <w:r>
        <w:rPr>
          <w:spacing w:val="-1"/>
        </w:rPr>
        <w:t> </w:t>
      </w:r>
      <w:r>
        <w:rPr/>
        <w:t>18.</w:t>
      </w:r>
      <w:r>
        <w:rPr>
          <w:spacing w:val="-1"/>
        </w:rPr>
        <w:t> </w:t>
      </w:r>
      <w:r>
        <w:rPr/>
        <w:t>The</w:t>
      </w:r>
      <w:r>
        <w:rPr>
          <w:spacing w:val="-1"/>
        </w:rPr>
        <w:t> </w:t>
      </w:r>
      <w:r>
        <w:rPr/>
        <w:t>rally</w:t>
      </w:r>
      <w:r>
        <w:rPr>
          <w:spacing w:val="-1"/>
        </w:rPr>
        <w:t> </w:t>
      </w:r>
      <w:r>
        <w:rPr/>
        <w:t>then</w:t>
      </w:r>
      <w:r>
        <w:rPr>
          <w:spacing w:val="-1"/>
        </w:rPr>
        <w:t> </w:t>
      </w:r>
      <w:r>
        <w:rPr/>
        <w:t>led</w:t>
      </w:r>
      <w:r>
        <w:rPr>
          <w:spacing w:val="-1"/>
        </w:rPr>
        <w:t> </w:t>
      </w:r>
      <w:r>
        <w:rPr/>
        <w:t>to</w:t>
      </w:r>
      <w:r>
        <w:rPr>
          <w:spacing w:val="-1"/>
        </w:rPr>
        <w:t> </w:t>
      </w:r>
      <w:r>
        <w:rPr/>
        <w:t>wide</w:t>
      </w:r>
      <w:r>
        <w:rPr>
          <w:spacing w:val="-1"/>
        </w:rPr>
        <w:t> </w:t>
      </w:r>
      <w:r>
        <w:rPr/>
        <w:t>centrals</w:t>
      </w:r>
      <w:r>
        <w:rPr>
          <w:spacing w:val="-1"/>
        </w:rPr>
        <w:t> </w:t>
      </w:r>
      <w:r>
        <w:rPr/>
        <w:t>and</w:t>
      </w:r>
      <w:r>
        <w:rPr>
          <w:spacing w:val="-1"/>
        </w:rPr>
        <w:t> </w:t>
      </w:r>
      <w:r>
        <w:rPr/>
        <w:t>another</w:t>
      </w:r>
      <w:r>
        <w:rPr>
          <w:spacing w:val="-1"/>
        </w:rPr>
        <w:t> </w:t>
      </w:r>
      <w:r>
        <w:rPr/>
        <w:t>dose</w:t>
      </w:r>
      <w:r>
        <w:rPr>
          <w:spacing w:val="-1"/>
        </w:rPr>
        <w:t> </w:t>
      </w:r>
      <w:r>
        <w:rPr/>
        <w:t>of low</w:t>
      </w:r>
      <w:r>
        <w:rPr>
          <w:spacing w:val="31"/>
        </w:rPr>
        <w:t> </w:t>
      </w:r>
      <w:r>
        <w:rPr/>
        <w:t>volatility</w:t>
      </w:r>
      <w:r>
        <w:rPr>
          <w:spacing w:val="31"/>
        </w:rPr>
        <w:t> </w:t>
      </w:r>
      <w:r>
        <w:rPr/>
        <w:t>on</w:t>
      </w:r>
      <w:r>
        <w:rPr>
          <w:spacing w:val="32"/>
        </w:rPr>
        <w:t> </w:t>
      </w:r>
      <w:r>
        <w:rPr/>
        <w:t>March</w:t>
      </w:r>
      <w:r>
        <w:rPr>
          <w:spacing w:val="33"/>
        </w:rPr>
        <w:t> </w:t>
      </w:r>
      <w:r>
        <w:rPr/>
        <w:t>19,</w:t>
      </w:r>
      <w:r>
        <w:rPr>
          <w:spacing w:val="32"/>
        </w:rPr>
        <w:t> </w:t>
      </w:r>
      <w:r>
        <w:rPr/>
        <w:t>which</w:t>
      </w:r>
      <w:r>
        <w:rPr>
          <w:spacing w:val="32"/>
        </w:rPr>
        <w:t> </w:t>
      </w:r>
      <w:r>
        <w:rPr/>
        <w:t>led</w:t>
      </w:r>
      <w:r>
        <w:rPr>
          <w:spacing w:val="32"/>
        </w:rPr>
        <w:t> </w:t>
      </w:r>
      <w:r>
        <w:rPr/>
        <w:t>to</w:t>
      </w:r>
      <w:r>
        <w:rPr>
          <w:spacing w:val="32"/>
        </w:rPr>
        <w:t> </w:t>
      </w:r>
      <w:r>
        <w:rPr/>
        <w:t>tight</w:t>
      </w:r>
      <w:r>
        <w:rPr>
          <w:spacing w:val="32"/>
        </w:rPr>
        <w:t> </w:t>
      </w:r>
      <w:r>
        <w:rPr/>
        <w:t>centrals</w:t>
      </w:r>
      <w:r>
        <w:rPr>
          <w:spacing w:val="31"/>
        </w:rPr>
        <w:t> </w:t>
      </w:r>
      <w:r>
        <w:rPr/>
        <w:t>and</w:t>
      </w:r>
      <w:r>
        <w:rPr>
          <w:spacing w:val="34"/>
        </w:rPr>
        <w:t> </w:t>
      </w:r>
      <w:r>
        <w:rPr/>
        <w:t>a</w:t>
      </w:r>
      <w:r>
        <w:rPr>
          <w:spacing w:val="32"/>
        </w:rPr>
        <w:t> </w:t>
      </w:r>
      <w:r>
        <w:rPr/>
        <w:t>breakout</w:t>
      </w:r>
      <w:r>
        <w:rPr>
          <w:spacing w:val="32"/>
        </w:rPr>
        <w:t> </w:t>
      </w:r>
      <w:r>
        <w:rPr>
          <w:spacing w:val="-5"/>
        </w:rPr>
        <w:t>on</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pPr>
      <w:r>
        <w:rPr/>
        <w:t>March</w:t>
      </w:r>
      <w:r>
        <w:rPr>
          <w:spacing w:val="-2"/>
        </w:rPr>
        <w:t> </w:t>
      </w:r>
      <w:r>
        <w:rPr/>
        <w:t>20.</w:t>
      </w:r>
      <w:r>
        <w:rPr>
          <w:spacing w:val="-2"/>
        </w:rPr>
        <w:t> </w:t>
      </w:r>
      <w:r>
        <w:rPr/>
        <w:t>This</w:t>
      </w:r>
      <w:r>
        <w:rPr>
          <w:spacing w:val="-2"/>
        </w:rPr>
        <w:t> </w:t>
      </w:r>
      <w:r>
        <w:rPr/>
        <w:t>pattern</w:t>
      </w:r>
      <w:r>
        <w:rPr>
          <w:spacing w:val="-2"/>
        </w:rPr>
        <w:t> </w:t>
      </w:r>
      <w:r>
        <w:rPr/>
        <w:t>occurs</w:t>
      </w:r>
      <w:r>
        <w:rPr>
          <w:spacing w:val="-2"/>
        </w:rPr>
        <w:t> </w:t>
      </w:r>
      <w:r>
        <w:rPr/>
        <w:t>time</w:t>
      </w:r>
      <w:r>
        <w:rPr>
          <w:spacing w:val="-2"/>
        </w:rPr>
        <w:t> </w:t>
      </w:r>
      <w:r>
        <w:rPr/>
        <w:t>and</w:t>
      </w:r>
      <w:r>
        <w:rPr>
          <w:spacing w:val="-2"/>
        </w:rPr>
        <w:t> </w:t>
      </w:r>
      <w:r>
        <w:rPr/>
        <w:t>again,</w:t>
      </w:r>
      <w:r>
        <w:rPr>
          <w:spacing w:val="-2"/>
        </w:rPr>
        <w:t> </w:t>
      </w:r>
      <w:r>
        <w:rPr/>
        <w:t>which</w:t>
      </w:r>
      <w:r>
        <w:rPr>
          <w:spacing w:val="-2"/>
        </w:rPr>
        <w:t> </w:t>
      </w:r>
      <w:r>
        <w:rPr/>
        <w:t>allows</w:t>
      </w:r>
      <w:r>
        <w:rPr>
          <w:spacing w:val="-2"/>
        </w:rPr>
        <w:t> </w:t>
      </w:r>
      <w:r>
        <w:rPr/>
        <w:t>you</w:t>
      </w:r>
      <w:r>
        <w:rPr>
          <w:spacing w:val="-2"/>
        </w:rPr>
        <w:t> </w:t>
      </w:r>
      <w:r>
        <w:rPr/>
        <w:t>to</w:t>
      </w:r>
      <w:r>
        <w:rPr>
          <w:spacing w:val="-3"/>
        </w:rPr>
        <w:t> </w:t>
      </w:r>
      <w:r>
        <w:rPr/>
        <w:t>prepare</w:t>
      </w:r>
      <w:r>
        <w:rPr>
          <w:spacing w:val="-2"/>
        </w:rPr>
        <w:t> </w:t>
      </w:r>
      <w:r>
        <w:rPr/>
        <w:t>in advance for big days with big profits, and quiet days with small ranges.</w:t>
      </w:r>
    </w:p>
    <w:p>
      <w:pPr>
        <w:pStyle w:val="BodyText"/>
        <w:spacing w:before="1"/>
        <w:rPr>
          <w:sz w:val="20"/>
        </w:rPr>
      </w:pPr>
      <w:r>
        <w:rPr/>
        <w:drawing>
          <wp:anchor distT="0" distB="0" distL="0" distR="0" allowOverlap="1" layoutInCell="1" locked="0" behindDoc="0" simplePos="0" relativeHeight="199">
            <wp:simplePos x="0" y="0"/>
            <wp:positionH relativeFrom="page">
              <wp:posOffset>457200</wp:posOffset>
            </wp:positionH>
            <wp:positionV relativeFrom="paragraph">
              <wp:posOffset>162196</wp:posOffset>
            </wp:positionV>
            <wp:extent cx="4342089" cy="3016377"/>
            <wp:effectExtent l="0" t="0" r="0" b="0"/>
            <wp:wrapTopAndBottom/>
            <wp:docPr id="181" name="image92.png"/>
            <wp:cNvGraphicFramePr>
              <a:graphicFrameLocks noChangeAspect="1"/>
            </wp:cNvGraphicFramePr>
            <a:graphic>
              <a:graphicData uri="http://schemas.openxmlformats.org/drawingml/2006/picture">
                <pic:pic>
                  <pic:nvPicPr>
                    <pic:cNvPr id="182" name="image92.png"/>
                    <pic:cNvPicPr/>
                  </pic:nvPicPr>
                  <pic:blipFill>
                    <a:blip r:embed="rId201" cstate="print"/>
                    <a:stretch>
                      <a:fillRect/>
                    </a:stretch>
                  </pic:blipFill>
                  <pic:spPr>
                    <a:xfrm>
                      <a:off x="0" y="0"/>
                      <a:ext cx="4342089" cy="3016377"/>
                    </a:xfrm>
                    <a:prstGeom prst="rect">
                      <a:avLst/>
                    </a:prstGeom>
                  </pic:spPr>
                </pic:pic>
              </a:graphicData>
            </a:graphic>
          </wp:anchor>
        </w:drawing>
      </w:r>
    </w:p>
    <w:p>
      <w:pPr>
        <w:spacing w:before="0"/>
        <w:ind w:left="140" w:right="0" w:firstLine="0"/>
        <w:jc w:val="left"/>
        <w:rPr>
          <w:sz w:val="16"/>
        </w:rPr>
      </w:pPr>
      <w:r>
        <w:rPr>
          <w:sz w:val="16"/>
        </w:rPr>
        <w:t>FIGURE</w:t>
      </w:r>
      <w:r>
        <w:rPr>
          <w:spacing w:val="4"/>
          <w:sz w:val="16"/>
        </w:rPr>
        <w:t> </w:t>
      </w:r>
      <w:r>
        <w:rPr>
          <w:sz w:val="16"/>
        </w:rPr>
        <w:t>6.22:</w:t>
      </w:r>
      <w:r>
        <w:rPr>
          <w:spacing w:val="5"/>
          <w:sz w:val="16"/>
        </w:rPr>
        <w:t> </w:t>
      </w:r>
      <w:r>
        <w:rPr>
          <w:sz w:val="16"/>
        </w:rPr>
        <w:t>Pivot</w:t>
      </w:r>
      <w:r>
        <w:rPr>
          <w:spacing w:val="5"/>
          <w:sz w:val="16"/>
        </w:rPr>
        <w:t> </w:t>
      </w:r>
      <w:r>
        <w:rPr>
          <w:sz w:val="16"/>
        </w:rPr>
        <w:t>width</w:t>
      </w:r>
      <w:r>
        <w:rPr>
          <w:spacing w:val="4"/>
          <w:sz w:val="16"/>
        </w:rPr>
        <w:t> </w:t>
      </w:r>
      <w:r>
        <w:rPr>
          <w:sz w:val="16"/>
        </w:rPr>
        <w:t>can</w:t>
      </w:r>
      <w:r>
        <w:rPr>
          <w:spacing w:val="5"/>
          <w:sz w:val="16"/>
        </w:rPr>
        <w:t> </w:t>
      </w:r>
      <w:r>
        <w:rPr>
          <w:sz w:val="16"/>
        </w:rPr>
        <w:t>have</w:t>
      </w:r>
      <w:r>
        <w:rPr>
          <w:spacing w:val="5"/>
          <w:sz w:val="16"/>
        </w:rPr>
        <w:t> </w:t>
      </w:r>
      <w:r>
        <w:rPr>
          <w:sz w:val="16"/>
        </w:rPr>
        <w:t>an</w:t>
      </w:r>
      <w:r>
        <w:rPr>
          <w:spacing w:val="5"/>
          <w:sz w:val="16"/>
        </w:rPr>
        <w:t> </w:t>
      </w:r>
      <w:r>
        <w:rPr>
          <w:sz w:val="16"/>
        </w:rPr>
        <w:t>alternating</w:t>
      </w:r>
      <w:r>
        <w:rPr>
          <w:spacing w:val="4"/>
          <w:sz w:val="16"/>
        </w:rPr>
        <w:t> </w:t>
      </w:r>
      <w:r>
        <w:rPr>
          <w:spacing w:val="-2"/>
          <w:sz w:val="16"/>
        </w:rPr>
        <w:t>behavior.</w:t>
      </w:r>
    </w:p>
    <w:p>
      <w:pPr>
        <w:pStyle w:val="BodyText"/>
        <w:spacing w:before="9"/>
        <w:rPr>
          <w:sz w:val="21"/>
        </w:rPr>
      </w:pPr>
    </w:p>
    <w:p>
      <w:pPr>
        <w:pStyle w:val="BodyText"/>
        <w:ind w:left="140" w:right="495" w:firstLine="432"/>
        <w:jc w:val="both"/>
      </w:pPr>
      <w:r>
        <w:rPr/>
        <w:t>As a matter of fact, the pivot range can be so predictable at times that I can remove all traces of price activity from the chart, leaving only</w:t>
      </w:r>
      <w:r>
        <w:rPr>
          <w:spacing w:val="-1"/>
        </w:rPr>
        <w:t> </w:t>
      </w:r>
      <w:r>
        <w:rPr/>
        <w:t>the central pivot range, and you should be able to tell me what the market did on certain days; or at the very least, what the market was </w:t>
      </w:r>
      <w:r>
        <w:rPr>
          <w:i/>
        </w:rPr>
        <w:t>likely </w:t>
      </w:r>
      <w:r>
        <w:rPr/>
        <w:t>to do on certain days. Figure</w:t>
      </w:r>
      <w:r>
        <w:rPr>
          <w:spacing w:val="-1"/>
        </w:rPr>
        <w:t> </w:t>
      </w:r>
      <w:r>
        <w:rPr/>
        <w:t>6.23</w:t>
      </w:r>
      <w:r>
        <w:rPr>
          <w:spacing w:val="-1"/>
        </w:rPr>
        <w:t> </w:t>
      </w:r>
      <w:r>
        <w:rPr/>
        <w:t>shows</w:t>
      </w:r>
      <w:r>
        <w:rPr>
          <w:spacing w:val="-1"/>
        </w:rPr>
        <w:t> </w:t>
      </w:r>
      <w:r>
        <w:rPr/>
        <w:t>the</w:t>
      </w:r>
      <w:r>
        <w:rPr>
          <w:spacing w:val="-1"/>
        </w:rPr>
        <w:t> </w:t>
      </w:r>
      <w:r>
        <w:rPr/>
        <w:t>central</w:t>
      </w:r>
      <w:r>
        <w:rPr>
          <w:spacing w:val="-1"/>
        </w:rPr>
        <w:t> </w:t>
      </w:r>
      <w:r>
        <w:rPr/>
        <w:t>pivot</w:t>
      </w:r>
      <w:r>
        <w:rPr>
          <w:spacing w:val="-1"/>
        </w:rPr>
        <w:t> </w:t>
      </w:r>
      <w:r>
        <w:rPr/>
        <w:t>ranges</w:t>
      </w:r>
      <w:r>
        <w:rPr>
          <w:spacing w:val="-1"/>
        </w:rPr>
        <w:t> </w:t>
      </w:r>
      <w:r>
        <w:rPr/>
        <w:t>for</w:t>
      </w:r>
      <w:r>
        <w:rPr>
          <w:spacing w:val="-1"/>
        </w:rPr>
        <w:t> </w:t>
      </w:r>
      <w:r>
        <w:rPr/>
        <w:t>the</w:t>
      </w:r>
      <w:r>
        <w:rPr>
          <w:spacing w:val="-1"/>
        </w:rPr>
        <w:t> </w:t>
      </w:r>
      <w:r>
        <w:rPr/>
        <w:t>same</w:t>
      </w:r>
      <w:r>
        <w:rPr>
          <w:spacing w:val="-1"/>
        </w:rPr>
        <w:t> </w:t>
      </w:r>
      <w:r>
        <w:rPr/>
        <w:t>Whirlpool</w:t>
      </w:r>
      <w:r>
        <w:rPr>
          <w:spacing w:val="-1"/>
        </w:rPr>
        <w:t> </w:t>
      </w:r>
      <w:r>
        <w:rPr/>
        <w:t>chart</w:t>
      </w:r>
      <w:r>
        <w:rPr>
          <w:spacing w:val="-1"/>
        </w:rPr>
        <w:t> </w:t>
      </w:r>
      <w:r>
        <w:rPr/>
        <w:t>from above, but with the price bars removed from view. Using this technique, you can clearly see the differences in width for all four sessions. Clearly, the market was going to have a greater propensity to trade sideways on the first and third days, while having an increased likelihood of trending on the second and fourth sessions. Understanding this dynamic allows you to anticipate potential price behavior well in advance, allowing you to deploy the right setups that are geared for specific day types.</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234524" cy="2762916"/>
            <wp:effectExtent l="0" t="0" r="0" b="0"/>
            <wp:docPr id="183" name="image93.png"/>
            <wp:cNvGraphicFramePr>
              <a:graphicFrameLocks noChangeAspect="1"/>
            </wp:cNvGraphicFramePr>
            <a:graphic>
              <a:graphicData uri="http://schemas.openxmlformats.org/drawingml/2006/picture">
                <pic:pic>
                  <pic:nvPicPr>
                    <pic:cNvPr id="184" name="image93.png"/>
                    <pic:cNvPicPr/>
                  </pic:nvPicPr>
                  <pic:blipFill>
                    <a:blip r:embed="rId202" cstate="print"/>
                    <a:stretch>
                      <a:fillRect/>
                    </a:stretch>
                  </pic:blipFill>
                  <pic:spPr>
                    <a:xfrm>
                      <a:off x="0" y="0"/>
                      <a:ext cx="4234524" cy="2762916"/>
                    </a:xfrm>
                    <a:prstGeom prst="rect">
                      <a:avLst/>
                    </a:prstGeom>
                  </pic:spPr>
                </pic:pic>
              </a:graphicData>
            </a:graphic>
          </wp:inline>
        </w:drawing>
      </w:r>
      <w:r>
        <w:rPr>
          <w:sz w:val="20"/>
        </w:rPr>
      </w:r>
    </w:p>
    <w:p>
      <w:pPr>
        <w:spacing w:before="39"/>
        <w:ind w:left="500" w:right="0" w:firstLine="0"/>
        <w:jc w:val="left"/>
        <w:rPr>
          <w:sz w:val="16"/>
        </w:rPr>
      </w:pPr>
      <w:r>
        <w:rPr>
          <w:sz w:val="16"/>
        </w:rPr>
        <w:t>FIGURE</w:t>
      </w:r>
      <w:r>
        <w:rPr>
          <w:spacing w:val="2"/>
          <w:sz w:val="16"/>
        </w:rPr>
        <w:t> </w:t>
      </w:r>
      <w:r>
        <w:rPr>
          <w:sz w:val="16"/>
        </w:rPr>
        <w:t>6.23:</w:t>
      </w:r>
      <w:r>
        <w:rPr>
          <w:spacing w:val="2"/>
          <w:sz w:val="16"/>
        </w:rPr>
        <w:t> </w:t>
      </w:r>
      <w:r>
        <w:rPr>
          <w:sz w:val="16"/>
        </w:rPr>
        <w:t>The</w:t>
      </w:r>
      <w:r>
        <w:rPr>
          <w:spacing w:val="2"/>
          <w:sz w:val="16"/>
        </w:rPr>
        <w:t> </w:t>
      </w:r>
      <w:r>
        <w:rPr>
          <w:sz w:val="16"/>
        </w:rPr>
        <w:t>pivot</w:t>
      </w:r>
      <w:r>
        <w:rPr>
          <w:spacing w:val="3"/>
          <w:sz w:val="16"/>
        </w:rPr>
        <w:t> </w:t>
      </w:r>
      <w:r>
        <w:rPr>
          <w:sz w:val="16"/>
        </w:rPr>
        <w:t>range</w:t>
      </w:r>
      <w:r>
        <w:rPr>
          <w:spacing w:val="2"/>
          <w:sz w:val="16"/>
        </w:rPr>
        <w:t> </w:t>
      </w:r>
      <w:r>
        <w:rPr>
          <w:sz w:val="16"/>
        </w:rPr>
        <w:t>allows</w:t>
      </w:r>
      <w:r>
        <w:rPr>
          <w:spacing w:val="2"/>
          <w:sz w:val="16"/>
        </w:rPr>
        <w:t> </w:t>
      </w:r>
      <w:r>
        <w:rPr>
          <w:sz w:val="16"/>
        </w:rPr>
        <w:t>you</w:t>
      </w:r>
      <w:r>
        <w:rPr>
          <w:spacing w:val="2"/>
          <w:sz w:val="16"/>
        </w:rPr>
        <w:t> </w:t>
      </w:r>
      <w:r>
        <w:rPr>
          <w:sz w:val="16"/>
        </w:rPr>
        <w:t>to</w:t>
      </w:r>
      <w:r>
        <w:rPr>
          <w:spacing w:val="3"/>
          <w:sz w:val="16"/>
        </w:rPr>
        <w:t> </w:t>
      </w:r>
      <w:r>
        <w:rPr>
          <w:sz w:val="16"/>
        </w:rPr>
        <w:t>guess</w:t>
      </w:r>
      <w:r>
        <w:rPr>
          <w:spacing w:val="3"/>
          <w:sz w:val="16"/>
        </w:rPr>
        <w:t> </w:t>
      </w:r>
      <w:r>
        <w:rPr>
          <w:sz w:val="16"/>
        </w:rPr>
        <w:t>market</w:t>
      </w:r>
      <w:r>
        <w:rPr>
          <w:spacing w:val="2"/>
          <w:sz w:val="16"/>
        </w:rPr>
        <w:t> </w:t>
      </w:r>
      <w:r>
        <w:rPr>
          <w:spacing w:val="-2"/>
          <w:sz w:val="16"/>
        </w:rPr>
        <w:t>behavior.</w:t>
      </w:r>
    </w:p>
    <w:p>
      <w:pPr>
        <w:pStyle w:val="BodyText"/>
        <w:spacing w:before="1"/>
      </w:pPr>
    </w:p>
    <w:p>
      <w:pPr>
        <w:pStyle w:val="BodyText"/>
        <w:spacing w:before="1"/>
        <w:ind w:left="500" w:right="135" w:firstLine="432"/>
        <w:jc w:val="both"/>
      </w:pPr>
      <w:r>
        <w:rPr/>
        <w:t>Pivot width analysis also helps with trade target expectations. Oftentimes, a trader may enter the market at an excellent entry point, but mishandles the trade management aspect of the position due to an overly aggressive target, or one that is not aggressive enough. For example, the market has a much better chance to reach pivots beyond the second layer of the Floor Pivots indicator if the central pivot range is unusually narrow due</w:t>
      </w:r>
      <w:r>
        <w:rPr>
          <w:spacing w:val="40"/>
        </w:rPr>
        <w:t> </w:t>
      </w:r>
      <w:r>
        <w:rPr/>
        <w:t>to a low-range trading day in the prior session. Therefore, if a trader has entered a long position off the central pivot point, but takes his profits at R1, he</w:t>
      </w:r>
      <w:r>
        <w:rPr>
          <w:spacing w:val="-2"/>
        </w:rPr>
        <w:t> </w:t>
      </w:r>
      <w:r>
        <w:rPr/>
        <w:t>is</w:t>
      </w:r>
      <w:r>
        <w:rPr>
          <w:spacing w:val="-2"/>
        </w:rPr>
        <w:t> </w:t>
      </w:r>
      <w:r>
        <w:rPr/>
        <w:t>potentially</w:t>
      </w:r>
      <w:r>
        <w:rPr>
          <w:spacing w:val="-4"/>
        </w:rPr>
        <w:t> </w:t>
      </w:r>
      <w:r>
        <w:rPr/>
        <w:t>leaving</w:t>
      </w:r>
      <w:r>
        <w:rPr>
          <w:spacing w:val="-2"/>
        </w:rPr>
        <w:t> </w:t>
      </w:r>
      <w:r>
        <w:rPr/>
        <w:t>a</w:t>
      </w:r>
      <w:r>
        <w:rPr>
          <w:spacing w:val="-2"/>
        </w:rPr>
        <w:t> </w:t>
      </w:r>
      <w:r>
        <w:rPr/>
        <w:t>ton</w:t>
      </w:r>
      <w:r>
        <w:rPr>
          <w:spacing w:val="-2"/>
        </w:rPr>
        <w:t> </w:t>
      </w:r>
      <w:r>
        <w:rPr/>
        <w:t>of</w:t>
      </w:r>
      <w:r>
        <w:rPr>
          <w:spacing w:val="-2"/>
        </w:rPr>
        <w:t> </w:t>
      </w:r>
      <w:r>
        <w:rPr/>
        <w:t>money</w:t>
      </w:r>
      <w:r>
        <w:rPr>
          <w:spacing w:val="-3"/>
        </w:rPr>
        <w:t> </w:t>
      </w:r>
      <w:r>
        <w:rPr/>
        <w:t>on</w:t>
      </w:r>
      <w:r>
        <w:rPr>
          <w:spacing w:val="-2"/>
        </w:rPr>
        <w:t> </w:t>
      </w:r>
      <w:r>
        <w:rPr/>
        <w:t>the</w:t>
      </w:r>
      <w:r>
        <w:rPr>
          <w:spacing w:val="-2"/>
        </w:rPr>
        <w:t> </w:t>
      </w:r>
      <w:r>
        <w:rPr/>
        <w:t>table,</w:t>
      </w:r>
      <w:r>
        <w:rPr>
          <w:spacing w:val="-4"/>
        </w:rPr>
        <w:t> </w:t>
      </w:r>
      <w:r>
        <w:rPr/>
        <w:t>as</w:t>
      </w:r>
      <w:r>
        <w:rPr>
          <w:spacing w:val="-2"/>
        </w:rPr>
        <w:t> </w:t>
      </w:r>
      <w:r>
        <w:rPr/>
        <w:t>the</w:t>
      </w:r>
      <w:r>
        <w:rPr>
          <w:spacing w:val="-1"/>
        </w:rPr>
        <w:t> </w:t>
      </w:r>
      <w:r>
        <w:rPr/>
        <w:t>market</w:t>
      </w:r>
      <w:r>
        <w:rPr>
          <w:spacing w:val="-1"/>
        </w:rPr>
        <w:t> </w:t>
      </w:r>
      <w:r>
        <w:rPr/>
        <w:t>is</w:t>
      </w:r>
      <w:r>
        <w:rPr>
          <w:spacing w:val="-2"/>
        </w:rPr>
        <w:t> </w:t>
      </w:r>
      <w:r>
        <w:rPr/>
        <w:t>likely</w:t>
      </w:r>
      <w:r>
        <w:rPr>
          <w:spacing w:val="-2"/>
        </w:rPr>
        <w:t> </w:t>
      </w:r>
      <w:r>
        <w:rPr/>
        <w:t>to push</w:t>
      </w:r>
      <w:r>
        <w:rPr>
          <w:spacing w:val="-2"/>
        </w:rPr>
        <w:t> </w:t>
      </w:r>
      <w:r>
        <w:rPr/>
        <w:t>to</w:t>
      </w:r>
      <w:r>
        <w:rPr>
          <w:spacing w:val="-3"/>
        </w:rPr>
        <w:t> </w:t>
      </w:r>
      <w:r>
        <w:rPr/>
        <w:t>R2,</w:t>
      </w:r>
      <w:r>
        <w:rPr>
          <w:spacing w:val="-3"/>
        </w:rPr>
        <w:t> </w:t>
      </w:r>
      <w:r>
        <w:rPr/>
        <w:t>or</w:t>
      </w:r>
      <w:r>
        <w:rPr>
          <w:spacing w:val="-2"/>
        </w:rPr>
        <w:t> </w:t>
      </w:r>
      <w:r>
        <w:rPr/>
        <w:t>beyond,</w:t>
      </w:r>
      <w:r>
        <w:rPr>
          <w:spacing w:val="-2"/>
        </w:rPr>
        <w:t> </w:t>
      </w:r>
      <w:r>
        <w:rPr/>
        <w:t>on</w:t>
      </w:r>
      <w:r>
        <w:rPr>
          <w:spacing w:val="-2"/>
        </w:rPr>
        <w:t> </w:t>
      </w:r>
      <w:r>
        <w:rPr/>
        <w:t>this</w:t>
      </w:r>
      <w:r>
        <w:rPr>
          <w:spacing w:val="-2"/>
        </w:rPr>
        <w:t> </w:t>
      </w:r>
      <w:r>
        <w:rPr/>
        <w:t>type</w:t>
      </w:r>
      <w:r>
        <w:rPr>
          <w:spacing w:val="-2"/>
        </w:rPr>
        <w:t> </w:t>
      </w:r>
      <w:r>
        <w:rPr/>
        <w:t>of</w:t>
      </w:r>
      <w:r>
        <w:rPr>
          <w:spacing w:val="-3"/>
        </w:rPr>
        <w:t> </w:t>
      </w:r>
      <w:r>
        <w:rPr/>
        <w:t>day.</w:t>
      </w:r>
      <w:r>
        <w:rPr>
          <w:spacing w:val="-2"/>
        </w:rPr>
        <w:t> </w:t>
      </w:r>
      <w:r>
        <w:rPr/>
        <w:t>Conversely,</w:t>
      </w:r>
      <w:r>
        <w:rPr>
          <w:spacing w:val="-2"/>
        </w:rPr>
        <w:t> </w:t>
      </w:r>
      <w:r>
        <w:rPr/>
        <w:t>a</w:t>
      </w:r>
      <w:r>
        <w:rPr>
          <w:spacing w:val="-2"/>
        </w:rPr>
        <w:t> </w:t>
      </w:r>
      <w:r>
        <w:rPr/>
        <w:t>market</w:t>
      </w:r>
      <w:r>
        <w:rPr>
          <w:spacing w:val="-2"/>
        </w:rPr>
        <w:t> </w:t>
      </w:r>
      <w:r>
        <w:rPr/>
        <w:t>is</w:t>
      </w:r>
      <w:r>
        <w:rPr>
          <w:spacing w:val="-2"/>
        </w:rPr>
        <w:t> </w:t>
      </w:r>
      <w:r>
        <w:rPr/>
        <w:t>less</w:t>
      </w:r>
      <w:r>
        <w:rPr>
          <w:spacing w:val="-2"/>
        </w:rPr>
        <w:t> </w:t>
      </w:r>
      <w:r>
        <w:rPr/>
        <w:t>likely to reach pivots beyond the second layer of the indicator if the central pivot range is unusually wide due to a high-range trading day in the prior session. Therefore, if a trader enters a long position off the central pivot point and looks to take profits at R4 resistance, he is doing himself a disservice, as</w:t>
      </w:r>
      <w:r>
        <w:rPr>
          <w:spacing w:val="40"/>
        </w:rPr>
        <w:t> </w:t>
      </w:r>
      <w:r>
        <w:rPr/>
        <w:t>price is not very likely to reach this target on this particular day due to the wide-set pivots. Instead, he should moderate his expectations and shoot for R1 as the target.</w:t>
      </w:r>
    </w:p>
    <w:p>
      <w:pPr>
        <w:pStyle w:val="BodyText"/>
        <w:ind w:left="500" w:right="135" w:firstLine="432"/>
        <w:jc w:val="both"/>
      </w:pPr>
      <w:r>
        <w:rPr/>
        <w:t>Being a trader means being prepared and anticipating</w:t>
      </w:r>
      <w:r>
        <w:rPr>
          <w:spacing w:val="-1"/>
        </w:rPr>
        <w:t> </w:t>
      </w:r>
      <w:r>
        <w:rPr/>
        <w:t>what the market is </w:t>
      </w:r>
      <w:r>
        <w:rPr>
          <w:i/>
        </w:rPr>
        <w:t>likely </w:t>
      </w:r>
      <w:r>
        <w:rPr/>
        <w:t>to do. Any edge that you can capture that helps you toward this end is one that you should consider. By knowing in advance that the market may</w:t>
      </w:r>
      <w:r>
        <w:rPr>
          <w:spacing w:val="40"/>
        </w:rPr>
        <w:t> </w:t>
      </w:r>
      <w:r>
        <w:rPr/>
        <w:t>not move on a given day, or may move tremendously, you are allowing yourself to allocate your capital appropriately and judiciously.</w:t>
      </w:r>
    </w:p>
    <w:p>
      <w:pPr>
        <w:spacing w:after="0"/>
        <w:jc w:val="both"/>
        <w:sectPr>
          <w:pgSz w:w="8640" w:h="12960"/>
          <w:pgMar w:header="536" w:footer="1060" w:top="720" w:bottom="1260" w:left="580" w:right="580"/>
        </w:sectPr>
      </w:pPr>
    </w:p>
    <w:p>
      <w:pPr>
        <w:pStyle w:val="BodyText"/>
        <w:spacing w:before="1"/>
        <w:rPr>
          <w:sz w:val="14"/>
        </w:rPr>
      </w:pPr>
    </w:p>
    <w:p>
      <w:pPr>
        <w:pStyle w:val="Heading3"/>
        <w:tabs>
          <w:tab w:pos="6964" w:val="left" w:leader="none"/>
        </w:tabs>
        <w:spacing w:before="113"/>
      </w:pPr>
      <w:bookmarkStart w:name="_TOC_250037" w:id="54"/>
      <w:r>
        <w:rPr>
          <w:smallCaps/>
          <w:u w:val="single"/>
        </w:rPr>
        <w:t>The</w:t>
      </w:r>
      <w:r>
        <w:rPr>
          <w:smallCaps/>
          <w:spacing w:val="-9"/>
          <w:u w:val="single"/>
        </w:rPr>
        <w:t> </w:t>
      </w:r>
      <w:r>
        <w:rPr>
          <w:smallCaps/>
          <w:u w:val="single"/>
        </w:rPr>
        <w:t>Pivot</w:t>
      </w:r>
      <w:r>
        <w:rPr>
          <w:smallCaps/>
          <w:spacing w:val="-9"/>
          <w:u w:val="single"/>
        </w:rPr>
        <w:t> </w:t>
      </w:r>
      <w:r>
        <w:rPr>
          <w:smallCaps/>
          <w:u w:val="single"/>
        </w:rPr>
        <w:t>Range</w:t>
      </w:r>
      <w:r>
        <w:rPr>
          <w:smallCaps/>
          <w:spacing w:val="-8"/>
          <w:u w:val="single"/>
        </w:rPr>
        <w:t> </w:t>
      </w:r>
      <w:r>
        <w:rPr>
          <w:smallCaps/>
          <w:spacing w:val="-2"/>
          <w:u w:val="single"/>
        </w:rPr>
        <w:t>Histogram</w:t>
      </w:r>
      <w:bookmarkEnd w:id="54"/>
      <w:r>
        <w:rPr>
          <w:smallCaps/>
          <w:u w:val="single"/>
        </w:rPr>
        <w:tab/>
      </w:r>
    </w:p>
    <w:p>
      <w:pPr>
        <w:pStyle w:val="BodyText"/>
        <w:spacing w:before="254"/>
        <w:ind w:left="139" w:right="495" w:firstLine="432"/>
        <w:jc w:val="both"/>
      </w:pPr>
      <w:r>
        <w:rPr/>
        <w:t>While the developing pivot range indicator allows you to analyze the pivot range for the upcoming session visually, it still has a slightly subjective nature to it when judging the width of the pivot range. That is, how do you measure</w:t>
      </w:r>
      <w:r>
        <w:rPr>
          <w:spacing w:val="-2"/>
        </w:rPr>
        <w:t> </w:t>
      </w:r>
      <w:r>
        <w:rPr/>
        <w:t>whether</w:t>
      </w:r>
      <w:r>
        <w:rPr>
          <w:spacing w:val="-2"/>
        </w:rPr>
        <w:t> </w:t>
      </w:r>
      <w:r>
        <w:rPr/>
        <w:t>the</w:t>
      </w:r>
      <w:r>
        <w:rPr>
          <w:spacing w:val="-2"/>
        </w:rPr>
        <w:t> </w:t>
      </w:r>
      <w:r>
        <w:rPr/>
        <w:t>pivot</w:t>
      </w:r>
      <w:r>
        <w:rPr>
          <w:spacing w:val="-3"/>
        </w:rPr>
        <w:t> </w:t>
      </w:r>
      <w:r>
        <w:rPr/>
        <w:t>range</w:t>
      </w:r>
      <w:r>
        <w:rPr>
          <w:spacing w:val="-2"/>
        </w:rPr>
        <w:t> </w:t>
      </w:r>
      <w:r>
        <w:rPr/>
        <w:t>is</w:t>
      </w:r>
      <w:r>
        <w:rPr>
          <w:spacing w:val="-2"/>
        </w:rPr>
        <w:t> </w:t>
      </w:r>
      <w:r>
        <w:rPr/>
        <w:t>wide</w:t>
      </w:r>
      <w:r>
        <w:rPr>
          <w:spacing w:val="-1"/>
        </w:rPr>
        <w:t> </w:t>
      </w:r>
      <w:r>
        <w:rPr/>
        <w:t>enough,</w:t>
      </w:r>
      <w:r>
        <w:rPr>
          <w:spacing w:val="-2"/>
        </w:rPr>
        <w:t> </w:t>
      </w:r>
      <w:r>
        <w:rPr/>
        <w:t>or</w:t>
      </w:r>
      <w:r>
        <w:rPr>
          <w:spacing w:val="-2"/>
        </w:rPr>
        <w:t> </w:t>
      </w:r>
      <w:r>
        <w:rPr/>
        <w:t>narrow</w:t>
      </w:r>
      <w:r>
        <w:rPr>
          <w:spacing w:val="-2"/>
        </w:rPr>
        <w:t> </w:t>
      </w:r>
      <w:r>
        <w:rPr/>
        <w:t>enough</w:t>
      </w:r>
      <w:r>
        <w:rPr>
          <w:spacing w:val="-3"/>
        </w:rPr>
        <w:t> </w:t>
      </w:r>
      <w:r>
        <w:rPr/>
        <w:t>to</w:t>
      </w:r>
      <w:r>
        <w:rPr>
          <w:spacing w:val="-2"/>
        </w:rPr>
        <w:t> </w:t>
      </w:r>
      <w:r>
        <w:rPr/>
        <w:t>predict the next day’s price behavior accurately? To solve this minor problem, I created an indicator that mathematically measures the width of the pivot range in order to decipher whether the width of the pivot range is likely to incite predictable market behavior in the following session. The </w:t>
      </w:r>
      <w:r>
        <w:rPr>
          <w:i/>
        </w:rPr>
        <w:t>Pivot Range</w:t>
      </w:r>
      <w:r>
        <w:rPr>
          <w:i/>
        </w:rPr>
        <w:t> Histogram </w:t>
      </w:r>
      <w:r>
        <w:rPr/>
        <w:t>(file</w:t>
      </w:r>
      <w:r>
        <w:rPr>
          <w:spacing w:val="-1"/>
        </w:rPr>
        <w:t> </w:t>
      </w:r>
      <w:r>
        <w:rPr/>
        <w:t>name:</w:t>
      </w:r>
      <w:r>
        <w:rPr>
          <w:spacing w:val="-1"/>
        </w:rPr>
        <w:t> </w:t>
      </w:r>
      <w:r>
        <w:rPr/>
        <w:t>iPivotRangeHIST)</w:t>
      </w:r>
      <w:r>
        <w:rPr>
          <w:spacing w:val="-1"/>
        </w:rPr>
        <w:t> </w:t>
      </w:r>
      <w:r>
        <w:rPr/>
        <w:t>allows</w:t>
      </w:r>
      <w:r>
        <w:rPr>
          <w:spacing w:val="-1"/>
        </w:rPr>
        <w:t> </w:t>
      </w:r>
      <w:r>
        <w:rPr/>
        <w:t>you</w:t>
      </w:r>
      <w:r>
        <w:rPr>
          <w:spacing w:val="-2"/>
        </w:rPr>
        <w:t> </w:t>
      </w:r>
      <w:r>
        <w:rPr/>
        <w:t>to</w:t>
      </w:r>
      <w:r>
        <w:rPr>
          <w:spacing w:val="-1"/>
        </w:rPr>
        <w:t> </w:t>
      </w:r>
      <w:r>
        <w:rPr/>
        <w:t>measure</w:t>
      </w:r>
      <w:r>
        <w:rPr>
          <w:spacing w:val="-1"/>
        </w:rPr>
        <w:t> </w:t>
      </w:r>
      <w:r>
        <w:rPr/>
        <w:t>the</w:t>
      </w:r>
      <w:r>
        <w:rPr>
          <w:spacing w:val="-1"/>
        </w:rPr>
        <w:t> </w:t>
      </w:r>
      <w:r>
        <w:rPr/>
        <w:t>width</w:t>
      </w:r>
      <w:r>
        <w:rPr>
          <w:spacing w:val="-1"/>
        </w:rPr>
        <w:t> </w:t>
      </w:r>
      <w:r>
        <w:rPr/>
        <w:t>of the pivot range in order to forecast when a trending or sideways market may occur. This indicator basically uses the central pivot range to make a prediction on the day’s potential behavior based on the prior day’s</w:t>
      </w:r>
      <w:r>
        <w:rPr>
          <w:spacing w:val="40"/>
        </w:rPr>
        <w:t> </w:t>
      </w:r>
      <w:r>
        <w:rPr/>
        <w:t>movement, much like I have explained in prior sections.</w:t>
      </w:r>
    </w:p>
    <w:p>
      <w:pPr>
        <w:pStyle w:val="BodyText"/>
        <w:ind w:left="139" w:right="494" w:firstLine="432"/>
        <w:jc w:val="both"/>
      </w:pPr>
      <w:r>
        <w:rPr/>
        <w:t>The histogram is fairly straightforward and easy to read. Basically, any reading</w:t>
      </w:r>
      <w:r>
        <w:rPr>
          <w:spacing w:val="-1"/>
        </w:rPr>
        <w:t> </w:t>
      </w:r>
      <w:r>
        <w:rPr>
          <w:i/>
        </w:rPr>
        <w:t>above</w:t>
      </w:r>
      <w:r>
        <w:rPr>
          <w:i/>
          <w:spacing w:val="-2"/>
        </w:rPr>
        <w:t> </w:t>
      </w:r>
      <w:r>
        <w:rPr/>
        <w:t>the</w:t>
      </w:r>
      <w:r>
        <w:rPr>
          <w:spacing w:val="-2"/>
        </w:rPr>
        <w:t> </w:t>
      </w:r>
      <w:r>
        <w:rPr/>
        <w:t>midline</w:t>
      </w:r>
      <w:r>
        <w:rPr>
          <w:spacing w:val="-2"/>
        </w:rPr>
        <w:t> </w:t>
      </w:r>
      <w:r>
        <w:rPr/>
        <w:t>of</w:t>
      </w:r>
      <w:r>
        <w:rPr>
          <w:spacing w:val="-2"/>
        </w:rPr>
        <w:t> </w:t>
      </w:r>
      <w:r>
        <w:rPr/>
        <w:t>0.5</w:t>
      </w:r>
      <w:r>
        <w:rPr>
          <w:spacing w:val="-2"/>
        </w:rPr>
        <w:t> </w:t>
      </w:r>
      <w:r>
        <w:rPr/>
        <w:t>indicates</w:t>
      </w:r>
      <w:r>
        <w:rPr>
          <w:spacing w:val="-2"/>
        </w:rPr>
        <w:t> </w:t>
      </w:r>
      <w:r>
        <w:rPr/>
        <w:t>a</w:t>
      </w:r>
      <w:r>
        <w:rPr>
          <w:spacing w:val="-2"/>
        </w:rPr>
        <w:t> </w:t>
      </w:r>
      <w:r>
        <w:rPr/>
        <w:t>Sideways</w:t>
      </w:r>
      <w:r>
        <w:rPr>
          <w:spacing w:val="-2"/>
        </w:rPr>
        <w:t> </w:t>
      </w:r>
      <w:r>
        <w:rPr/>
        <w:t>or</w:t>
      </w:r>
      <w:r>
        <w:rPr>
          <w:spacing w:val="-2"/>
        </w:rPr>
        <w:t> </w:t>
      </w:r>
      <w:r>
        <w:rPr/>
        <w:t>Trading</w:t>
      </w:r>
      <w:r>
        <w:rPr>
          <w:spacing w:val="-3"/>
        </w:rPr>
        <w:t> </w:t>
      </w:r>
      <w:r>
        <w:rPr/>
        <w:t>Range</w:t>
      </w:r>
      <w:r>
        <w:rPr>
          <w:spacing w:val="-2"/>
        </w:rPr>
        <w:t> </w:t>
      </w:r>
      <w:r>
        <w:rPr/>
        <w:t>Day, while any reading </w:t>
      </w:r>
      <w:r>
        <w:rPr>
          <w:i/>
        </w:rPr>
        <w:t>below </w:t>
      </w:r>
      <w:r>
        <w:rPr/>
        <w:t>0.5 indicates a trending type of day. A reading</w:t>
      </w:r>
      <w:r>
        <w:rPr>
          <w:spacing w:val="40"/>
        </w:rPr>
        <w:t> </w:t>
      </w:r>
      <w:r>
        <w:rPr/>
        <w:t>above 0.75 increases the likelihood of sideways trading behavior, while a reading below 0.25 increases the likelihood of a trending market.</w:t>
      </w:r>
    </w:p>
    <w:p>
      <w:pPr>
        <w:pStyle w:val="BodyText"/>
        <w:ind w:left="139" w:right="494" w:firstLine="432"/>
        <w:jc w:val="both"/>
      </w:pPr>
      <w:r>
        <w:rPr/>
        <w:t>Let’s</w:t>
      </w:r>
      <w:r>
        <w:rPr>
          <w:spacing w:val="-3"/>
        </w:rPr>
        <w:t> </w:t>
      </w:r>
      <w:r>
        <w:rPr/>
        <w:t>take</w:t>
      </w:r>
      <w:r>
        <w:rPr>
          <w:spacing w:val="-3"/>
        </w:rPr>
        <w:t> </w:t>
      </w:r>
      <w:r>
        <w:rPr/>
        <w:t>a</w:t>
      </w:r>
      <w:r>
        <w:rPr>
          <w:spacing w:val="-3"/>
        </w:rPr>
        <w:t> </w:t>
      </w:r>
      <w:r>
        <w:rPr/>
        <w:t>look</w:t>
      </w:r>
      <w:r>
        <w:rPr>
          <w:spacing w:val="-3"/>
        </w:rPr>
        <w:t> </w:t>
      </w:r>
      <w:r>
        <w:rPr/>
        <w:t>at</w:t>
      </w:r>
      <w:r>
        <w:rPr>
          <w:spacing w:val="-3"/>
        </w:rPr>
        <w:t> </w:t>
      </w:r>
      <w:r>
        <w:rPr/>
        <w:t>an</w:t>
      </w:r>
      <w:r>
        <w:rPr>
          <w:spacing w:val="-3"/>
        </w:rPr>
        <w:t> </w:t>
      </w:r>
      <w:r>
        <w:rPr/>
        <w:t>example.</w:t>
      </w:r>
      <w:r>
        <w:rPr>
          <w:spacing w:val="-3"/>
        </w:rPr>
        <w:t> </w:t>
      </w:r>
      <w:r>
        <w:rPr/>
        <w:t>Figure</w:t>
      </w:r>
      <w:r>
        <w:rPr>
          <w:spacing w:val="-3"/>
        </w:rPr>
        <w:t> </w:t>
      </w:r>
      <w:r>
        <w:rPr/>
        <w:t>6.24</w:t>
      </w:r>
      <w:r>
        <w:rPr>
          <w:spacing w:val="-3"/>
        </w:rPr>
        <w:t> </w:t>
      </w:r>
      <w:r>
        <w:rPr/>
        <w:t>shows</w:t>
      </w:r>
      <w:r>
        <w:rPr>
          <w:spacing w:val="-4"/>
        </w:rPr>
        <w:t> </w:t>
      </w:r>
      <w:r>
        <w:rPr/>
        <w:t>the</w:t>
      </w:r>
      <w:r>
        <w:rPr>
          <w:spacing w:val="-3"/>
        </w:rPr>
        <w:t> </w:t>
      </w:r>
      <w:r>
        <w:rPr/>
        <w:t>histogram</w:t>
      </w:r>
      <w:r>
        <w:rPr>
          <w:spacing w:val="-3"/>
        </w:rPr>
        <w:t> </w:t>
      </w:r>
      <w:r>
        <w:rPr/>
        <w:t>plotted on a fifteen-minute chart of the Russell 2000 Index Mini Futures contract. In this three-day view, notice that the first and third sessions had a histogram reading that fell at or below the 0.25 level, which gave strong indications for trending markets. Conversely, the second day had a histogram reading above the 0.75 level, thus indicating the potential for a Sideways Day was high, which was indeed the case. In all cases, you would have been able to anticipate the day’s market behavior, thus allowing you to plan your trading day accordingly.</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631" cy="3137535"/>
            <wp:effectExtent l="0" t="0" r="0" b="0"/>
            <wp:docPr id="185" name="image94.png"/>
            <wp:cNvGraphicFramePr>
              <a:graphicFrameLocks noChangeAspect="1"/>
            </wp:cNvGraphicFramePr>
            <a:graphic>
              <a:graphicData uri="http://schemas.openxmlformats.org/drawingml/2006/picture">
                <pic:pic>
                  <pic:nvPicPr>
                    <pic:cNvPr id="186" name="image94.png"/>
                    <pic:cNvPicPr/>
                  </pic:nvPicPr>
                  <pic:blipFill>
                    <a:blip r:embed="rId203" cstate="print"/>
                    <a:stretch>
                      <a:fillRect/>
                    </a:stretch>
                  </pic:blipFill>
                  <pic:spPr>
                    <a:xfrm>
                      <a:off x="0" y="0"/>
                      <a:ext cx="4304631" cy="3137535"/>
                    </a:xfrm>
                    <a:prstGeom prst="rect">
                      <a:avLst/>
                    </a:prstGeom>
                  </pic:spPr>
                </pic:pic>
              </a:graphicData>
            </a:graphic>
          </wp:inline>
        </w:drawing>
      </w:r>
      <w:r>
        <w:rPr>
          <w:sz w:val="20"/>
        </w:rPr>
      </w:r>
    </w:p>
    <w:p>
      <w:pPr>
        <w:spacing w:before="50"/>
        <w:ind w:left="500" w:right="0" w:firstLine="0"/>
        <w:jc w:val="left"/>
        <w:rPr>
          <w:sz w:val="16"/>
        </w:rPr>
      </w:pPr>
      <w:r>
        <w:rPr>
          <w:sz w:val="16"/>
        </w:rPr>
        <w:t>FIGURE</w:t>
      </w:r>
      <w:r>
        <w:rPr>
          <w:spacing w:val="-1"/>
          <w:sz w:val="16"/>
        </w:rPr>
        <w:t> </w:t>
      </w:r>
      <w:r>
        <w:rPr>
          <w:sz w:val="16"/>
        </w:rPr>
        <w:t>6.24: The Pivot Range Histogram</w:t>
      </w:r>
      <w:r>
        <w:rPr>
          <w:spacing w:val="1"/>
          <w:sz w:val="16"/>
        </w:rPr>
        <w:t> </w:t>
      </w:r>
      <w:r>
        <w:rPr>
          <w:sz w:val="16"/>
        </w:rPr>
        <w:t>accurately predicts trading behavior in this </w:t>
      </w:r>
      <w:r>
        <w:rPr>
          <w:spacing w:val="-2"/>
          <w:sz w:val="16"/>
        </w:rPr>
        <w:t>chart.</w:t>
      </w:r>
    </w:p>
    <w:p>
      <w:pPr>
        <w:pStyle w:val="BodyText"/>
        <w:spacing w:before="1"/>
      </w:pPr>
    </w:p>
    <w:p>
      <w:pPr>
        <w:pStyle w:val="BodyText"/>
        <w:spacing w:before="1"/>
        <w:ind w:left="499" w:right="136" w:firstLine="432"/>
        <w:jc w:val="both"/>
      </w:pPr>
      <w:r>
        <w:rPr/>
        <w:t>Being conscious of the width of the centrals gives you a huge advantage in knowing what type of market movement to expect for that particular session.</w:t>
      </w:r>
      <w:r>
        <w:rPr>
          <w:spacing w:val="-1"/>
        </w:rPr>
        <w:t> </w:t>
      </w:r>
      <w:r>
        <w:rPr/>
        <w:t>I</w:t>
      </w:r>
      <w:r>
        <w:rPr>
          <w:spacing w:val="-1"/>
        </w:rPr>
        <w:t> </w:t>
      </w:r>
      <w:r>
        <w:rPr/>
        <w:t>have</w:t>
      </w:r>
      <w:r>
        <w:rPr>
          <w:spacing w:val="-1"/>
        </w:rPr>
        <w:t> </w:t>
      </w:r>
      <w:r>
        <w:rPr/>
        <w:t>included</w:t>
      </w:r>
      <w:r>
        <w:rPr>
          <w:spacing w:val="-1"/>
        </w:rPr>
        <w:t> </w:t>
      </w:r>
      <w:r>
        <w:rPr/>
        <w:t>the</w:t>
      </w:r>
      <w:r>
        <w:rPr>
          <w:spacing w:val="-1"/>
        </w:rPr>
        <w:t> </w:t>
      </w:r>
      <w:r>
        <w:rPr/>
        <w:t>code</w:t>
      </w:r>
      <w:r>
        <w:rPr>
          <w:spacing w:val="-1"/>
        </w:rPr>
        <w:t> </w:t>
      </w:r>
      <w:r>
        <w:rPr/>
        <w:t>for this</w:t>
      </w:r>
      <w:r>
        <w:rPr>
          <w:spacing w:val="-1"/>
        </w:rPr>
        <w:t> </w:t>
      </w:r>
      <w:r>
        <w:rPr/>
        <w:t>indicator</w:t>
      </w:r>
      <w:r>
        <w:rPr>
          <w:spacing w:val="-1"/>
        </w:rPr>
        <w:t> </w:t>
      </w:r>
      <w:r>
        <w:rPr/>
        <w:t>in Appendix</w:t>
      </w:r>
      <w:r>
        <w:rPr>
          <w:spacing w:val="-1"/>
        </w:rPr>
        <w:t> </w:t>
      </w:r>
      <w:r>
        <w:rPr/>
        <w:t>B</w:t>
      </w:r>
      <w:r>
        <w:rPr>
          <w:spacing w:val="-1"/>
        </w:rPr>
        <w:t> </w:t>
      </w:r>
      <w:r>
        <w:rPr/>
        <w:t>to</w:t>
      </w:r>
      <w:r>
        <w:rPr>
          <w:spacing w:val="-1"/>
        </w:rPr>
        <w:t> </w:t>
      </w:r>
      <w:r>
        <w:rPr/>
        <w:t>help</w:t>
      </w:r>
      <w:r>
        <w:rPr>
          <w:spacing w:val="-1"/>
        </w:rPr>
        <w:t> </w:t>
      </w:r>
      <w:r>
        <w:rPr/>
        <w:t>you toward this end. Of course, since the histogram is </w:t>
      </w:r>
      <w:r>
        <w:rPr>
          <w:i/>
        </w:rPr>
        <w:t>just an indicator</w:t>
      </w:r>
      <w:r>
        <w:rPr/>
        <w:t>, it isn’t always right. However, the frequency with which this indicator nails the market can be fascinating at times. Let’s take a look at another example. Figure 6.25 shows a fifteen-minute chart of the Mini-Sized Dow futures contract</w:t>
      </w:r>
      <w:r>
        <w:rPr>
          <w:spacing w:val="-1"/>
        </w:rPr>
        <w:t> </w:t>
      </w:r>
      <w:r>
        <w:rPr/>
        <w:t>for</w:t>
      </w:r>
      <w:r>
        <w:rPr>
          <w:spacing w:val="-1"/>
        </w:rPr>
        <w:t> </w:t>
      </w:r>
      <w:r>
        <w:rPr/>
        <w:t>an</w:t>
      </w:r>
      <w:r>
        <w:rPr>
          <w:spacing w:val="-1"/>
        </w:rPr>
        <w:t> </w:t>
      </w:r>
      <w:r>
        <w:rPr/>
        <w:t>entire</w:t>
      </w:r>
      <w:r>
        <w:rPr>
          <w:spacing w:val="-1"/>
        </w:rPr>
        <w:t> </w:t>
      </w:r>
      <w:r>
        <w:rPr/>
        <w:t>week of</w:t>
      </w:r>
      <w:r>
        <w:rPr>
          <w:spacing w:val="-1"/>
        </w:rPr>
        <w:t> </w:t>
      </w:r>
      <w:r>
        <w:rPr/>
        <w:t>trading.</w:t>
      </w:r>
      <w:r>
        <w:rPr>
          <w:spacing w:val="-1"/>
        </w:rPr>
        <w:t> </w:t>
      </w:r>
      <w:r>
        <w:rPr/>
        <w:t>The</w:t>
      </w:r>
      <w:r>
        <w:rPr>
          <w:spacing w:val="-1"/>
        </w:rPr>
        <w:t> </w:t>
      </w:r>
      <w:r>
        <w:rPr/>
        <w:t>Pivot</w:t>
      </w:r>
      <w:r>
        <w:rPr>
          <w:spacing w:val="-1"/>
        </w:rPr>
        <w:t> </w:t>
      </w:r>
      <w:r>
        <w:rPr/>
        <w:t>Range</w:t>
      </w:r>
      <w:r>
        <w:rPr>
          <w:spacing w:val="-1"/>
        </w:rPr>
        <w:t> </w:t>
      </w:r>
      <w:r>
        <w:rPr/>
        <w:t>Histogram accurately predicted the market behavior for every single day during this week of trading, calling out two days of sideways behavior and three trending days. </w:t>
      </w:r>
      <w:r>
        <w:rPr>
          <w:spacing w:val="-2"/>
        </w:rPr>
        <w:t>Amazing!</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631" cy="3137535"/>
            <wp:effectExtent l="0" t="0" r="0" b="0"/>
            <wp:docPr id="187" name="image95.png"/>
            <wp:cNvGraphicFramePr>
              <a:graphicFrameLocks noChangeAspect="1"/>
            </wp:cNvGraphicFramePr>
            <a:graphic>
              <a:graphicData uri="http://schemas.openxmlformats.org/drawingml/2006/picture">
                <pic:pic>
                  <pic:nvPicPr>
                    <pic:cNvPr id="188" name="image95.png"/>
                    <pic:cNvPicPr/>
                  </pic:nvPicPr>
                  <pic:blipFill>
                    <a:blip r:embed="rId204" cstate="print"/>
                    <a:stretch>
                      <a:fillRect/>
                    </a:stretch>
                  </pic:blipFill>
                  <pic:spPr>
                    <a:xfrm>
                      <a:off x="0" y="0"/>
                      <a:ext cx="4304631" cy="3137535"/>
                    </a:xfrm>
                    <a:prstGeom prst="rect">
                      <a:avLst/>
                    </a:prstGeom>
                  </pic:spPr>
                </pic:pic>
              </a:graphicData>
            </a:graphic>
          </wp:inline>
        </w:drawing>
      </w:r>
      <w:r>
        <w:rPr>
          <w:sz w:val="20"/>
        </w:rPr>
      </w:r>
    </w:p>
    <w:p>
      <w:pPr>
        <w:spacing w:before="50"/>
        <w:ind w:left="140" w:right="0" w:firstLine="0"/>
        <w:jc w:val="left"/>
        <w:rPr>
          <w:sz w:val="16"/>
        </w:rPr>
      </w:pPr>
      <w:r>
        <w:rPr>
          <w:sz w:val="16"/>
        </w:rPr>
        <w:t>FIGURE</w:t>
      </w:r>
      <w:r>
        <w:rPr>
          <w:spacing w:val="-1"/>
          <w:sz w:val="16"/>
        </w:rPr>
        <w:t> </w:t>
      </w:r>
      <w:r>
        <w:rPr>
          <w:sz w:val="16"/>
        </w:rPr>
        <w:t>6.25: The Pivot Range Histogram</w:t>
      </w:r>
      <w:r>
        <w:rPr>
          <w:spacing w:val="1"/>
          <w:sz w:val="16"/>
        </w:rPr>
        <w:t> </w:t>
      </w:r>
      <w:r>
        <w:rPr>
          <w:sz w:val="16"/>
        </w:rPr>
        <w:t>accurately predicted the entire</w:t>
      </w:r>
      <w:r>
        <w:rPr>
          <w:spacing w:val="2"/>
          <w:sz w:val="16"/>
        </w:rPr>
        <w:t> </w:t>
      </w:r>
      <w:r>
        <w:rPr>
          <w:sz w:val="16"/>
        </w:rPr>
        <w:t>week</w:t>
      </w:r>
      <w:r>
        <w:rPr>
          <w:spacing w:val="-1"/>
          <w:sz w:val="16"/>
        </w:rPr>
        <w:t> </w:t>
      </w:r>
      <w:r>
        <w:rPr>
          <w:sz w:val="16"/>
        </w:rPr>
        <w:t>of </w:t>
      </w:r>
      <w:r>
        <w:rPr>
          <w:spacing w:val="-2"/>
          <w:sz w:val="16"/>
        </w:rPr>
        <w:t>trading.</w:t>
      </w:r>
    </w:p>
    <w:p>
      <w:pPr>
        <w:pStyle w:val="BodyText"/>
        <w:spacing w:before="1"/>
      </w:pPr>
    </w:p>
    <w:p>
      <w:pPr>
        <w:pStyle w:val="Heading3"/>
      </w:pPr>
      <w:r>
        <w:rPr/>
        <w:pict>
          <v:shape style="position:absolute;margin-left:36.240002pt;margin-top:17.21031pt;width:341pt;height:.1pt;mso-position-horizontal-relative:page;mso-position-vertical-relative:paragraph;z-index:-15626240;mso-wrap-distance-left:0;mso-wrap-distance-right:0" id="docshape571" coordorigin="725,344" coordsize="6820,0" path="m725,344l7544,344e" filled="false" stroked="true" strokeweight=".75pt" strokecolor="#000000">
            <v:path arrowok="t"/>
            <v:stroke dashstyle="solid"/>
            <w10:wrap type="topAndBottom"/>
          </v:shape>
        </w:pict>
      </w:r>
      <w:bookmarkStart w:name="_TOC_250036" w:id="55"/>
      <w:r>
        <w:rPr>
          <w:smallCaps/>
        </w:rPr>
        <w:t>Pivot</w:t>
      </w:r>
      <w:r>
        <w:rPr>
          <w:smallCaps/>
          <w:spacing w:val="-12"/>
        </w:rPr>
        <w:t> </w:t>
      </w:r>
      <w:r>
        <w:rPr>
          <w:smallCaps/>
        </w:rPr>
        <w:t>Range</w:t>
      </w:r>
      <w:r>
        <w:rPr>
          <w:smallCaps/>
          <w:spacing w:val="-8"/>
        </w:rPr>
        <w:t> </w:t>
      </w:r>
      <w:r>
        <w:rPr>
          <w:smallCaps/>
        </w:rPr>
        <w:t>Trend</w:t>
      </w:r>
      <w:r>
        <w:rPr>
          <w:smallCaps/>
          <w:spacing w:val="-8"/>
        </w:rPr>
        <w:t> </w:t>
      </w:r>
      <w:bookmarkEnd w:id="55"/>
      <w:r>
        <w:rPr>
          <w:smallCaps/>
          <w:spacing w:val="-2"/>
        </w:rPr>
        <w:t>Analysis</w:t>
      </w:r>
    </w:p>
    <w:p>
      <w:pPr>
        <w:pStyle w:val="BodyText"/>
        <w:spacing w:before="225"/>
        <w:ind w:left="140" w:right="496" w:firstLine="432"/>
        <w:jc w:val="both"/>
      </w:pPr>
      <w:r>
        <w:rPr/>
        <w:t>At some point in your trading endeavors, you have probably heard someone throw out the sage, but vague, advice “Buy the dips, and sell the rips.” Many times, it’s the first bit of strong advice offered by professionals, but remains vague enough</w:t>
      </w:r>
      <w:r>
        <w:rPr>
          <w:spacing w:val="-1"/>
        </w:rPr>
        <w:t> </w:t>
      </w:r>
      <w:r>
        <w:rPr/>
        <w:t>to perplex amateur traders. Buying the dips means buying the pull-backs within an uptrend, while selling the rips means selling (or shorting) the rallies within a downtrend. While this sounds like great advice, how do I use this great knowledge? How does a trader know when a dip or rip is ripe for action?</w:t>
      </w:r>
    </w:p>
    <w:p>
      <w:pPr>
        <w:pStyle w:val="BodyText"/>
        <w:ind w:left="140" w:right="495" w:firstLine="432"/>
        <w:jc w:val="both"/>
      </w:pPr>
      <w:r>
        <w:rPr/>
        <w:t>In trading, there are many ways to capture a move. As such, there are many ways of capitalizing on buying and selling the waves of a trend. In my opinion, one of the best ways to buy and sell pull-backs in a trend is to play the bounces off the central pivot range, which is the method many professionals use. As you now know, the centrals can be one of the best sources of support and resistance in the market. Due to this fact, they can control the tide of a trend as good as any tool on the market since each day’s pivot range serves as support or resistance whilst in a trend.</w:t>
      </w:r>
    </w:p>
    <w:p>
      <w:pPr>
        <w:spacing w:after="0"/>
        <w:jc w:val="both"/>
        <w:sectPr>
          <w:pgSz w:w="8640" w:h="12960"/>
          <w:pgMar w:header="579" w:footer="1060" w:top="760" w:bottom="1260" w:left="580" w:right="580"/>
        </w:sectPr>
      </w:pPr>
    </w:p>
    <w:p>
      <w:pPr>
        <w:pStyle w:val="BodyText"/>
        <w:spacing w:before="5"/>
      </w:pPr>
    </w:p>
    <w:p>
      <w:pPr>
        <w:spacing w:before="63"/>
        <w:ind w:left="1892" w:right="0" w:hanging="936"/>
        <w:jc w:val="left"/>
        <w:rPr>
          <w:i/>
          <w:sz w:val="22"/>
        </w:rPr>
      </w:pPr>
      <w:r>
        <w:rPr>
          <w:i/>
          <w:sz w:val="22"/>
        </w:rPr>
        <w:t>Playing</w:t>
      </w:r>
      <w:r>
        <w:rPr>
          <w:i/>
          <w:spacing w:val="-3"/>
          <w:sz w:val="22"/>
        </w:rPr>
        <w:t> </w:t>
      </w:r>
      <w:r>
        <w:rPr>
          <w:i/>
          <w:sz w:val="22"/>
        </w:rPr>
        <w:t>the</w:t>
      </w:r>
      <w:r>
        <w:rPr>
          <w:i/>
          <w:spacing w:val="-3"/>
          <w:sz w:val="22"/>
        </w:rPr>
        <w:t> </w:t>
      </w:r>
      <w:r>
        <w:rPr>
          <w:i/>
          <w:sz w:val="22"/>
        </w:rPr>
        <w:t>bounces</w:t>
      </w:r>
      <w:r>
        <w:rPr>
          <w:i/>
          <w:spacing w:val="-3"/>
          <w:sz w:val="22"/>
        </w:rPr>
        <w:t> </w:t>
      </w:r>
      <w:r>
        <w:rPr>
          <w:i/>
          <w:sz w:val="22"/>
        </w:rPr>
        <w:t>off</w:t>
      </w:r>
      <w:r>
        <w:rPr>
          <w:i/>
          <w:spacing w:val="-3"/>
          <w:sz w:val="22"/>
        </w:rPr>
        <w:t> </w:t>
      </w:r>
      <w:r>
        <w:rPr>
          <w:i/>
          <w:sz w:val="22"/>
        </w:rPr>
        <w:t>the</w:t>
      </w:r>
      <w:r>
        <w:rPr>
          <w:i/>
          <w:spacing w:val="-5"/>
          <w:sz w:val="22"/>
        </w:rPr>
        <w:t> </w:t>
      </w:r>
      <w:r>
        <w:rPr>
          <w:i/>
          <w:sz w:val="22"/>
        </w:rPr>
        <w:t>central</w:t>
      </w:r>
      <w:r>
        <w:rPr>
          <w:i/>
          <w:spacing w:val="-3"/>
          <w:sz w:val="22"/>
        </w:rPr>
        <w:t> </w:t>
      </w:r>
      <w:r>
        <w:rPr>
          <w:i/>
          <w:sz w:val="22"/>
        </w:rPr>
        <w:t>pivot</w:t>
      </w:r>
      <w:r>
        <w:rPr>
          <w:i/>
          <w:spacing w:val="-5"/>
          <w:sz w:val="22"/>
        </w:rPr>
        <w:t> </w:t>
      </w:r>
      <w:r>
        <w:rPr>
          <w:i/>
          <w:sz w:val="22"/>
        </w:rPr>
        <w:t>range</w:t>
      </w:r>
      <w:r>
        <w:rPr>
          <w:i/>
          <w:spacing w:val="-4"/>
          <w:sz w:val="22"/>
        </w:rPr>
        <w:t> </w:t>
      </w:r>
      <w:r>
        <w:rPr>
          <w:i/>
          <w:sz w:val="22"/>
        </w:rPr>
        <w:t>in</w:t>
      </w:r>
      <w:r>
        <w:rPr>
          <w:i/>
          <w:spacing w:val="-3"/>
          <w:sz w:val="22"/>
        </w:rPr>
        <w:t> </w:t>
      </w:r>
      <w:r>
        <w:rPr>
          <w:i/>
          <w:sz w:val="22"/>
        </w:rPr>
        <w:t>the</w:t>
      </w:r>
      <w:r>
        <w:rPr>
          <w:i/>
          <w:spacing w:val="-5"/>
          <w:sz w:val="22"/>
        </w:rPr>
        <w:t> </w:t>
      </w:r>
      <w:r>
        <w:rPr>
          <w:i/>
          <w:sz w:val="22"/>
        </w:rPr>
        <w:t>direction</w:t>
      </w:r>
      <w:r>
        <w:rPr>
          <w:i/>
          <w:spacing w:val="-4"/>
          <w:sz w:val="22"/>
        </w:rPr>
        <w:t> </w:t>
      </w:r>
      <w:r>
        <w:rPr>
          <w:i/>
          <w:sz w:val="22"/>
        </w:rPr>
        <w:t>of</w:t>
      </w:r>
      <w:r>
        <w:rPr>
          <w:i/>
          <w:spacing w:val="-3"/>
          <w:sz w:val="22"/>
        </w:rPr>
        <w:t> </w:t>
      </w:r>
      <w:r>
        <w:rPr>
          <w:i/>
          <w:sz w:val="22"/>
        </w:rPr>
        <w:t>a</w:t>
      </w:r>
      <w:r>
        <w:rPr>
          <w:i/>
          <w:sz w:val="22"/>
        </w:rPr>
        <w:t> prevailing trend is a prudent course of action.</w:t>
      </w:r>
    </w:p>
    <w:p>
      <w:pPr>
        <w:pStyle w:val="BodyText"/>
        <w:spacing w:before="11"/>
        <w:rPr>
          <w:i/>
          <w:sz w:val="21"/>
        </w:rPr>
      </w:pPr>
    </w:p>
    <w:p>
      <w:pPr>
        <w:pStyle w:val="BodyText"/>
        <w:ind w:left="500" w:right="136" w:firstLine="432"/>
        <w:jc w:val="both"/>
      </w:pPr>
      <w:r>
        <w:rPr/>
        <w:t>Take a look at Figure 6.26, which is a sixty-minute chart of Energizer Holdings, Inc. (ticker: ENR). This stock had three trends over the course of a two-week span: two minor trends and one major trend. Notice how the centrals remain beneath an uptrend to serve as support on the way up, while remaining above a downtrend serving as resistance on the way down. Essentially, each pull-back to the pivot range is a buying opportunity within an uptrend, and a selling opportunity in a downtrend.</w:t>
      </w:r>
    </w:p>
    <w:p>
      <w:pPr>
        <w:pStyle w:val="BodyText"/>
        <w:spacing w:before="1"/>
        <w:rPr>
          <w:sz w:val="20"/>
        </w:rPr>
      </w:pPr>
      <w:r>
        <w:rPr/>
        <w:drawing>
          <wp:anchor distT="0" distB="0" distL="0" distR="0" allowOverlap="1" layoutInCell="1" locked="0" behindDoc="0" simplePos="0" relativeHeight="201">
            <wp:simplePos x="0" y="0"/>
            <wp:positionH relativeFrom="page">
              <wp:posOffset>685800</wp:posOffset>
            </wp:positionH>
            <wp:positionV relativeFrom="paragraph">
              <wp:posOffset>162192</wp:posOffset>
            </wp:positionV>
            <wp:extent cx="4343034" cy="3129057"/>
            <wp:effectExtent l="0" t="0" r="0" b="0"/>
            <wp:wrapTopAndBottom/>
            <wp:docPr id="189" name="image96.png"/>
            <wp:cNvGraphicFramePr>
              <a:graphicFrameLocks noChangeAspect="1"/>
            </wp:cNvGraphicFramePr>
            <a:graphic>
              <a:graphicData uri="http://schemas.openxmlformats.org/drawingml/2006/picture">
                <pic:pic>
                  <pic:nvPicPr>
                    <pic:cNvPr id="190" name="image96.png"/>
                    <pic:cNvPicPr/>
                  </pic:nvPicPr>
                  <pic:blipFill>
                    <a:blip r:embed="rId205" cstate="print"/>
                    <a:stretch>
                      <a:fillRect/>
                    </a:stretch>
                  </pic:blipFill>
                  <pic:spPr>
                    <a:xfrm>
                      <a:off x="0" y="0"/>
                      <a:ext cx="4343034" cy="3129057"/>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6.26:</w:t>
      </w:r>
      <w:r>
        <w:rPr>
          <w:spacing w:val="2"/>
          <w:sz w:val="16"/>
        </w:rPr>
        <w:t> </w:t>
      </w:r>
      <w:r>
        <w:rPr>
          <w:sz w:val="16"/>
        </w:rPr>
        <w:t>The</w:t>
      </w:r>
      <w:r>
        <w:rPr>
          <w:spacing w:val="1"/>
          <w:sz w:val="16"/>
        </w:rPr>
        <w:t> </w:t>
      </w:r>
      <w:r>
        <w:rPr>
          <w:sz w:val="16"/>
        </w:rPr>
        <w:t>pivot</w:t>
      </w:r>
      <w:r>
        <w:rPr>
          <w:spacing w:val="2"/>
          <w:sz w:val="16"/>
        </w:rPr>
        <w:t> </w:t>
      </w:r>
      <w:r>
        <w:rPr>
          <w:sz w:val="16"/>
        </w:rPr>
        <w:t>range</w:t>
      </w:r>
      <w:r>
        <w:rPr>
          <w:spacing w:val="1"/>
          <w:sz w:val="16"/>
        </w:rPr>
        <w:t> </w:t>
      </w:r>
      <w:r>
        <w:rPr>
          <w:sz w:val="16"/>
        </w:rPr>
        <w:t>dictates</w:t>
      </w:r>
      <w:r>
        <w:rPr>
          <w:spacing w:val="2"/>
          <w:sz w:val="16"/>
        </w:rPr>
        <w:t> </w:t>
      </w:r>
      <w:r>
        <w:rPr>
          <w:sz w:val="16"/>
        </w:rPr>
        <w:t>the</w:t>
      </w:r>
      <w:r>
        <w:rPr>
          <w:spacing w:val="2"/>
          <w:sz w:val="16"/>
        </w:rPr>
        <w:t> </w:t>
      </w:r>
      <w:r>
        <w:rPr>
          <w:sz w:val="16"/>
        </w:rPr>
        <w:t>trend</w:t>
      </w:r>
      <w:r>
        <w:rPr>
          <w:spacing w:val="1"/>
          <w:sz w:val="16"/>
        </w:rPr>
        <w:t> </w:t>
      </w:r>
      <w:r>
        <w:rPr>
          <w:sz w:val="16"/>
        </w:rPr>
        <w:t>in</w:t>
      </w:r>
      <w:r>
        <w:rPr>
          <w:spacing w:val="2"/>
          <w:sz w:val="16"/>
        </w:rPr>
        <w:t> </w:t>
      </w:r>
      <w:r>
        <w:rPr>
          <w:sz w:val="16"/>
        </w:rPr>
        <w:t>this</w:t>
      </w:r>
      <w:r>
        <w:rPr>
          <w:spacing w:val="2"/>
          <w:sz w:val="16"/>
        </w:rPr>
        <w:t> </w:t>
      </w:r>
      <w:r>
        <w:rPr>
          <w:spacing w:val="-2"/>
          <w:sz w:val="16"/>
        </w:rPr>
        <w:t>stock.</w:t>
      </w:r>
    </w:p>
    <w:p>
      <w:pPr>
        <w:pStyle w:val="BodyText"/>
        <w:spacing w:before="9"/>
        <w:rPr>
          <w:sz w:val="21"/>
        </w:rPr>
      </w:pPr>
    </w:p>
    <w:p>
      <w:pPr>
        <w:pStyle w:val="BodyText"/>
        <w:ind w:left="499" w:right="137" w:firstLine="432"/>
        <w:jc w:val="both"/>
      </w:pPr>
      <w:r>
        <w:rPr/>
        <w:t>Remember the two-day pivot range relationships we discussed earlier in the</w:t>
      </w:r>
      <w:r>
        <w:rPr>
          <w:spacing w:val="-1"/>
        </w:rPr>
        <w:t> </w:t>
      </w:r>
      <w:r>
        <w:rPr/>
        <w:t>chapter,</w:t>
      </w:r>
      <w:r>
        <w:rPr>
          <w:spacing w:val="-1"/>
        </w:rPr>
        <w:t> </w:t>
      </w:r>
      <w:r>
        <w:rPr/>
        <w:t>like</w:t>
      </w:r>
      <w:r>
        <w:rPr>
          <w:spacing w:val="-1"/>
        </w:rPr>
        <w:t> </w:t>
      </w:r>
      <w:r>
        <w:rPr/>
        <w:t>the</w:t>
      </w:r>
      <w:r>
        <w:rPr>
          <w:spacing w:val="-1"/>
        </w:rPr>
        <w:t> </w:t>
      </w:r>
      <w:r>
        <w:rPr/>
        <w:t>Higher and</w:t>
      </w:r>
      <w:r>
        <w:rPr>
          <w:spacing w:val="-1"/>
        </w:rPr>
        <w:t> </w:t>
      </w:r>
      <w:r>
        <w:rPr/>
        <w:t>Lower Value</w:t>
      </w:r>
      <w:r>
        <w:rPr>
          <w:spacing w:val="-1"/>
        </w:rPr>
        <w:t> </w:t>
      </w:r>
      <w:r>
        <w:rPr/>
        <w:t>relationships?</w:t>
      </w:r>
      <w:r>
        <w:rPr>
          <w:spacing w:val="-1"/>
        </w:rPr>
        <w:t> </w:t>
      </w:r>
      <w:r>
        <w:rPr/>
        <w:t>When</w:t>
      </w:r>
      <w:r>
        <w:rPr>
          <w:spacing w:val="-1"/>
        </w:rPr>
        <w:t> </w:t>
      </w:r>
      <w:r>
        <w:rPr/>
        <w:t>these</w:t>
      </w:r>
      <w:r>
        <w:rPr>
          <w:spacing w:val="-1"/>
        </w:rPr>
        <w:t> </w:t>
      </w:r>
      <w:r>
        <w:rPr/>
        <w:t>two- day relationships develop, the goal is to play the bounces in the direction of the trend. With longer-term pivot range trend analysis, the goal remains the same, except many more days are strung together. Moreover, I discussed the importance of understanding where the market closes in relation to the day’s pivot</w:t>
      </w:r>
      <w:r>
        <w:rPr>
          <w:spacing w:val="-2"/>
        </w:rPr>
        <w:t> </w:t>
      </w:r>
      <w:r>
        <w:rPr/>
        <w:t>range.</w:t>
      </w:r>
      <w:r>
        <w:rPr>
          <w:spacing w:val="-3"/>
        </w:rPr>
        <w:t> </w:t>
      </w:r>
      <w:r>
        <w:rPr/>
        <w:t>If</w:t>
      </w:r>
      <w:r>
        <w:rPr>
          <w:spacing w:val="-3"/>
        </w:rPr>
        <w:t> </w:t>
      </w:r>
      <w:r>
        <w:rPr/>
        <w:t>the</w:t>
      </w:r>
      <w:r>
        <w:rPr>
          <w:spacing w:val="-2"/>
        </w:rPr>
        <w:t> </w:t>
      </w:r>
      <w:r>
        <w:rPr/>
        <w:t>prior</w:t>
      </w:r>
      <w:r>
        <w:rPr>
          <w:spacing w:val="-2"/>
        </w:rPr>
        <w:t> </w:t>
      </w:r>
      <w:r>
        <w:rPr/>
        <w:t>day’s</w:t>
      </w:r>
      <w:r>
        <w:rPr>
          <w:spacing w:val="-3"/>
        </w:rPr>
        <w:t> </w:t>
      </w:r>
      <w:r>
        <w:rPr/>
        <w:t>close</w:t>
      </w:r>
      <w:r>
        <w:rPr>
          <w:spacing w:val="-2"/>
        </w:rPr>
        <w:t> </w:t>
      </w:r>
      <w:r>
        <w:rPr/>
        <w:t>was</w:t>
      </w:r>
      <w:r>
        <w:rPr>
          <w:spacing w:val="-1"/>
        </w:rPr>
        <w:t> </w:t>
      </w:r>
      <w:r>
        <w:rPr/>
        <w:t>above</w:t>
      </w:r>
      <w:r>
        <w:rPr>
          <w:spacing w:val="-2"/>
        </w:rPr>
        <w:t> </w:t>
      </w:r>
      <w:r>
        <w:rPr/>
        <w:t>its</w:t>
      </w:r>
      <w:r>
        <w:rPr>
          <w:spacing w:val="-2"/>
        </w:rPr>
        <w:t> </w:t>
      </w:r>
      <w:r>
        <w:rPr/>
        <w:t>pivot</w:t>
      </w:r>
      <w:r>
        <w:rPr>
          <w:spacing w:val="-2"/>
        </w:rPr>
        <w:t> </w:t>
      </w:r>
      <w:r>
        <w:rPr/>
        <w:t>range,</w:t>
      </w:r>
      <w:r>
        <w:rPr>
          <w:spacing w:val="-3"/>
        </w:rPr>
        <w:t> </w:t>
      </w:r>
      <w:r>
        <w:rPr/>
        <w:t>the</w:t>
      </w:r>
      <w:r>
        <w:rPr>
          <w:spacing w:val="-1"/>
        </w:rPr>
        <w:t> </w:t>
      </w:r>
      <w:r>
        <w:rPr/>
        <w:t>market</w:t>
      </w:r>
      <w:r>
        <w:rPr>
          <w:spacing w:val="-1"/>
        </w:rPr>
        <w:t> </w:t>
      </w:r>
      <w:r>
        <w:rPr/>
        <w:t>will likely carry a bullish bias. On the flip side, a market will likely carry a</w:t>
      </w:r>
      <w:r>
        <w:rPr>
          <w:spacing w:val="40"/>
        </w:rPr>
        <w:t> </w:t>
      </w:r>
      <w:r>
        <w:rPr/>
        <w:t>bearish bias if the prior day’s close was below its pivot range. The behavior</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500"/>
        <w:jc w:val="both"/>
      </w:pPr>
      <w:r>
        <w:rPr/>
        <w:t>is exactly the same when discussing trends, only we’re stringing together many days of pivots instead of just looking at two sessions.</w:t>
      </w:r>
    </w:p>
    <w:p>
      <w:pPr>
        <w:pStyle w:val="BodyText"/>
        <w:spacing w:before="1"/>
        <w:ind w:left="140" w:right="496" w:firstLine="432"/>
        <w:jc w:val="both"/>
      </w:pPr>
      <w:r>
        <w:rPr/>
        <w:t>Referring back to Figure 6.27, when ENR broke above the pivot range on March 10 and closed above this level, it essentially broke the existing downtrend and created a new bullish trend. When this occurs, you will look for price to hold above the central pivot range for two consecutive days. If price</w:t>
      </w:r>
      <w:r>
        <w:rPr>
          <w:spacing w:val="-3"/>
        </w:rPr>
        <w:t> </w:t>
      </w:r>
      <w:r>
        <w:rPr/>
        <w:t>successfully</w:t>
      </w:r>
      <w:r>
        <w:rPr>
          <w:spacing w:val="-3"/>
        </w:rPr>
        <w:t> </w:t>
      </w:r>
      <w:r>
        <w:rPr/>
        <w:t>uses</w:t>
      </w:r>
      <w:r>
        <w:rPr>
          <w:spacing w:val="-3"/>
        </w:rPr>
        <w:t> </w:t>
      </w:r>
      <w:r>
        <w:rPr/>
        <w:t>the</w:t>
      </w:r>
      <w:r>
        <w:rPr>
          <w:spacing w:val="-3"/>
        </w:rPr>
        <w:t> </w:t>
      </w:r>
      <w:r>
        <w:rPr/>
        <w:t>centrals</w:t>
      </w:r>
      <w:r>
        <w:rPr>
          <w:spacing w:val="-3"/>
        </w:rPr>
        <w:t> </w:t>
      </w:r>
      <w:r>
        <w:rPr/>
        <w:t>as</w:t>
      </w:r>
      <w:r>
        <w:rPr>
          <w:spacing w:val="-3"/>
        </w:rPr>
        <w:t> </w:t>
      </w:r>
      <w:r>
        <w:rPr/>
        <w:t>support</w:t>
      </w:r>
      <w:r>
        <w:rPr>
          <w:spacing w:val="-3"/>
        </w:rPr>
        <w:t> </w:t>
      </w:r>
      <w:r>
        <w:rPr/>
        <w:t>during</w:t>
      </w:r>
      <w:r>
        <w:rPr>
          <w:spacing w:val="-3"/>
        </w:rPr>
        <w:t> </w:t>
      </w:r>
      <w:r>
        <w:rPr/>
        <w:t>these</w:t>
      </w:r>
      <w:r>
        <w:rPr>
          <w:spacing w:val="-3"/>
        </w:rPr>
        <w:t> </w:t>
      </w:r>
      <w:r>
        <w:rPr/>
        <w:t>first</w:t>
      </w:r>
      <w:r>
        <w:rPr>
          <w:spacing w:val="-4"/>
        </w:rPr>
        <w:t> </w:t>
      </w:r>
      <w:r>
        <w:rPr/>
        <w:t>two</w:t>
      </w:r>
      <w:r>
        <w:rPr>
          <w:spacing w:val="-3"/>
        </w:rPr>
        <w:t> </w:t>
      </w:r>
      <w:r>
        <w:rPr/>
        <w:t>days,</w:t>
      </w:r>
      <w:r>
        <w:rPr>
          <w:spacing w:val="-3"/>
        </w:rPr>
        <w:t> </w:t>
      </w:r>
      <w:r>
        <w:rPr/>
        <w:t>any pull-back to the CPR during the uptrend should become a buying</w:t>
      </w:r>
      <w:r>
        <w:rPr>
          <w:spacing w:val="40"/>
        </w:rPr>
        <w:t> </w:t>
      </w:r>
      <w:r>
        <w:rPr/>
        <w:t>opportunity, otherwise known as “buying the dip.” Notice how the stock bounced off the CPR the following three days, offering successful bounces into the direction of the prevailing trend!</w:t>
      </w:r>
    </w:p>
    <w:p>
      <w:pPr>
        <w:pStyle w:val="BodyText"/>
        <w:ind w:left="140" w:right="496" w:firstLine="432"/>
        <w:jc w:val="both"/>
      </w:pPr>
      <w:r>
        <w:rPr/>
        <w:t>Another thing to notice is how price remains above (or below) the centrals throughout a trend until it either stalls or changes direction. A strong trend can usually be gauged by how price remains above the bottom central pivot (BC) while in an uptrend, and below the top central pivot (TC) while in a downtrend. Once price violates this paradigm by closing beyond the range for the day, you see either a change in trend or a trading range market develop. Given this behavior, swing traders could enter the market once the pivot range is violated and trade in the direction of a newly-developed trend, holding their stops at, or just below, the opposite side of the central pivot range. In the chart above, you could enter the market long some time during March 10, while holding onto a multi-day position with your trailing stop set to a violation of the bottom central pivot. You would remain in the uptrend until price closes below the bottom central pivot, at which point you would liquidate your trade.</w:t>
      </w:r>
    </w:p>
    <w:p>
      <w:pPr>
        <w:pStyle w:val="BodyText"/>
        <w:ind w:left="139" w:right="494" w:firstLine="432"/>
        <w:jc w:val="both"/>
      </w:pPr>
      <w:r>
        <w:rPr/>
        <w:t>I know what you’re thinking: </w:t>
      </w:r>
      <w:r>
        <w:rPr>
          <w:i/>
        </w:rPr>
        <w:t>“What if we had an automated stop that</w:t>
      </w:r>
      <w:r>
        <w:rPr>
          <w:i/>
        </w:rPr>
        <w:t> uses the centrals as a trailing stop to capture long trending moves in the market?” </w:t>
      </w:r>
      <w:r>
        <w:rPr/>
        <w:t>Great question! In Appendix B I’ve included the code for a stop I wrote called the trailing centrals stop (file name: stoTrailingCentralsStop). This stop is ideal for capturing trending moves in the market using any timeframe. Basically, this stop allows you to stay in the market for those glorious trends by trailing your profit at the centrals and dynamically updating once a new pivot range appears the next day, month, or year (depending on the timeframe). Instead of keeping an arbitrary trailing stop, using the centrals allows you to keep your stop levels at key psychological points in the chart. For long positions, the stop will trail price using the bottom central pivot, while short positions use the top central pivot, and will exit once price </w:t>
      </w:r>
      <w:r>
        <w:rPr>
          <w:i/>
        </w:rPr>
        <w:t>closes beyond </w:t>
      </w:r>
      <w:r>
        <w:rPr/>
        <w:t>the pivot range. Figure 6.27 illustrates the trailing centrals stop in the same ENR chart that we’ve been analyzing. Notice how the stop automatically updates when new pivots are revealed</w:t>
      </w:r>
      <w:r>
        <w:rPr>
          <w:spacing w:val="40"/>
        </w:rPr>
        <w:t> </w:t>
      </w:r>
      <w:r>
        <w:rPr/>
        <w:t>with each passing day.</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97" cy="3094672"/>
            <wp:effectExtent l="0" t="0" r="0" b="0"/>
            <wp:docPr id="191" name="image97.png"/>
            <wp:cNvGraphicFramePr>
              <a:graphicFrameLocks noChangeAspect="1"/>
            </wp:cNvGraphicFramePr>
            <a:graphic>
              <a:graphicData uri="http://schemas.openxmlformats.org/drawingml/2006/picture">
                <pic:pic>
                  <pic:nvPicPr>
                    <pic:cNvPr id="192" name="image97.png"/>
                    <pic:cNvPicPr/>
                  </pic:nvPicPr>
                  <pic:blipFill>
                    <a:blip r:embed="rId206" cstate="print"/>
                    <a:stretch>
                      <a:fillRect/>
                    </a:stretch>
                  </pic:blipFill>
                  <pic:spPr>
                    <a:xfrm>
                      <a:off x="0" y="0"/>
                      <a:ext cx="4304897" cy="3094672"/>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6.27:</w:t>
      </w:r>
      <w:r>
        <w:rPr>
          <w:spacing w:val="1"/>
          <w:sz w:val="16"/>
        </w:rPr>
        <w:t> </w:t>
      </w:r>
      <w:r>
        <w:rPr>
          <w:sz w:val="16"/>
        </w:rPr>
        <w:t>The pivot</w:t>
      </w:r>
      <w:r>
        <w:rPr>
          <w:spacing w:val="1"/>
          <w:sz w:val="16"/>
        </w:rPr>
        <w:t> </w:t>
      </w:r>
      <w:r>
        <w:rPr>
          <w:sz w:val="16"/>
        </w:rPr>
        <w:t>range</w:t>
      </w:r>
      <w:r>
        <w:rPr>
          <w:spacing w:val="1"/>
          <w:sz w:val="16"/>
        </w:rPr>
        <w:t> </w:t>
      </w:r>
      <w:r>
        <w:rPr>
          <w:sz w:val="16"/>
        </w:rPr>
        <w:t>can</w:t>
      </w:r>
      <w:r>
        <w:rPr>
          <w:spacing w:val="1"/>
          <w:sz w:val="16"/>
        </w:rPr>
        <w:t> </w:t>
      </w:r>
      <w:r>
        <w:rPr>
          <w:sz w:val="16"/>
        </w:rPr>
        <w:t>be</w:t>
      </w:r>
      <w:r>
        <w:rPr>
          <w:spacing w:val="1"/>
          <w:sz w:val="16"/>
        </w:rPr>
        <w:t> </w:t>
      </w:r>
      <w:r>
        <w:rPr>
          <w:sz w:val="16"/>
        </w:rPr>
        <w:t>used</w:t>
      </w:r>
      <w:r>
        <w:rPr>
          <w:spacing w:val="1"/>
          <w:sz w:val="16"/>
        </w:rPr>
        <w:t> </w:t>
      </w:r>
      <w:r>
        <w:rPr>
          <w:sz w:val="16"/>
        </w:rPr>
        <w:t>as</w:t>
      </w:r>
      <w:r>
        <w:rPr>
          <w:spacing w:val="1"/>
          <w:sz w:val="16"/>
        </w:rPr>
        <w:t> </w:t>
      </w:r>
      <w:r>
        <w:rPr>
          <w:sz w:val="16"/>
        </w:rPr>
        <w:t>a</w:t>
      </w:r>
      <w:r>
        <w:rPr>
          <w:spacing w:val="1"/>
          <w:sz w:val="16"/>
        </w:rPr>
        <w:t> </w:t>
      </w:r>
      <w:r>
        <w:rPr>
          <w:sz w:val="16"/>
        </w:rPr>
        <w:t>powerful</w:t>
      </w:r>
      <w:r>
        <w:rPr>
          <w:spacing w:val="1"/>
          <w:sz w:val="16"/>
        </w:rPr>
        <w:t> </w:t>
      </w:r>
      <w:r>
        <w:rPr>
          <w:sz w:val="16"/>
        </w:rPr>
        <w:t>form</w:t>
      </w:r>
      <w:r>
        <w:rPr>
          <w:spacing w:val="3"/>
          <w:sz w:val="16"/>
        </w:rPr>
        <w:t> </w:t>
      </w:r>
      <w:r>
        <w:rPr>
          <w:sz w:val="16"/>
        </w:rPr>
        <w:t>of trailing</w:t>
      </w:r>
      <w:r>
        <w:rPr>
          <w:spacing w:val="1"/>
          <w:sz w:val="16"/>
        </w:rPr>
        <w:t> </w:t>
      </w:r>
      <w:r>
        <w:rPr>
          <w:spacing w:val="-2"/>
          <w:sz w:val="16"/>
        </w:rPr>
        <w:t>stop.</w:t>
      </w:r>
    </w:p>
    <w:p>
      <w:pPr>
        <w:pStyle w:val="BodyText"/>
        <w:spacing w:before="2"/>
      </w:pPr>
    </w:p>
    <w:p>
      <w:pPr>
        <w:pStyle w:val="BodyText"/>
        <w:ind w:left="499" w:right="135" w:firstLine="432"/>
        <w:jc w:val="both"/>
      </w:pPr>
      <w:r>
        <w:rPr/>
        <w:t>Using the central pivot range to gauge a market’s trend is both</w:t>
      </w:r>
      <w:r>
        <w:rPr>
          <w:spacing w:val="40"/>
        </w:rPr>
        <w:t> </w:t>
      </w:r>
      <w:r>
        <w:rPr/>
        <w:t>extremely powerful and visually stimulating. As a matter of fact, I can remove price from the chart, leaving only the central pivot range, and you should be able to tell me what the market is doing—and still make money! Take a look at Figure 6.28, which is the same ENR chart that we have studied. I have removed all the candlesticks from the chart, leaving only the centrals in plain view. Even with price removed from view, you can easily</w:t>
      </w:r>
      <w:r>
        <w:rPr>
          <w:spacing w:val="40"/>
        </w:rPr>
        <w:t> </w:t>
      </w:r>
      <w:r>
        <w:rPr/>
        <w:t>see the trends of the market and could make money by only trading in the direction of the prevailing trend. While I don’t suggest you trade this way, you can see that keeping your finger on the pulse of the centrals can help to remove the clutter from the chart, both literally and figuratively.</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234524" cy="2762916"/>
            <wp:effectExtent l="0" t="0" r="0" b="0"/>
            <wp:docPr id="193" name="image98.png"/>
            <wp:cNvGraphicFramePr>
              <a:graphicFrameLocks noChangeAspect="1"/>
            </wp:cNvGraphicFramePr>
            <a:graphic>
              <a:graphicData uri="http://schemas.openxmlformats.org/drawingml/2006/picture">
                <pic:pic>
                  <pic:nvPicPr>
                    <pic:cNvPr id="194" name="image98.png"/>
                    <pic:cNvPicPr/>
                  </pic:nvPicPr>
                  <pic:blipFill>
                    <a:blip r:embed="rId207" cstate="print"/>
                    <a:stretch>
                      <a:fillRect/>
                    </a:stretch>
                  </pic:blipFill>
                  <pic:spPr>
                    <a:xfrm>
                      <a:off x="0" y="0"/>
                      <a:ext cx="4234524" cy="2762916"/>
                    </a:xfrm>
                    <a:prstGeom prst="rect">
                      <a:avLst/>
                    </a:prstGeom>
                  </pic:spPr>
                </pic:pic>
              </a:graphicData>
            </a:graphic>
          </wp:inline>
        </w:drawing>
      </w:r>
      <w:r>
        <w:rPr>
          <w:sz w:val="20"/>
        </w:rPr>
      </w:r>
    </w:p>
    <w:p>
      <w:pPr>
        <w:spacing w:before="39"/>
        <w:ind w:left="140" w:right="0" w:firstLine="0"/>
        <w:jc w:val="left"/>
        <w:rPr>
          <w:sz w:val="16"/>
        </w:rPr>
      </w:pPr>
      <w:r>
        <w:rPr>
          <w:sz w:val="16"/>
        </w:rPr>
        <w:t>FIGURE</w:t>
      </w:r>
      <w:r>
        <w:rPr>
          <w:spacing w:val="2"/>
          <w:sz w:val="16"/>
        </w:rPr>
        <w:t> </w:t>
      </w:r>
      <w:r>
        <w:rPr>
          <w:sz w:val="16"/>
        </w:rPr>
        <w:t>6.28:</w:t>
      </w:r>
      <w:r>
        <w:rPr>
          <w:spacing w:val="2"/>
          <w:sz w:val="16"/>
        </w:rPr>
        <w:t> </w:t>
      </w:r>
      <w:r>
        <w:rPr>
          <w:sz w:val="16"/>
        </w:rPr>
        <w:t>The</w:t>
      </w:r>
      <w:r>
        <w:rPr>
          <w:spacing w:val="2"/>
          <w:sz w:val="16"/>
        </w:rPr>
        <w:t> </w:t>
      </w:r>
      <w:r>
        <w:rPr>
          <w:sz w:val="16"/>
        </w:rPr>
        <w:t>pivot</w:t>
      </w:r>
      <w:r>
        <w:rPr>
          <w:spacing w:val="2"/>
          <w:sz w:val="16"/>
        </w:rPr>
        <w:t> </w:t>
      </w:r>
      <w:r>
        <w:rPr>
          <w:sz w:val="16"/>
        </w:rPr>
        <w:t>range</w:t>
      </w:r>
      <w:r>
        <w:rPr>
          <w:spacing w:val="2"/>
          <w:sz w:val="16"/>
        </w:rPr>
        <w:t> </w:t>
      </w:r>
      <w:r>
        <w:rPr>
          <w:sz w:val="16"/>
        </w:rPr>
        <w:t>allows</w:t>
      </w:r>
      <w:r>
        <w:rPr>
          <w:spacing w:val="2"/>
          <w:sz w:val="16"/>
        </w:rPr>
        <w:t> </w:t>
      </w:r>
      <w:r>
        <w:rPr>
          <w:sz w:val="16"/>
        </w:rPr>
        <w:t>you</w:t>
      </w:r>
      <w:r>
        <w:rPr>
          <w:spacing w:val="2"/>
          <w:sz w:val="16"/>
        </w:rPr>
        <w:t> </w:t>
      </w:r>
      <w:r>
        <w:rPr>
          <w:sz w:val="16"/>
        </w:rPr>
        <w:t>to</w:t>
      </w:r>
      <w:r>
        <w:rPr>
          <w:spacing w:val="2"/>
          <w:sz w:val="16"/>
        </w:rPr>
        <w:t> </w:t>
      </w:r>
      <w:r>
        <w:rPr>
          <w:sz w:val="16"/>
        </w:rPr>
        <w:t>visualize</w:t>
      </w:r>
      <w:r>
        <w:rPr>
          <w:spacing w:val="2"/>
          <w:sz w:val="16"/>
        </w:rPr>
        <w:t> </w:t>
      </w:r>
      <w:r>
        <w:rPr>
          <w:sz w:val="16"/>
        </w:rPr>
        <w:t>trending</w:t>
      </w:r>
      <w:r>
        <w:rPr>
          <w:spacing w:val="4"/>
          <w:sz w:val="16"/>
        </w:rPr>
        <w:t> </w:t>
      </w:r>
      <w:r>
        <w:rPr>
          <w:spacing w:val="-2"/>
          <w:sz w:val="16"/>
        </w:rPr>
        <w:t>markets.</w:t>
      </w:r>
    </w:p>
    <w:p>
      <w:pPr>
        <w:pStyle w:val="BodyText"/>
        <w:spacing w:before="1"/>
      </w:pPr>
    </w:p>
    <w:p>
      <w:pPr>
        <w:pStyle w:val="BodyText"/>
        <w:spacing w:before="1"/>
        <w:ind w:left="139" w:right="495" w:firstLine="432"/>
        <w:jc w:val="both"/>
      </w:pPr>
      <w:r>
        <w:rPr/>
        <w:t>Take a look at Figure 6.29, which is a fifteen-minute chart of the</w:t>
      </w:r>
      <w:r>
        <w:rPr>
          <w:spacing w:val="80"/>
        </w:rPr>
        <w:t> </w:t>
      </w:r>
      <w:r>
        <w:rPr/>
        <w:t>Natural Gas futures contract. This chart illustrates the typical behavior at the central pivot range when a market is in an established trend. First, notice the market closed below the day’s pivot range in every session in this sequence, thus</w:t>
      </w:r>
      <w:r>
        <w:rPr>
          <w:spacing w:val="-2"/>
        </w:rPr>
        <w:t> </w:t>
      </w:r>
      <w:r>
        <w:rPr/>
        <w:t>painting</w:t>
      </w:r>
      <w:r>
        <w:rPr>
          <w:spacing w:val="-4"/>
        </w:rPr>
        <w:t> </w:t>
      </w:r>
      <w:r>
        <w:rPr/>
        <w:t>the</w:t>
      </w:r>
      <w:r>
        <w:rPr>
          <w:spacing w:val="-2"/>
        </w:rPr>
        <w:t> </w:t>
      </w:r>
      <w:r>
        <w:rPr/>
        <w:t>following</w:t>
      </w:r>
      <w:r>
        <w:rPr>
          <w:spacing w:val="-4"/>
        </w:rPr>
        <w:t> </w:t>
      </w:r>
      <w:r>
        <w:rPr/>
        <w:t>day</w:t>
      </w:r>
      <w:r>
        <w:rPr>
          <w:spacing w:val="-2"/>
        </w:rPr>
        <w:t> </w:t>
      </w:r>
      <w:r>
        <w:rPr/>
        <w:t>with</w:t>
      </w:r>
      <w:r>
        <w:rPr>
          <w:spacing w:val="-3"/>
        </w:rPr>
        <w:t> </w:t>
      </w:r>
      <w:r>
        <w:rPr/>
        <w:t>a</w:t>
      </w:r>
      <w:r>
        <w:rPr>
          <w:spacing w:val="-2"/>
        </w:rPr>
        <w:t> </w:t>
      </w:r>
      <w:r>
        <w:rPr/>
        <w:t>bearish</w:t>
      </w:r>
      <w:r>
        <w:rPr>
          <w:spacing w:val="-2"/>
        </w:rPr>
        <w:t> </w:t>
      </w:r>
      <w:r>
        <w:rPr/>
        <w:t>bias.</w:t>
      </w:r>
      <w:r>
        <w:rPr>
          <w:spacing w:val="-3"/>
        </w:rPr>
        <w:t> </w:t>
      </w:r>
      <w:r>
        <w:rPr/>
        <w:t>Second,</w:t>
      </w:r>
      <w:r>
        <w:rPr>
          <w:spacing w:val="-2"/>
        </w:rPr>
        <w:t> </w:t>
      </w:r>
      <w:r>
        <w:rPr/>
        <w:t>notice</w:t>
      </w:r>
      <w:r>
        <w:rPr>
          <w:spacing w:val="-2"/>
        </w:rPr>
        <w:t> </w:t>
      </w:r>
      <w:r>
        <w:rPr/>
        <w:t>how</w:t>
      </w:r>
      <w:r>
        <w:rPr>
          <w:spacing w:val="-2"/>
        </w:rPr>
        <w:t> </w:t>
      </w:r>
      <w:r>
        <w:rPr/>
        <w:t>every pull-back to the CPR was met with selling pressure, thereby following the typical path of “selling the rallies.” Moreover, every time price tested the pivot range it never closed beyond the top central pivot, instead leaving only wicks in its wake. Every test at the pivot range occurred early in the day and led to new lows by the afternoon, setting the stage for another round of anticipated behavior the following session. This is pivot range trend analysis at its best. Price movement becomes like clockwork: calculated and expected outcomes in an orderly trend.</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97" cy="3094672"/>
            <wp:effectExtent l="0" t="0" r="0" b="0"/>
            <wp:docPr id="195" name="image99.png"/>
            <wp:cNvGraphicFramePr>
              <a:graphicFrameLocks noChangeAspect="1"/>
            </wp:cNvGraphicFramePr>
            <a:graphic>
              <a:graphicData uri="http://schemas.openxmlformats.org/drawingml/2006/picture">
                <pic:pic>
                  <pic:nvPicPr>
                    <pic:cNvPr id="196" name="image99.png"/>
                    <pic:cNvPicPr/>
                  </pic:nvPicPr>
                  <pic:blipFill>
                    <a:blip r:embed="rId208" cstate="print"/>
                    <a:stretch>
                      <a:fillRect/>
                    </a:stretch>
                  </pic:blipFill>
                  <pic:spPr>
                    <a:xfrm>
                      <a:off x="0" y="0"/>
                      <a:ext cx="4304897" cy="3094672"/>
                    </a:xfrm>
                    <a:prstGeom prst="rect">
                      <a:avLst/>
                    </a:prstGeom>
                  </pic:spPr>
                </pic:pic>
              </a:graphicData>
            </a:graphic>
          </wp:inline>
        </w:drawing>
      </w:r>
      <w:r>
        <w:rPr>
          <w:sz w:val="20"/>
        </w:rPr>
      </w:r>
    </w:p>
    <w:p>
      <w:pPr>
        <w:spacing w:before="49"/>
        <w:ind w:left="500" w:right="0" w:firstLine="0"/>
        <w:jc w:val="left"/>
        <w:rPr>
          <w:sz w:val="16"/>
        </w:rPr>
      </w:pPr>
      <w:r>
        <w:rPr>
          <w:sz w:val="16"/>
        </w:rPr>
        <w:t>FIGURE 6.29:</w:t>
      </w:r>
      <w:r>
        <w:rPr>
          <w:spacing w:val="1"/>
          <w:sz w:val="16"/>
        </w:rPr>
        <w:t> </w:t>
      </w:r>
      <w:r>
        <w:rPr>
          <w:sz w:val="16"/>
        </w:rPr>
        <w:t>The pivot</w:t>
      </w:r>
      <w:r>
        <w:rPr>
          <w:spacing w:val="1"/>
          <w:sz w:val="16"/>
        </w:rPr>
        <w:t> </w:t>
      </w:r>
      <w:r>
        <w:rPr>
          <w:sz w:val="16"/>
        </w:rPr>
        <w:t>range acts</w:t>
      </w:r>
      <w:r>
        <w:rPr>
          <w:spacing w:val="2"/>
          <w:sz w:val="16"/>
        </w:rPr>
        <w:t> </w:t>
      </w:r>
      <w:r>
        <w:rPr>
          <w:sz w:val="16"/>
        </w:rPr>
        <w:t>as resistance</w:t>
      </w:r>
      <w:r>
        <w:rPr>
          <w:spacing w:val="1"/>
          <w:sz w:val="16"/>
        </w:rPr>
        <w:t> </w:t>
      </w:r>
      <w:r>
        <w:rPr>
          <w:sz w:val="16"/>
        </w:rPr>
        <w:t>in</w:t>
      </w:r>
      <w:r>
        <w:rPr>
          <w:spacing w:val="2"/>
          <w:sz w:val="16"/>
        </w:rPr>
        <w:t> </w:t>
      </w:r>
      <w:r>
        <w:rPr>
          <w:sz w:val="16"/>
        </w:rPr>
        <w:t>a bearish</w:t>
      </w:r>
      <w:r>
        <w:rPr>
          <w:spacing w:val="1"/>
          <w:sz w:val="16"/>
        </w:rPr>
        <w:t> </w:t>
      </w:r>
      <w:r>
        <w:rPr>
          <w:spacing w:val="-2"/>
          <w:sz w:val="16"/>
        </w:rPr>
        <w:t>trend.</w:t>
      </w:r>
    </w:p>
    <w:p>
      <w:pPr>
        <w:pStyle w:val="BodyText"/>
        <w:spacing w:before="2"/>
      </w:pPr>
    </w:p>
    <w:p>
      <w:pPr>
        <w:pStyle w:val="BodyText"/>
        <w:ind w:left="500"/>
      </w:pPr>
      <w:r>
        <w:rPr/>
        <w:t>BOSS</w:t>
      </w:r>
      <w:r>
        <w:rPr>
          <w:spacing w:val="-5"/>
        </w:rPr>
        <w:t> </w:t>
      </w:r>
      <w:r>
        <w:rPr/>
        <w:t>IN</w:t>
      </w:r>
      <w:r>
        <w:rPr>
          <w:spacing w:val="-5"/>
        </w:rPr>
        <w:t> </w:t>
      </w:r>
      <w:r>
        <w:rPr>
          <w:spacing w:val="-2"/>
        </w:rPr>
        <w:t>ACTION</w:t>
      </w:r>
    </w:p>
    <w:p>
      <w:pPr>
        <w:pStyle w:val="BodyText"/>
        <w:spacing w:before="11"/>
        <w:rPr>
          <w:sz w:val="21"/>
        </w:rPr>
      </w:pPr>
    </w:p>
    <w:p>
      <w:pPr>
        <w:pStyle w:val="BodyText"/>
        <w:ind w:left="500" w:right="137" w:firstLine="432"/>
        <w:jc w:val="both"/>
      </w:pPr>
      <w:r>
        <w:rPr/>
        <w:t>I study price behavior closely at the central pivot range early in the day for signs of a bounce in the direction of the prevailing trend when the market has</w:t>
      </w:r>
      <w:r>
        <w:rPr>
          <w:spacing w:val="-1"/>
        </w:rPr>
        <w:t> </w:t>
      </w:r>
      <w:r>
        <w:rPr/>
        <w:t>formed</w:t>
      </w:r>
      <w:r>
        <w:rPr>
          <w:spacing w:val="-1"/>
        </w:rPr>
        <w:t> </w:t>
      </w:r>
      <w:r>
        <w:rPr/>
        <w:t>a</w:t>
      </w:r>
      <w:r>
        <w:rPr>
          <w:spacing w:val="-1"/>
        </w:rPr>
        <w:t> </w:t>
      </w:r>
      <w:r>
        <w:rPr/>
        <w:t>Higher</w:t>
      </w:r>
      <w:r>
        <w:rPr>
          <w:spacing w:val="-1"/>
        </w:rPr>
        <w:t> </w:t>
      </w:r>
      <w:r>
        <w:rPr/>
        <w:t>or</w:t>
      </w:r>
      <w:r>
        <w:rPr>
          <w:spacing w:val="-1"/>
        </w:rPr>
        <w:t> </w:t>
      </w:r>
      <w:r>
        <w:rPr/>
        <w:t>Lower</w:t>
      </w:r>
      <w:r>
        <w:rPr>
          <w:spacing w:val="-1"/>
        </w:rPr>
        <w:t> </w:t>
      </w:r>
      <w:r>
        <w:rPr/>
        <w:t>Value</w:t>
      </w:r>
      <w:r>
        <w:rPr>
          <w:spacing w:val="-1"/>
        </w:rPr>
        <w:t> </w:t>
      </w:r>
      <w:r>
        <w:rPr/>
        <w:t>two-day</w:t>
      </w:r>
      <w:r>
        <w:rPr>
          <w:spacing w:val="-1"/>
        </w:rPr>
        <w:t> </w:t>
      </w:r>
      <w:r>
        <w:rPr/>
        <w:t>relationship</w:t>
      </w:r>
      <w:r>
        <w:rPr>
          <w:spacing w:val="-1"/>
        </w:rPr>
        <w:t> </w:t>
      </w:r>
      <w:r>
        <w:rPr/>
        <w:t>or</w:t>
      </w:r>
      <w:r>
        <w:rPr>
          <w:spacing w:val="-2"/>
        </w:rPr>
        <w:t> </w:t>
      </w:r>
      <w:r>
        <w:rPr/>
        <w:t>a</w:t>
      </w:r>
      <w:r>
        <w:rPr>
          <w:spacing w:val="-1"/>
        </w:rPr>
        <w:t> </w:t>
      </w:r>
      <w:r>
        <w:rPr/>
        <w:t>series</w:t>
      </w:r>
      <w:r>
        <w:rPr>
          <w:spacing w:val="-1"/>
        </w:rPr>
        <w:t> </w:t>
      </w:r>
      <w:r>
        <w:rPr/>
        <w:t>of</w:t>
      </w:r>
      <w:r>
        <w:rPr>
          <w:spacing w:val="-1"/>
        </w:rPr>
        <w:t> </w:t>
      </w:r>
      <w:r>
        <w:rPr/>
        <w:t>these relationships</w:t>
      </w:r>
      <w:r>
        <w:rPr>
          <w:spacing w:val="-2"/>
        </w:rPr>
        <w:t> </w:t>
      </w:r>
      <w:r>
        <w:rPr/>
        <w:t>in</w:t>
      </w:r>
      <w:r>
        <w:rPr>
          <w:spacing w:val="-2"/>
        </w:rPr>
        <w:t> </w:t>
      </w:r>
      <w:r>
        <w:rPr/>
        <w:t>a</w:t>
      </w:r>
      <w:r>
        <w:rPr>
          <w:spacing w:val="-2"/>
        </w:rPr>
        <w:t> </w:t>
      </w:r>
      <w:r>
        <w:rPr/>
        <w:t>trend.</w:t>
      </w:r>
      <w:r>
        <w:rPr>
          <w:spacing w:val="-2"/>
        </w:rPr>
        <w:t> </w:t>
      </w:r>
      <w:r>
        <w:rPr/>
        <w:t>I</w:t>
      </w:r>
      <w:r>
        <w:rPr>
          <w:spacing w:val="-1"/>
        </w:rPr>
        <w:t> </w:t>
      </w:r>
      <w:r>
        <w:rPr/>
        <w:t>find</w:t>
      </w:r>
      <w:r>
        <w:rPr>
          <w:spacing w:val="-2"/>
        </w:rPr>
        <w:t> </w:t>
      </w:r>
      <w:r>
        <w:rPr/>
        <w:t>that</w:t>
      </w:r>
      <w:r>
        <w:rPr>
          <w:spacing w:val="-2"/>
        </w:rPr>
        <w:t> </w:t>
      </w:r>
      <w:r>
        <w:rPr/>
        <w:t>pull-back</w:t>
      </w:r>
      <w:r>
        <w:rPr>
          <w:spacing w:val="-2"/>
        </w:rPr>
        <w:t> </w:t>
      </w:r>
      <w:r>
        <w:rPr/>
        <w:t>opportunities</w:t>
      </w:r>
      <w:r>
        <w:rPr>
          <w:spacing w:val="-2"/>
        </w:rPr>
        <w:t> </w:t>
      </w:r>
      <w:r>
        <w:rPr/>
        <w:t>usually</w:t>
      </w:r>
      <w:r>
        <w:rPr>
          <w:spacing w:val="-2"/>
        </w:rPr>
        <w:t> </w:t>
      </w:r>
      <w:r>
        <w:rPr/>
        <w:t>occur</w:t>
      </w:r>
      <w:r>
        <w:rPr>
          <w:spacing w:val="-2"/>
        </w:rPr>
        <w:t> </w:t>
      </w:r>
      <w:r>
        <w:rPr/>
        <w:t>early in the session, with follow-through occurring the rest of the day. As such,</w:t>
      </w:r>
      <w:r>
        <w:rPr>
          <w:spacing w:val="80"/>
        </w:rPr>
        <w:t> </w:t>
      </w:r>
      <w:r>
        <w:rPr/>
        <w:t>any pull-back to the range early in the morning is a buying or selling opportunity depending on the direction of the trend. Once in the trade, the goal is to either ride the trade to a prior area of support or resistance, or to a new high or low within the trend.</w:t>
      </w:r>
    </w:p>
    <w:p>
      <w:pPr>
        <w:pStyle w:val="BodyText"/>
        <w:spacing w:before="1"/>
        <w:ind w:left="500" w:right="136" w:firstLine="432"/>
        <w:jc w:val="both"/>
      </w:pPr>
      <w:r>
        <w:rPr/>
        <w:t>Take</w:t>
      </w:r>
      <w:r>
        <w:rPr>
          <w:spacing w:val="-2"/>
        </w:rPr>
        <w:t> </w:t>
      </w:r>
      <w:r>
        <w:rPr/>
        <w:t>a</w:t>
      </w:r>
      <w:r>
        <w:rPr>
          <w:spacing w:val="-2"/>
        </w:rPr>
        <w:t> </w:t>
      </w:r>
      <w:r>
        <w:rPr/>
        <w:t>look</w:t>
      </w:r>
      <w:r>
        <w:rPr>
          <w:spacing w:val="-2"/>
        </w:rPr>
        <w:t> </w:t>
      </w:r>
      <w:r>
        <w:rPr/>
        <w:t>at</w:t>
      </w:r>
      <w:r>
        <w:rPr>
          <w:spacing w:val="-2"/>
        </w:rPr>
        <w:t> </w:t>
      </w:r>
      <w:r>
        <w:rPr/>
        <w:t>Figure</w:t>
      </w:r>
      <w:r>
        <w:rPr>
          <w:spacing w:val="-2"/>
        </w:rPr>
        <w:t> </w:t>
      </w:r>
      <w:r>
        <w:rPr/>
        <w:t>6.30,</w:t>
      </w:r>
      <w:r>
        <w:rPr>
          <w:spacing w:val="-3"/>
        </w:rPr>
        <w:t> </w:t>
      </w:r>
      <w:r>
        <w:rPr/>
        <w:t>which</w:t>
      </w:r>
      <w:r>
        <w:rPr>
          <w:spacing w:val="-2"/>
        </w:rPr>
        <w:t> </w:t>
      </w:r>
      <w:r>
        <w:rPr/>
        <w:t>shows</w:t>
      </w:r>
      <w:r>
        <w:rPr>
          <w:spacing w:val="-2"/>
        </w:rPr>
        <w:t> </w:t>
      </w:r>
      <w:r>
        <w:rPr/>
        <w:t>a</w:t>
      </w:r>
      <w:r>
        <w:rPr>
          <w:spacing w:val="-2"/>
        </w:rPr>
        <w:t> </w:t>
      </w:r>
      <w:r>
        <w:rPr/>
        <w:t>trade</w:t>
      </w:r>
      <w:r>
        <w:rPr>
          <w:spacing w:val="-2"/>
        </w:rPr>
        <w:t> </w:t>
      </w:r>
      <w:r>
        <w:rPr/>
        <w:t>I</w:t>
      </w:r>
      <w:r>
        <w:rPr>
          <w:spacing w:val="-2"/>
        </w:rPr>
        <w:t> </w:t>
      </w:r>
      <w:r>
        <w:rPr/>
        <w:t>took</w:t>
      </w:r>
      <w:r>
        <w:rPr>
          <w:spacing w:val="-3"/>
        </w:rPr>
        <w:t> </w:t>
      </w:r>
      <w:r>
        <w:rPr/>
        <w:t>in</w:t>
      </w:r>
      <w:r>
        <w:rPr>
          <w:spacing w:val="-2"/>
        </w:rPr>
        <w:t> </w:t>
      </w:r>
      <w:r>
        <w:rPr/>
        <w:t>the</w:t>
      </w:r>
      <w:r>
        <w:rPr>
          <w:spacing w:val="-2"/>
        </w:rPr>
        <w:t> </w:t>
      </w:r>
      <w:r>
        <w:rPr/>
        <w:t>Mini-Sized Dow</w:t>
      </w:r>
      <w:r>
        <w:rPr>
          <w:spacing w:val="-2"/>
        </w:rPr>
        <w:t> </w:t>
      </w:r>
      <w:r>
        <w:rPr/>
        <w:t>futures</w:t>
      </w:r>
      <w:r>
        <w:rPr>
          <w:spacing w:val="-2"/>
        </w:rPr>
        <w:t> </w:t>
      </w:r>
      <w:r>
        <w:rPr/>
        <w:t>contract</w:t>
      </w:r>
      <w:r>
        <w:rPr>
          <w:spacing w:val="-2"/>
        </w:rPr>
        <w:t> </w:t>
      </w:r>
      <w:r>
        <w:rPr/>
        <w:t>on</w:t>
      </w:r>
      <w:r>
        <w:rPr>
          <w:spacing w:val="-2"/>
        </w:rPr>
        <w:t> </w:t>
      </w:r>
      <w:r>
        <w:rPr/>
        <w:t>July</w:t>
      </w:r>
      <w:r>
        <w:rPr>
          <w:spacing w:val="-2"/>
        </w:rPr>
        <w:t> </w:t>
      </w:r>
      <w:r>
        <w:rPr/>
        <w:t>8,</w:t>
      </w:r>
      <w:r>
        <w:rPr>
          <w:spacing w:val="-2"/>
        </w:rPr>
        <w:t> </w:t>
      </w:r>
      <w:r>
        <w:rPr/>
        <w:t>2009.</w:t>
      </w:r>
      <w:r>
        <w:rPr>
          <w:spacing w:val="-5"/>
        </w:rPr>
        <w:t> </w:t>
      </w:r>
      <w:r>
        <w:rPr/>
        <w:t>The</w:t>
      </w:r>
      <w:r>
        <w:rPr>
          <w:spacing w:val="-2"/>
        </w:rPr>
        <w:t> </w:t>
      </w:r>
      <w:r>
        <w:rPr/>
        <w:t>YM</w:t>
      </w:r>
      <w:r>
        <w:rPr>
          <w:spacing w:val="-2"/>
        </w:rPr>
        <w:t> </w:t>
      </w:r>
      <w:r>
        <w:rPr/>
        <w:t>was</w:t>
      </w:r>
      <w:r>
        <w:rPr>
          <w:spacing w:val="-1"/>
        </w:rPr>
        <w:t> </w:t>
      </w:r>
      <w:r>
        <w:rPr/>
        <w:t>in</w:t>
      </w:r>
      <w:r>
        <w:rPr>
          <w:spacing w:val="-2"/>
        </w:rPr>
        <w:t> </w:t>
      </w:r>
      <w:r>
        <w:rPr/>
        <w:t>the</w:t>
      </w:r>
      <w:r>
        <w:rPr>
          <w:spacing w:val="-2"/>
        </w:rPr>
        <w:t> </w:t>
      </w:r>
      <w:r>
        <w:rPr/>
        <w:t>midst</w:t>
      </w:r>
      <w:r>
        <w:rPr>
          <w:spacing w:val="-2"/>
        </w:rPr>
        <w:t> </w:t>
      </w:r>
      <w:r>
        <w:rPr/>
        <w:t>of</w:t>
      </w:r>
      <w:r>
        <w:rPr>
          <w:spacing w:val="-2"/>
        </w:rPr>
        <w:t> </w:t>
      </w:r>
      <w:r>
        <w:rPr/>
        <w:t>a</w:t>
      </w:r>
      <w:r>
        <w:rPr>
          <w:spacing w:val="-2"/>
        </w:rPr>
        <w:t> </w:t>
      </w:r>
      <w:r>
        <w:rPr/>
        <w:t>four-day downtrend and formed a clear two-day Lower Value relationship. The fact that the YM closed well below the pivot range in the prior session gave me a very good indication that any pull-back to the pivot range could lead to nice short opportunity the following morning.</w:t>
      </w:r>
    </w:p>
    <w:p>
      <w:pPr>
        <w:pStyle w:val="BodyText"/>
        <w:ind w:left="500" w:right="135" w:firstLine="432"/>
        <w:jc w:val="both"/>
      </w:pPr>
      <w:r>
        <w:rPr/>
        <w:t>The YM opened the day with mild strength the next morning and</w:t>
      </w:r>
      <w:r>
        <w:rPr>
          <w:spacing w:val="40"/>
        </w:rPr>
        <w:t> </w:t>
      </w:r>
      <w:r>
        <w:rPr/>
        <w:t>pushed precisely to the central pivot range before forming a bearish wick reversal</w:t>
      </w:r>
      <w:r>
        <w:rPr>
          <w:spacing w:val="33"/>
        </w:rPr>
        <w:t> </w:t>
      </w:r>
      <w:r>
        <w:rPr/>
        <w:t>candlestick.</w:t>
      </w:r>
      <w:r>
        <w:rPr>
          <w:spacing w:val="32"/>
        </w:rPr>
        <w:t> </w:t>
      </w:r>
      <w:r>
        <w:rPr/>
        <w:t>Since</w:t>
      </w:r>
      <w:r>
        <w:rPr>
          <w:spacing w:val="34"/>
        </w:rPr>
        <w:t> </w:t>
      </w:r>
      <w:r>
        <w:rPr/>
        <w:t>I</w:t>
      </w:r>
      <w:r>
        <w:rPr>
          <w:spacing w:val="31"/>
        </w:rPr>
        <w:t> </w:t>
      </w:r>
      <w:r>
        <w:rPr/>
        <w:t>was</w:t>
      </w:r>
      <w:r>
        <w:rPr>
          <w:spacing w:val="32"/>
        </w:rPr>
        <w:t> </w:t>
      </w:r>
      <w:r>
        <w:rPr/>
        <w:t>fairly</w:t>
      </w:r>
      <w:r>
        <w:rPr>
          <w:spacing w:val="31"/>
        </w:rPr>
        <w:t> </w:t>
      </w:r>
      <w:r>
        <w:rPr/>
        <w:t>confident</w:t>
      </w:r>
      <w:r>
        <w:rPr>
          <w:spacing w:val="33"/>
        </w:rPr>
        <w:t> </w:t>
      </w:r>
      <w:r>
        <w:rPr/>
        <w:t>about</w:t>
      </w:r>
      <w:r>
        <w:rPr>
          <w:spacing w:val="32"/>
        </w:rPr>
        <w:t> </w:t>
      </w:r>
      <w:r>
        <w:rPr/>
        <w:t>the</w:t>
      </w:r>
      <w:r>
        <w:rPr>
          <w:spacing w:val="33"/>
        </w:rPr>
        <w:t> </w:t>
      </w:r>
      <w:r>
        <w:rPr/>
        <w:t>potential</w:t>
      </w:r>
      <w:r>
        <w:rPr>
          <w:spacing w:val="32"/>
        </w:rPr>
        <w:t> </w:t>
      </w:r>
      <w:r>
        <w:rPr/>
        <w:t>for</w:t>
      </w:r>
      <w:r>
        <w:rPr>
          <w:spacing w:val="32"/>
        </w:rPr>
        <w:t> </w:t>
      </w:r>
      <w:r>
        <w:rPr>
          <w:spacing w:val="-10"/>
        </w:rPr>
        <w:t>a</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5"/>
        <w:jc w:val="both"/>
      </w:pPr>
      <w:r>
        <w:rPr/>
        <w:t>decline, I entered the trade during the formation of the bearish candlestick at 8,153,</w:t>
      </w:r>
      <w:r>
        <w:rPr>
          <w:spacing w:val="-3"/>
        </w:rPr>
        <w:t> </w:t>
      </w:r>
      <w:r>
        <w:rPr/>
        <w:t>instead</w:t>
      </w:r>
      <w:r>
        <w:rPr>
          <w:spacing w:val="-3"/>
        </w:rPr>
        <w:t> </w:t>
      </w:r>
      <w:r>
        <w:rPr/>
        <w:t>of</w:t>
      </w:r>
      <w:r>
        <w:rPr>
          <w:spacing w:val="-3"/>
        </w:rPr>
        <w:t> </w:t>
      </w:r>
      <w:r>
        <w:rPr/>
        <w:t>waiting</w:t>
      </w:r>
      <w:r>
        <w:rPr>
          <w:spacing w:val="-4"/>
        </w:rPr>
        <w:t> </w:t>
      </w:r>
      <w:r>
        <w:rPr/>
        <w:t>for</w:t>
      </w:r>
      <w:r>
        <w:rPr>
          <w:spacing w:val="-3"/>
        </w:rPr>
        <w:t> </w:t>
      </w:r>
      <w:r>
        <w:rPr/>
        <w:t>additional</w:t>
      </w:r>
      <w:r>
        <w:rPr>
          <w:spacing w:val="-5"/>
        </w:rPr>
        <w:t> </w:t>
      </w:r>
      <w:r>
        <w:rPr/>
        <w:t>confirmation.</w:t>
      </w:r>
      <w:r>
        <w:rPr>
          <w:spacing w:val="-3"/>
        </w:rPr>
        <w:t> </w:t>
      </w:r>
      <w:r>
        <w:rPr/>
        <w:t>I</w:t>
      </w:r>
      <w:r>
        <w:rPr>
          <w:spacing w:val="-4"/>
        </w:rPr>
        <w:t> </w:t>
      </w:r>
      <w:r>
        <w:rPr/>
        <w:t>set</w:t>
      </w:r>
      <w:r>
        <w:rPr>
          <w:spacing w:val="-2"/>
        </w:rPr>
        <w:t> </w:t>
      </w:r>
      <w:r>
        <w:rPr/>
        <w:t>my</w:t>
      </w:r>
      <w:r>
        <w:rPr>
          <w:spacing w:val="-3"/>
        </w:rPr>
        <w:t> </w:t>
      </w:r>
      <w:r>
        <w:rPr/>
        <w:t>stop</w:t>
      </w:r>
      <w:r>
        <w:rPr>
          <w:spacing w:val="-4"/>
        </w:rPr>
        <w:t> </w:t>
      </w:r>
      <w:r>
        <w:rPr/>
        <w:t>loss</w:t>
      </w:r>
      <w:r>
        <w:rPr>
          <w:spacing w:val="-3"/>
        </w:rPr>
        <w:t> </w:t>
      </w:r>
      <w:r>
        <w:rPr/>
        <w:t>above the top of the pivot range and looked to take profits upon price reaching a new low within the trend. Therefore, I set my profit target to 8,082 and let price do the rest. An hour later, my profit target was reached, giving me an easy 71 point gain in the trade, which amounts to $355 per contract traded. Not bad for an hour’s work!</w:t>
      </w:r>
    </w:p>
    <w:p>
      <w:pPr>
        <w:pStyle w:val="BodyText"/>
        <w:spacing w:before="2"/>
        <w:rPr>
          <w:sz w:val="20"/>
        </w:rPr>
      </w:pPr>
      <w:r>
        <w:rPr/>
        <w:drawing>
          <wp:anchor distT="0" distB="0" distL="0" distR="0" allowOverlap="1" layoutInCell="1" locked="0" behindDoc="0" simplePos="0" relativeHeight="202">
            <wp:simplePos x="0" y="0"/>
            <wp:positionH relativeFrom="page">
              <wp:posOffset>457200</wp:posOffset>
            </wp:positionH>
            <wp:positionV relativeFrom="paragraph">
              <wp:posOffset>162900</wp:posOffset>
            </wp:positionV>
            <wp:extent cx="4343053" cy="2990373"/>
            <wp:effectExtent l="0" t="0" r="0" b="0"/>
            <wp:wrapTopAndBottom/>
            <wp:docPr id="197" name="image100.png"/>
            <wp:cNvGraphicFramePr>
              <a:graphicFrameLocks noChangeAspect="1"/>
            </wp:cNvGraphicFramePr>
            <a:graphic>
              <a:graphicData uri="http://schemas.openxmlformats.org/drawingml/2006/picture">
                <pic:pic>
                  <pic:nvPicPr>
                    <pic:cNvPr id="198" name="image100.png"/>
                    <pic:cNvPicPr/>
                  </pic:nvPicPr>
                  <pic:blipFill>
                    <a:blip r:embed="rId209" cstate="print"/>
                    <a:stretch>
                      <a:fillRect/>
                    </a:stretch>
                  </pic:blipFill>
                  <pic:spPr>
                    <a:xfrm>
                      <a:off x="0" y="0"/>
                      <a:ext cx="4343053" cy="2990373"/>
                    </a:xfrm>
                    <a:prstGeom prst="rect">
                      <a:avLst/>
                    </a:prstGeom>
                  </pic:spPr>
                </pic:pic>
              </a:graphicData>
            </a:graphic>
          </wp:anchor>
        </w:drawing>
      </w:r>
    </w:p>
    <w:p>
      <w:pPr>
        <w:spacing w:before="0"/>
        <w:ind w:left="140" w:right="0" w:firstLine="0"/>
        <w:jc w:val="both"/>
        <w:rPr>
          <w:sz w:val="16"/>
        </w:rPr>
      </w:pPr>
      <w:r>
        <w:rPr>
          <w:sz w:val="16"/>
        </w:rPr>
        <w:t>FIGURE</w:t>
      </w:r>
      <w:r>
        <w:rPr>
          <w:spacing w:val="3"/>
          <w:sz w:val="16"/>
        </w:rPr>
        <w:t> </w:t>
      </w:r>
      <w:r>
        <w:rPr>
          <w:sz w:val="16"/>
        </w:rPr>
        <w:t>6.30:</w:t>
      </w:r>
      <w:r>
        <w:rPr>
          <w:spacing w:val="4"/>
          <w:sz w:val="16"/>
        </w:rPr>
        <w:t> </w:t>
      </w:r>
      <w:r>
        <w:rPr>
          <w:sz w:val="16"/>
        </w:rPr>
        <w:t>Selling</w:t>
      </w:r>
      <w:r>
        <w:rPr>
          <w:spacing w:val="3"/>
          <w:sz w:val="16"/>
        </w:rPr>
        <w:t> </w:t>
      </w:r>
      <w:r>
        <w:rPr>
          <w:sz w:val="16"/>
        </w:rPr>
        <w:t>the</w:t>
      </w:r>
      <w:r>
        <w:rPr>
          <w:spacing w:val="4"/>
          <w:sz w:val="16"/>
        </w:rPr>
        <w:t> </w:t>
      </w:r>
      <w:r>
        <w:rPr>
          <w:sz w:val="16"/>
        </w:rPr>
        <w:t>pull-back</w:t>
      </w:r>
      <w:r>
        <w:rPr>
          <w:spacing w:val="3"/>
          <w:sz w:val="16"/>
        </w:rPr>
        <w:t> </w:t>
      </w:r>
      <w:r>
        <w:rPr>
          <w:sz w:val="16"/>
        </w:rPr>
        <w:t>to</w:t>
      </w:r>
      <w:r>
        <w:rPr>
          <w:spacing w:val="4"/>
          <w:sz w:val="16"/>
        </w:rPr>
        <w:t> </w:t>
      </w:r>
      <w:r>
        <w:rPr>
          <w:sz w:val="16"/>
        </w:rPr>
        <w:t>the</w:t>
      </w:r>
      <w:r>
        <w:rPr>
          <w:spacing w:val="4"/>
          <w:sz w:val="16"/>
        </w:rPr>
        <w:t> </w:t>
      </w:r>
      <w:r>
        <w:rPr>
          <w:sz w:val="16"/>
        </w:rPr>
        <w:t>pivot</w:t>
      </w:r>
      <w:r>
        <w:rPr>
          <w:spacing w:val="3"/>
          <w:sz w:val="16"/>
        </w:rPr>
        <w:t> </w:t>
      </w:r>
      <w:r>
        <w:rPr>
          <w:spacing w:val="-2"/>
          <w:sz w:val="16"/>
        </w:rPr>
        <w:t>range</w:t>
      </w:r>
    </w:p>
    <w:p>
      <w:pPr>
        <w:pStyle w:val="BodyText"/>
        <w:spacing w:before="8"/>
        <w:rPr>
          <w:sz w:val="21"/>
        </w:rPr>
      </w:pPr>
    </w:p>
    <w:p>
      <w:pPr>
        <w:pStyle w:val="BodyText"/>
        <w:ind w:left="139" w:right="496" w:firstLine="432"/>
        <w:jc w:val="both"/>
      </w:pPr>
      <w:r>
        <w:rPr/>
        <w:t>It’s easy to overlook how powerful this information can be. Many</w:t>
      </w:r>
      <w:r>
        <w:rPr>
          <w:spacing w:val="40"/>
        </w:rPr>
        <w:t> </w:t>
      </w:r>
      <w:r>
        <w:rPr/>
        <w:t>traders</w:t>
      </w:r>
      <w:r>
        <w:rPr>
          <w:spacing w:val="-1"/>
        </w:rPr>
        <w:t> </w:t>
      </w:r>
      <w:r>
        <w:rPr/>
        <w:t>haven’t</w:t>
      </w:r>
      <w:r>
        <w:rPr>
          <w:spacing w:val="-1"/>
        </w:rPr>
        <w:t> </w:t>
      </w:r>
      <w:r>
        <w:rPr/>
        <w:t>a</w:t>
      </w:r>
      <w:r>
        <w:rPr>
          <w:spacing w:val="-1"/>
        </w:rPr>
        <w:t> </w:t>
      </w:r>
      <w:r>
        <w:rPr/>
        <w:t>clue</w:t>
      </w:r>
      <w:r>
        <w:rPr>
          <w:spacing w:val="-1"/>
        </w:rPr>
        <w:t> </w:t>
      </w:r>
      <w:r>
        <w:rPr/>
        <w:t>about</w:t>
      </w:r>
      <w:r>
        <w:rPr>
          <w:spacing w:val="-1"/>
        </w:rPr>
        <w:t> </w:t>
      </w:r>
      <w:r>
        <w:rPr/>
        <w:t>pivots.</w:t>
      </w:r>
      <w:r>
        <w:rPr>
          <w:spacing w:val="-1"/>
        </w:rPr>
        <w:t> </w:t>
      </w:r>
      <w:r>
        <w:rPr/>
        <w:t>They</w:t>
      </w:r>
      <w:r>
        <w:rPr>
          <w:spacing w:val="-2"/>
        </w:rPr>
        <w:t> </w:t>
      </w:r>
      <w:r>
        <w:rPr/>
        <w:t>wake</w:t>
      </w:r>
      <w:r>
        <w:rPr>
          <w:spacing w:val="-1"/>
        </w:rPr>
        <w:t> </w:t>
      </w:r>
      <w:r>
        <w:rPr/>
        <w:t>up</w:t>
      </w:r>
      <w:r>
        <w:rPr>
          <w:spacing w:val="-1"/>
        </w:rPr>
        <w:t> </w:t>
      </w:r>
      <w:r>
        <w:rPr/>
        <w:t>every</w:t>
      </w:r>
      <w:r>
        <w:rPr>
          <w:spacing w:val="-1"/>
        </w:rPr>
        <w:t> </w:t>
      </w:r>
      <w:r>
        <w:rPr/>
        <w:t>morning</w:t>
      </w:r>
      <w:r>
        <w:rPr>
          <w:spacing w:val="-1"/>
        </w:rPr>
        <w:t> </w:t>
      </w:r>
      <w:r>
        <w:rPr/>
        <w:t>and</w:t>
      </w:r>
      <w:r>
        <w:rPr>
          <w:spacing w:val="-1"/>
        </w:rPr>
        <w:t> </w:t>
      </w:r>
      <w:r>
        <w:rPr/>
        <w:t>wonder what the market will bring in the upcoming session, completely oblivious to the fact that the pivots may have already written the script for the day. Of course, not every day offers perfect trading opportunities. But understanding key pivot behavior allows you to wait patiently in the tall grass for a prime opportunity to pounce. Doing your homework prior to each market day allows you to study these important relationships and prepare for the upcoming session.</w:t>
      </w:r>
    </w:p>
    <w:p>
      <w:pPr>
        <w:spacing w:after="0"/>
        <w:jc w:val="both"/>
        <w:sectPr>
          <w:pgSz w:w="8640" w:h="12960"/>
          <w:pgMar w:header="579" w:footer="1060" w:top="760" w:bottom="1260" w:left="580" w:right="580"/>
        </w:sectPr>
      </w:pPr>
    </w:p>
    <w:p>
      <w:pPr>
        <w:pStyle w:val="BodyText"/>
        <w:spacing w:before="11"/>
        <w:rPr>
          <w:sz w:val="17"/>
        </w:rPr>
      </w:pPr>
    </w:p>
    <w:p>
      <w:pPr>
        <w:pStyle w:val="Heading3"/>
        <w:tabs>
          <w:tab w:pos="7324" w:val="left" w:leader="none"/>
        </w:tabs>
        <w:spacing w:before="113"/>
        <w:ind w:left="500"/>
      </w:pPr>
      <w:bookmarkStart w:name="_TOC_250035" w:id="56"/>
      <w:r>
        <w:rPr>
          <w:smallCaps/>
          <w:u w:val="single"/>
        </w:rPr>
        <w:t>The</w:t>
      </w:r>
      <w:r>
        <w:rPr>
          <w:smallCaps/>
          <w:spacing w:val="-9"/>
          <w:u w:val="single"/>
        </w:rPr>
        <w:t> </w:t>
      </w:r>
      <w:r>
        <w:rPr>
          <w:smallCaps/>
          <w:u w:val="single"/>
        </w:rPr>
        <w:t>Magnet</w:t>
      </w:r>
      <w:r>
        <w:rPr>
          <w:smallCaps/>
          <w:spacing w:val="-12"/>
          <w:u w:val="single"/>
        </w:rPr>
        <w:t> </w:t>
      </w:r>
      <w:r>
        <w:rPr>
          <w:smallCaps/>
          <w:spacing w:val="-4"/>
          <w:u w:val="single"/>
        </w:rPr>
        <w:t>Trade</w:t>
      </w:r>
      <w:bookmarkEnd w:id="56"/>
      <w:r>
        <w:rPr>
          <w:smallCaps/>
          <w:u w:val="single"/>
        </w:rPr>
        <w:tab/>
      </w:r>
    </w:p>
    <w:p>
      <w:pPr>
        <w:pStyle w:val="BodyText"/>
        <w:spacing w:before="253"/>
        <w:ind w:left="500" w:right="135" w:firstLine="432"/>
        <w:jc w:val="both"/>
      </w:pPr>
      <w:r>
        <w:rPr/>
        <w:t>One of my favorite trading days occurs when the market gaps at the</w:t>
      </w:r>
      <w:r>
        <w:rPr>
          <w:spacing w:val="40"/>
        </w:rPr>
        <w:t> </w:t>
      </w:r>
      <w:r>
        <w:rPr/>
        <w:t>open of the session. When this occurs, I’m able to use the pivots to either trade a potential breakaway move, or fade the market for a fill of the gap. In either case, a gap at the open indicates that market sentiment has changed overnight and the market is poised to move in the current session. I’ve discussed my methods for snuffing out and trading the highly profitable breakaway days using the pivots. In this section, however, I will discuss how the central pivot range</w:t>
      </w:r>
      <w:r>
        <w:rPr>
          <w:spacing w:val="-1"/>
        </w:rPr>
        <w:t> </w:t>
      </w:r>
      <w:r>
        <w:rPr/>
        <w:t>can have an amazing magnetic affect on price that can lead to a high percentage fill of the morning gap.</w:t>
      </w:r>
    </w:p>
    <w:p>
      <w:pPr>
        <w:pStyle w:val="BodyText"/>
        <w:spacing w:before="1"/>
        <w:ind w:left="500" w:right="137" w:firstLine="432"/>
        <w:jc w:val="both"/>
      </w:pPr>
      <w:r>
        <w:rPr/>
        <w:t>The central pivot range is the equilibrium of the market. As such, it can have an amazing gravitational pull on price, which becomes much more apparent on days when the market gaps at the open of the session. If price opens the day with a gap and the centrals are back near the prior day’s close, you typically see a fill of the gap a high percentage of the time, given the right circumstances. I call this the </w:t>
      </w:r>
      <w:r>
        <w:rPr>
          <w:i/>
        </w:rPr>
        <w:t>Magnet Trade</w:t>
      </w:r>
      <w:r>
        <w:rPr/>
        <w:t>, since the centrals attract price, causing a fill of the gap. It is one of my favorite days in the market because I get to play a trade with a history of high percentage wins while making quick money, usually within the first thirty to sixty minutes of the </w:t>
      </w:r>
      <w:r>
        <w:rPr>
          <w:spacing w:val="-4"/>
        </w:rPr>
        <w:t>day.</w:t>
      </w:r>
    </w:p>
    <w:p>
      <w:pPr>
        <w:pStyle w:val="BodyText"/>
        <w:ind w:left="500" w:right="135" w:firstLine="432"/>
        <w:jc w:val="both"/>
      </w:pPr>
      <w:r>
        <w:rPr/>
        <w:t>Let’s take a look at an example. Figure 6.31 illustrates a perfect magnet trade in a fifteen-minute chart of Crude Oil futures. Crude opened the day with a gap up and formed a bearish doji reversal pattern in the first fifteen- minute</w:t>
      </w:r>
      <w:r>
        <w:rPr>
          <w:spacing w:val="-3"/>
        </w:rPr>
        <w:t> </w:t>
      </w:r>
      <w:r>
        <w:rPr/>
        <w:t>bar</w:t>
      </w:r>
      <w:r>
        <w:rPr>
          <w:spacing w:val="-3"/>
        </w:rPr>
        <w:t> </w:t>
      </w:r>
      <w:r>
        <w:rPr/>
        <w:t>of</w:t>
      </w:r>
      <w:r>
        <w:rPr>
          <w:spacing w:val="-2"/>
        </w:rPr>
        <w:t> </w:t>
      </w:r>
      <w:r>
        <w:rPr/>
        <w:t>the</w:t>
      </w:r>
      <w:r>
        <w:rPr>
          <w:spacing w:val="-3"/>
        </w:rPr>
        <w:t> </w:t>
      </w:r>
      <w:r>
        <w:rPr/>
        <w:t>day.</w:t>
      </w:r>
      <w:r>
        <w:rPr>
          <w:spacing w:val="-3"/>
        </w:rPr>
        <w:t> </w:t>
      </w:r>
      <w:r>
        <w:rPr/>
        <w:t>Since</w:t>
      </w:r>
      <w:r>
        <w:rPr>
          <w:spacing w:val="-3"/>
        </w:rPr>
        <w:t> </w:t>
      </w:r>
      <w:r>
        <w:rPr/>
        <w:t>the</w:t>
      </w:r>
      <w:r>
        <w:rPr>
          <w:spacing w:val="-2"/>
        </w:rPr>
        <w:t> </w:t>
      </w:r>
      <w:r>
        <w:rPr/>
        <w:t>centrals</w:t>
      </w:r>
      <w:r>
        <w:rPr>
          <w:spacing w:val="-1"/>
        </w:rPr>
        <w:t> </w:t>
      </w:r>
      <w:r>
        <w:rPr/>
        <w:t>were</w:t>
      </w:r>
      <w:r>
        <w:rPr>
          <w:spacing w:val="-2"/>
        </w:rPr>
        <w:t> </w:t>
      </w:r>
      <w:r>
        <w:rPr/>
        <w:t>back</w:t>
      </w:r>
      <w:r>
        <w:rPr>
          <w:spacing w:val="-3"/>
        </w:rPr>
        <w:t> </w:t>
      </w:r>
      <w:r>
        <w:rPr/>
        <w:t>near</w:t>
      </w:r>
      <w:r>
        <w:rPr>
          <w:spacing w:val="-3"/>
        </w:rPr>
        <w:t> </w:t>
      </w:r>
      <w:r>
        <w:rPr/>
        <w:t>the</w:t>
      </w:r>
      <w:r>
        <w:rPr>
          <w:spacing w:val="-3"/>
        </w:rPr>
        <w:t> </w:t>
      </w:r>
      <w:r>
        <w:rPr/>
        <w:t>prior</w:t>
      </w:r>
      <w:r>
        <w:rPr>
          <w:spacing w:val="-3"/>
        </w:rPr>
        <w:t> </w:t>
      </w:r>
      <w:r>
        <w:rPr/>
        <w:t>day’s</w:t>
      </w:r>
      <w:r>
        <w:rPr>
          <w:spacing w:val="-3"/>
        </w:rPr>
        <w:t> </w:t>
      </w:r>
      <w:r>
        <w:rPr/>
        <w:t>close, there was a high probability that they would have a magnetic effect on price, which</w:t>
      </w:r>
      <w:r>
        <w:rPr>
          <w:spacing w:val="-2"/>
        </w:rPr>
        <w:t> </w:t>
      </w:r>
      <w:r>
        <w:rPr/>
        <w:t>was</w:t>
      </w:r>
      <w:r>
        <w:rPr>
          <w:spacing w:val="-2"/>
        </w:rPr>
        <w:t> </w:t>
      </w:r>
      <w:r>
        <w:rPr/>
        <w:t>indeed</w:t>
      </w:r>
      <w:r>
        <w:rPr>
          <w:spacing w:val="-2"/>
        </w:rPr>
        <w:t> </w:t>
      </w:r>
      <w:r>
        <w:rPr/>
        <w:t>the</w:t>
      </w:r>
      <w:r>
        <w:rPr>
          <w:spacing w:val="-2"/>
        </w:rPr>
        <w:t> </w:t>
      </w:r>
      <w:r>
        <w:rPr/>
        <w:t>case.</w:t>
      </w:r>
      <w:r>
        <w:rPr>
          <w:spacing w:val="-2"/>
        </w:rPr>
        <w:t> </w:t>
      </w:r>
      <w:r>
        <w:rPr/>
        <w:t>The</w:t>
      </w:r>
      <w:r>
        <w:rPr>
          <w:spacing w:val="-2"/>
        </w:rPr>
        <w:t> </w:t>
      </w:r>
      <w:r>
        <w:rPr/>
        <w:t>bearish</w:t>
      </w:r>
      <w:r>
        <w:rPr>
          <w:spacing w:val="-2"/>
        </w:rPr>
        <w:t> </w:t>
      </w:r>
      <w:r>
        <w:rPr/>
        <w:t>doji</w:t>
      </w:r>
      <w:r>
        <w:rPr>
          <w:spacing w:val="-2"/>
        </w:rPr>
        <w:t> </w:t>
      </w:r>
      <w:r>
        <w:rPr/>
        <w:t>reversal</w:t>
      </w:r>
      <w:r>
        <w:rPr>
          <w:spacing w:val="-2"/>
        </w:rPr>
        <w:t> </w:t>
      </w:r>
      <w:r>
        <w:rPr/>
        <w:t>setup</w:t>
      </w:r>
      <w:r>
        <w:rPr>
          <w:spacing w:val="-2"/>
        </w:rPr>
        <w:t> </w:t>
      </w:r>
      <w:r>
        <w:rPr/>
        <w:t>easily</w:t>
      </w:r>
      <w:r>
        <w:rPr>
          <w:spacing w:val="-2"/>
        </w:rPr>
        <w:t> </w:t>
      </w:r>
      <w:r>
        <w:rPr/>
        <w:t>triggered</w:t>
      </w:r>
      <w:r>
        <w:rPr>
          <w:spacing w:val="-2"/>
        </w:rPr>
        <w:t> </w:t>
      </w:r>
      <w:r>
        <w:rPr/>
        <w:t>an entry on this day, as price dropped steadily to the central pivot range before finding support. With the Magnet Trade, the pivot range becomes the play’s target, as any of the three lines can be used as your exit. This particular trade netted</w:t>
      </w:r>
      <w:r>
        <w:rPr>
          <w:spacing w:val="-2"/>
        </w:rPr>
        <w:t> </w:t>
      </w:r>
      <w:r>
        <w:rPr/>
        <w:t>a</w:t>
      </w:r>
      <w:r>
        <w:rPr>
          <w:spacing w:val="-3"/>
        </w:rPr>
        <w:t> </w:t>
      </w:r>
      <w:r>
        <w:rPr/>
        <w:t>nice</w:t>
      </w:r>
      <w:r>
        <w:rPr>
          <w:spacing w:val="-2"/>
        </w:rPr>
        <w:t> </w:t>
      </w:r>
      <w:r>
        <w:rPr/>
        <w:t>move</w:t>
      </w:r>
      <w:r>
        <w:rPr>
          <w:spacing w:val="-2"/>
        </w:rPr>
        <w:t> </w:t>
      </w:r>
      <w:r>
        <w:rPr/>
        <w:t>of</w:t>
      </w:r>
      <w:r>
        <w:rPr>
          <w:spacing w:val="-3"/>
        </w:rPr>
        <w:t> </w:t>
      </w:r>
      <w:r>
        <w:rPr/>
        <w:t>about</w:t>
      </w:r>
      <w:r>
        <w:rPr>
          <w:spacing w:val="-2"/>
        </w:rPr>
        <w:t> </w:t>
      </w:r>
      <w:r>
        <w:rPr/>
        <w:t>one</w:t>
      </w:r>
      <w:r>
        <w:rPr>
          <w:spacing w:val="-3"/>
        </w:rPr>
        <w:t> </w:t>
      </w:r>
      <w:r>
        <w:rPr/>
        <w:t>point</w:t>
      </w:r>
      <w:r>
        <w:rPr>
          <w:spacing w:val="-4"/>
        </w:rPr>
        <w:t> </w:t>
      </w:r>
      <w:r>
        <w:rPr/>
        <w:t>in</w:t>
      </w:r>
      <w:r>
        <w:rPr>
          <w:spacing w:val="-4"/>
        </w:rPr>
        <w:t> </w:t>
      </w:r>
      <w:r>
        <w:rPr/>
        <w:t>Crude</w:t>
      </w:r>
      <w:r>
        <w:rPr>
          <w:spacing w:val="-2"/>
        </w:rPr>
        <w:t> </w:t>
      </w:r>
      <w:r>
        <w:rPr/>
        <w:t>Oil,</w:t>
      </w:r>
      <w:r>
        <w:rPr>
          <w:spacing w:val="-3"/>
        </w:rPr>
        <w:t> </w:t>
      </w:r>
      <w:r>
        <w:rPr/>
        <w:t>which</w:t>
      </w:r>
      <w:r>
        <w:rPr>
          <w:spacing w:val="-2"/>
        </w:rPr>
        <w:t> </w:t>
      </w:r>
      <w:r>
        <w:rPr/>
        <w:t>translates</w:t>
      </w:r>
      <w:r>
        <w:rPr>
          <w:spacing w:val="-3"/>
        </w:rPr>
        <w:t> </w:t>
      </w:r>
      <w:r>
        <w:rPr/>
        <w:t>to</w:t>
      </w:r>
      <w:r>
        <w:rPr>
          <w:spacing w:val="-2"/>
        </w:rPr>
        <w:t> </w:t>
      </w:r>
      <w:r>
        <w:rPr/>
        <w:t>$1000 per contract traded—not bad for forty-five minutes of work!</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97" cy="3094672"/>
            <wp:effectExtent l="0" t="0" r="0" b="0"/>
            <wp:docPr id="199" name="image101.png"/>
            <wp:cNvGraphicFramePr>
              <a:graphicFrameLocks noChangeAspect="1"/>
            </wp:cNvGraphicFramePr>
            <a:graphic>
              <a:graphicData uri="http://schemas.openxmlformats.org/drawingml/2006/picture">
                <pic:pic>
                  <pic:nvPicPr>
                    <pic:cNvPr id="200" name="image101.png"/>
                    <pic:cNvPicPr/>
                  </pic:nvPicPr>
                  <pic:blipFill>
                    <a:blip r:embed="rId210" cstate="print"/>
                    <a:stretch>
                      <a:fillRect/>
                    </a:stretch>
                  </pic:blipFill>
                  <pic:spPr>
                    <a:xfrm>
                      <a:off x="0" y="0"/>
                      <a:ext cx="4304897" cy="3094672"/>
                    </a:xfrm>
                    <a:prstGeom prst="rect">
                      <a:avLst/>
                    </a:prstGeom>
                  </pic:spPr>
                </pic:pic>
              </a:graphicData>
            </a:graphic>
          </wp:inline>
        </w:drawing>
      </w:r>
      <w:r>
        <w:rPr>
          <w:sz w:val="20"/>
        </w:rPr>
      </w:r>
    </w:p>
    <w:p>
      <w:pPr>
        <w:spacing w:before="49"/>
        <w:ind w:left="140" w:right="0" w:firstLine="0"/>
        <w:jc w:val="left"/>
        <w:rPr>
          <w:sz w:val="16"/>
        </w:rPr>
      </w:pPr>
      <w:r>
        <w:rPr>
          <w:sz w:val="16"/>
        </w:rPr>
        <w:t>FIGURE 6.31: The pivot range</w:t>
      </w:r>
      <w:r>
        <w:rPr>
          <w:spacing w:val="1"/>
          <w:sz w:val="16"/>
        </w:rPr>
        <w:t> </w:t>
      </w:r>
      <w:r>
        <w:rPr>
          <w:sz w:val="16"/>
        </w:rPr>
        <w:t>can act as a</w:t>
      </w:r>
      <w:r>
        <w:rPr>
          <w:spacing w:val="4"/>
          <w:sz w:val="16"/>
        </w:rPr>
        <w:t> </w:t>
      </w:r>
      <w:r>
        <w:rPr>
          <w:sz w:val="16"/>
        </w:rPr>
        <w:t>magnet to price,</w:t>
      </w:r>
      <w:r>
        <w:rPr>
          <w:spacing w:val="1"/>
          <w:sz w:val="16"/>
        </w:rPr>
        <w:t> </w:t>
      </w:r>
      <w:r>
        <w:rPr>
          <w:sz w:val="16"/>
        </w:rPr>
        <w:t>as</w:t>
      </w:r>
      <w:r>
        <w:rPr>
          <w:spacing w:val="1"/>
          <w:sz w:val="16"/>
        </w:rPr>
        <w:t> </w:t>
      </w:r>
      <w:r>
        <w:rPr>
          <w:sz w:val="16"/>
        </w:rPr>
        <w:t>it did in this</w:t>
      </w:r>
      <w:r>
        <w:rPr>
          <w:spacing w:val="1"/>
          <w:sz w:val="16"/>
        </w:rPr>
        <w:t> </w:t>
      </w:r>
      <w:r>
        <w:rPr>
          <w:sz w:val="16"/>
        </w:rPr>
        <w:t>Crude </w:t>
      </w:r>
      <w:r>
        <w:rPr>
          <w:spacing w:val="-2"/>
          <w:sz w:val="16"/>
        </w:rPr>
        <w:t>chart.</w:t>
      </w:r>
    </w:p>
    <w:p>
      <w:pPr>
        <w:pStyle w:val="BodyText"/>
        <w:spacing w:before="2"/>
      </w:pPr>
    </w:p>
    <w:p>
      <w:pPr>
        <w:pStyle w:val="BodyText"/>
        <w:ind w:left="139" w:right="495" w:firstLine="432"/>
        <w:jc w:val="both"/>
      </w:pPr>
      <w:r>
        <w:rPr/>
        <w:t>This is one of my favorite setups due to its simplicity and the fact that it is a recurring pattern in the markets. Remember, the central pivot point is reached 63 percent of the time at some point during the day. When the</w:t>
      </w:r>
      <w:r>
        <w:rPr>
          <w:spacing w:val="40"/>
        </w:rPr>
        <w:t> </w:t>
      </w:r>
      <w:r>
        <w:rPr/>
        <w:t>market</w:t>
      </w:r>
      <w:r>
        <w:rPr>
          <w:spacing w:val="-3"/>
        </w:rPr>
        <w:t> </w:t>
      </w:r>
      <w:r>
        <w:rPr/>
        <w:t>gaps</w:t>
      </w:r>
      <w:r>
        <w:rPr>
          <w:spacing w:val="-2"/>
        </w:rPr>
        <w:t> </w:t>
      </w:r>
      <w:r>
        <w:rPr/>
        <w:t>at</w:t>
      </w:r>
      <w:r>
        <w:rPr>
          <w:spacing w:val="-3"/>
        </w:rPr>
        <w:t> </w:t>
      </w:r>
      <w:r>
        <w:rPr/>
        <w:t>the</w:t>
      </w:r>
      <w:r>
        <w:rPr>
          <w:spacing w:val="-3"/>
        </w:rPr>
        <w:t> </w:t>
      </w:r>
      <w:r>
        <w:rPr/>
        <w:t>open,</w:t>
      </w:r>
      <w:r>
        <w:rPr>
          <w:spacing w:val="-3"/>
        </w:rPr>
        <w:t> </w:t>
      </w:r>
      <w:r>
        <w:rPr/>
        <w:t>the</w:t>
      </w:r>
      <w:r>
        <w:rPr>
          <w:spacing w:val="-3"/>
        </w:rPr>
        <w:t> </w:t>
      </w:r>
      <w:r>
        <w:rPr/>
        <w:t>trade</w:t>
      </w:r>
      <w:r>
        <w:rPr>
          <w:spacing w:val="-3"/>
        </w:rPr>
        <w:t> </w:t>
      </w:r>
      <w:r>
        <w:rPr/>
        <w:t>inherently</w:t>
      </w:r>
      <w:r>
        <w:rPr>
          <w:spacing w:val="-3"/>
        </w:rPr>
        <w:t> </w:t>
      </w:r>
      <w:r>
        <w:rPr/>
        <w:t>has</w:t>
      </w:r>
      <w:r>
        <w:rPr>
          <w:spacing w:val="-3"/>
        </w:rPr>
        <w:t> </w:t>
      </w:r>
      <w:r>
        <w:rPr/>
        <w:t>a</w:t>
      </w:r>
      <w:r>
        <w:rPr>
          <w:spacing w:val="-3"/>
        </w:rPr>
        <w:t> </w:t>
      </w:r>
      <w:r>
        <w:rPr/>
        <w:t>63</w:t>
      </w:r>
      <w:r>
        <w:rPr>
          <w:spacing w:val="-3"/>
        </w:rPr>
        <w:t> </w:t>
      </w:r>
      <w:r>
        <w:rPr/>
        <w:t>percent</w:t>
      </w:r>
      <w:r>
        <w:rPr>
          <w:spacing w:val="-3"/>
        </w:rPr>
        <w:t> </w:t>
      </w:r>
      <w:r>
        <w:rPr/>
        <w:t>chance</w:t>
      </w:r>
      <w:r>
        <w:rPr>
          <w:spacing w:val="-3"/>
        </w:rPr>
        <w:t> </w:t>
      </w:r>
      <w:r>
        <w:rPr/>
        <w:t>of</w:t>
      </w:r>
      <w:r>
        <w:rPr>
          <w:spacing w:val="-3"/>
        </w:rPr>
        <w:t> </w:t>
      </w:r>
      <w:r>
        <w:rPr/>
        <w:t>being a winner.</w:t>
      </w:r>
    </w:p>
    <w:p>
      <w:pPr>
        <w:pStyle w:val="BodyText"/>
        <w:ind w:left="139" w:right="496" w:firstLine="432"/>
        <w:jc w:val="both"/>
      </w:pPr>
      <w:r>
        <w:rPr/>
        <w:t>While</w:t>
      </w:r>
      <w:r>
        <w:rPr>
          <w:spacing w:val="-2"/>
        </w:rPr>
        <w:t> </w:t>
      </w:r>
      <w:r>
        <w:rPr/>
        <w:t>this</w:t>
      </w:r>
      <w:r>
        <w:rPr>
          <w:spacing w:val="-2"/>
        </w:rPr>
        <w:t> </w:t>
      </w:r>
      <w:r>
        <w:rPr/>
        <w:t>trade</w:t>
      </w:r>
      <w:r>
        <w:rPr>
          <w:spacing w:val="-2"/>
        </w:rPr>
        <w:t> </w:t>
      </w:r>
      <w:r>
        <w:rPr/>
        <w:t>is</w:t>
      </w:r>
      <w:r>
        <w:rPr>
          <w:spacing w:val="-2"/>
        </w:rPr>
        <w:t> </w:t>
      </w:r>
      <w:r>
        <w:rPr/>
        <w:t>best</w:t>
      </w:r>
      <w:r>
        <w:rPr>
          <w:spacing w:val="-2"/>
        </w:rPr>
        <w:t> </w:t>
      </w:r>
      <w:r>
        <w:rPr/>
        <w:t>served</w:t>
      </w:r>
      <w:r>
        <w:rPr>
          <w:spacing w:val="-2"/>
        </w:rPr>
        <w:t> </w:t>
      </w:r>
      <w:r>
        <w:rPr/>
        <w:t>simple,</w:t>
      </w:r>
      <w:r>
        <w:rPr>
          <w:spacing w:val="-2"/>
        </w:rPr>
        <w:t> </w:t>
      </w:r>
      <w:r>
        <w:rPr/>
        <w:t>there</w:t>
      </w:r>
      <w:r>
        <w:rPr>
          <w:spacing w:val="-2"/>
        </w:rPr>
        <w:t> </w:t>
      </w:r>
      <w:r>
        <w:rPr/>
        <w:t>are</w:t>
      </w:r>
      <w:r>
        <w:rPr>
          <w:spacing w:val="-1"/>
        </w:rPr>
        <w:t> </w:t>
      </w:r>
      <w:r>
        <w:rPr/>
        <w:t>a</w:t>
      </w:r>
      <w:r>
        <w:rPr>
          <w:spacing w:val="-2"/>
        </w:rPr>
        <w:t> </w:t>
      </w:r>
      <w:r>
        <w:rPr/>
        <w:t>few</w:t>
      </w:r>
      <w:r>
        <w:rPr>
          <w:spacing w:val="-2"/>
        </w:rPr>
        <w:t> </w:t>
      </w:r>
      <w:r>
        <w:rPr/>
        <w:t>additional</w:t>
      </w:r>
      <w:r>
        <w:rPr>
          <w:spacing w:val="-2"/>
        </w:rPr>
        <w:t> </w:t>
      </w:r>
      <w:r>
        <w:rPr/>
        <w:t>tips</w:t>
      </w:r>
      <w:r>
        <w:rPr>
          <w:spacing w:val="-2"/>
        </w:rPr>
        <w:t> </w:t>
      </w:r>
      <w:r>
        <w:rPr/>
        <w:t>that can help make this trade even more powerful and profitable. For instance, trading</w:t>
      </w:r>
      <w:r>
        <w:rPr>
          <w:spacing w:val="-3"/>
        </w:rPr>
        <w:t> </w:t>
      </w:r>
      <w:r>
        <w:rPr/>
        <w:t>the</w:t>
      </w:r>
      <w:r>
        <w:rPr>
          <w:spacing w:val="-3"/>
        </w:rPr>
        <w:t> </w:t>
      </w:r>
      <w:r>
        <w:rPr/>
        <w:t>right</w:t>
      </w:r>
      <w:r>
        <w:rPr>
          <w:spacing w:val="-3"/>
        </w:rPr>
        <w:t> </w:t>
      </w:r>
      <w:r>
        <w:rPr/>
        <w:t>size</w:t>
      </w:r>
      <w:r>
        <w:rPr>
          <w:spacing w:val="-3"/>
        </w:rPr>
        <w:t> </w:t>
      </w:r>
      <w:r>
        <w:rPr/>
        <w:t>gap</w:t>
      </w:r>
      <w:r>
        <w:rPr>
          <w:spacing w:val="-3"/>
        </w:rPr>
        <w:t> </w:t>
      </w:r>
      <w:r>
        <w:rPr/>
        <w:t>greatly</w:t>
      </w:r>
      <w:r>
        <w:rPr>
          <w:spacing w:val="-3"/>
        </w:rPr>
        <w:t> </w:t>
      </w:r>
      <w:r>
        <w:rPr/>
        <w:t>increases</w:t>
      </w:r>
      <w:r>
        <w:rPr>
          <w:spacing w:val="-3"/>
        </w:rPr>
        <w:t> </w:t>
      </w:r>
      <w:r>
        <w:rPr/>
        <w:t>the</w:t>
      </w:r>
      <w:r>
        <w:rPr>
          <w:spacing w:val="-2"/>
        </w:rPr>
        <w:t> </w:t>
      </w:r>
      <w:r>
        <w:rPr/>
        <w:t>success</w:t>
      </w:r>
      <w:r>
        <w:rPr>
          <w:spacing w:val="-2"/>
        </w:rPr>
        <w:t> </w:t>
      </w:r>
      <w:r>
        <w:rPr/>
        <w:t>rate</w:t>
      </w:r>
      <w:r>
        <w:rPr>
          <w:spacing w:val="-2"/>
        </w:rPr>
        <w:t> </w:t>
      </w:r>
      <w:r>
        <w:rPr/>
        <w:t>of</w:t>
      </w:r>
      <w:r>
        <w:rPr>
          <w:spacing w:val="-3"/>
        </w:rPr>
        <w:t> </w:t>
      </w:r>
      <w:r>
        <w:rPr/>
        <w:t>this</w:t>
      </w:r>
      <w:r>
        <w:rPr>
          <w:spacing w:val="-2"/>
        </w:rPr>
        <w:t> </w:t>
      </w:r>
      <w:r>
        <w:rPr/>
        <w:t>setup.</w:t>
      </w:r>
      <w:r>
        <w:rPr>
          <w:spacing w:val="-3"/>
        </w:rPr>
        <w:t> </w:t>
      </w:r>
      <w:r>
        <w:rPr/>
        <w:t>Gaps that are too large don’t tend to fill as easily as those that are moderate in size. Stick to the gaps that have a fighting chance to fill and the pivot range will help do the rest. Secondly, pivot range placement should be at, or very near, the prior day’s closing price. When this is the case, the pivot range helps attract</w:t>
      </w:r>
      <w:r>
        <w:rPr>
          <w:spacing w:val="-1"/>
        </w:rPr>
        <w:t> </w:t>
      </w:r>
      <w:r>
        <w:rPr/>
        <w:t>price</w:t>
      </w:r>
      <w:r>
        <w:rPr>
          <w:spacing w:val="-1"/>
        </w:rPr>
        <w:t> </w:t>
      </w:r>
      <w:r>
        <w:rPr/>
        <w:t>to</w:t>
      </w:r>
      <w:r>
        <w:rPr>
          <w:spacing w:val="-1"/>
        </w:rPr>
        <w:t> </w:t>
      </w:r>
      <w:r>
        <w:rPr/>
        <w:t>fill</w:t>
      </w:r>
      <w:r>
        <w:rPr>
          <w:spacing w:val="-1"/>
        </w:rPr>
        <w:t> </w:t>
      </w:r>
      <w:r>
        <w:rPr/>
        <w:t>the</w:t>
      </w:r>
      <w:r>
        <w:rPr>
          <w:spacing w:val="-1"/>
        </w:rPr>
        <w:t> </w:t>
      </w:r>
      <w:r>
        <w:rPr/>
        <w:t>gap.</w:t>
      </w:r>
      <w:r>
        <w:rPr>
          <w:spacing w:val="-1"/>
        </w:rPr>
        <w:t> </w:t>
      </w:r>
      <w:r>
        <w:rPr/>
        <w:t>If</w:t>
      </w:r>
      <w:r>
        <w:rPr>
          <w:spacing w:val="-1"/>
        </w:rPr>
        <w:t> </w:t>
      </w:r>
      <w:r>
        <w:rPr/>
        <w:t>the</w:t>
      </w:r>
      <w:r>
        <w:rPr>
          <w:spacing w:val="-1"/>
        </w:rPr>
        <w:t> </w:t>
      </w:r>
      <w:r>
        <w:rPr/>
        <w:t>range</w:t>
      </w:r>
      <w:r>
        <w:rPr>
          <w:spacing w:val="-1"/>
        </w:rPr>
        <w:t> </w:t>
      </w:r>
      <w:r>
        <w:rPr/>
        <w:t>is</w:t>
      </w:r>
      <w:r>
        <w:rPr>
          <w:spacing w:val="-1"/>
        </w:rPr>
        <w:t> </w:t>
      </w:r>
      <w:r>
        <w:rPr/>
        <w:t>too</w:t>
      </w:r>
      <w:r>
        <w:rPr>
          <w:spacing w:val="-1"/>
        </w:rPr>
        <w:t> </w:t>
      </w:r>
      <w:r>
        <w:rPr/>
        <w:t>close</w:t>
      </w:r>
      <w:r>
        <w:rPr>
          <w:spacing w:val="-1"/>
        </w:rPr>
        <w:t> </w:t>
      </w:r>
      <w:r>
        <w:rPr/>
        <w:t>to price,</w:t>
      </w:r>
      <w:r>
        <w:rPr>
          <w:spacing w:val="-1"/>
        </w:rPr>
        <w:t> </w:t>
      </w:r>
      <w:r>
        <w:rPr/>
        <w:t>however,</w:t>
      </w:r>
      <w:r>
        <w:rPr>
          <w:spacing w:val="-1"/>
        </w:rPr>
        <w:t> </w:t>
      </w:r>
      <w:r>
        <w:rPr/>
        <w:t>it</w:t>
      </w:r>
      <w:r>
        <w:rPr>
          <w:spacing w:val="-1"/>
        </w:rPr>
        <w:t> </w:t>
      </w:r>
      <w:r>
        <w:rPr/>
        <w:t>could hinder the market’s ability to fill the gap. Also, you must remember that the goal of the trade is to play for a fade of the gap back toward the central pivot range,</w:t>
      </w:r>
      <w:r>
        <w:rPr>
          <w:spacing w:val="-2"/>
        </w:rPr>
        <w:t> </w:t>
      </w:r>
      <w:r>
        <w:rPr/>
        <w:t>which</w:t>
      </w:r>
      <w:r>
        <w:rPr>
          <w:spacing w:val="-3"/>
        </w:rPr>
        <w:t> </w:t>
      </w:r>
      <w:r>
        <w:rPr/>
        <w:t>means</w:t>
      </w:r>
      <w:r>
        <w:rPr>
          <w:spacing w:val="-2"/>
        </w:rPr>
        <w:t> </w:t>
      </w:r>
      <w:r>
        <w:rPr/>
        <w:t>the</w:t>
      </w:r>
      <w:r>
        <w:rPr>
          <w:spacing w:val="-2"/>
        </w:rPr>
        <w:t> </w:t>
      </w:r>
      <w:r>
        <w:rPr/>
        <w:t>trade</w:t>
      </w:r>
      <w:r>
        <w:rPr>
          <w:spacing w:val="-2"/>
        </w:rPr>
        <w:t> </w:t>
      </w:r>
      <w:r>
        <w:rPr/>
        <w:t>will</w:t>
      </w:r>
      <w:r>
        <w:rPr>
          <w:spacing w:val="-2"/>
        </w:rPr>
        <w:t> </w:t>
      </w:r>
      <w:r>
        <w:rPr/>
        <w:t>usually</w:t>
      </w:r>
      <w:r>
        <w:rPr>
          <w:spacing w:val="-3"/>
        </w:rPr>
        <w:t> </w:t>
      </w:r>
      <w:r>
        <w:rPr/>
        <w:t>be</w:t>
      </w:r>
      <w:r>
        <w:rPr>
          <w:spacing w:val="-2"/>
        </w:rPr>
        <w:t> </w:t>
      </w:r>
      <w:r>
        <w:rPr/>
        <w:t>short</w:t>
      </w:r>
      <w:r>
        <w:rPr>
          <w:spacing w:val="-2"/>
        </w:rPr>
        <w:t> </w:t>
      </w:r>
      <w:r>
        <w:rPr/>
        <w:t>and</w:t>
      </w:r>
      <w:r>
        <w:rPr>
          <w:spacing w:val="-2"/>
        </w:rPr>
        <w:t> </w:t>
      </w:r>
      <w:r>
        <w:rPr/>
        <w:t>sweet.</w:t>
      </w:r>
      <w:r>
        <w:rPr>
          <w:spacing w:val="-2"/>
        </w:rPr>
        <w:t> </w:t>
      </w:r>
      <w:r>
        <w:rPr/>
        <w:t>If</w:t>
      </w:r>
      <w:r>
        <w:rPr>
          <w:spacing w:val="-2"/>
        </w:rPr>
        <w:t> </w:t>
      </w:r>
      <w:r>
        <w:rPr/>
        <w:t>you</w:t>
      </w:r>
      <w:r>
        <w:rPr>
          <w:spacing w:val="-2"/>
        </w:rPr>
        <w:t> </w:t>
      </w:r>
      <w:r>
        <w:rPr/>
        <w:t>can</w:t>
      </w:r>
      <w:r>
        <w:rPr>
          <w:spacing w:val="-2"/>
        </w:rPr>
        <w:t> </w:t>
      </w:r>
      <w:r>
        <w:rPr/>
        <w:t>get</w:t>
      </w:r>
      <w:r>
        <w:rPr>
          <w:spacing w:val="-2"/>
        </w:rPr>
        <w:t> </w:t>
      </w:r>
      <w:r>
        <w:rPr/>
        <w:t>a little more out of the trade then go for it. But don’t wait all day for a gap to fill, because the longer the trade takes, the more unlikely it is to fill. Remember, pigs get fat and hogs get slaughtered.</w:t>
      </w:r>
    </w:p>
    <w:p>
      <w:pPr>
        <w:spacing w:after="0"/>
        <w:jc w:val="both"/>
        <w:sectPr>
          <w:pgSz w:w="8640" w:h="12960"/>
          <w:pgMar w:header="579" w:footer="1060" w:top="760" w:bottom="1260" w:left="580" w:right="580"/>
        </w:sectPr>
      </w:pPr>
    </w:p>
    <w:p>
      <w:pPr>
        <w:pStyle w:val="BodyText"/>
        <w:spacing w:before="5"/>
      </w:pPr>
    </w:p>
    <w:p>
      <w:pPr>
        <w:spacing w:before="63"/>
        <w:ind w:left="635" w:right="0" w:firstLine="9"/>
        <w:jc w:val="left"/>
        <w:rPr>
          <w:i/>
          <w:sz w:val="22"/>
        </w:rPr>
      </w:pPr>
      <w:r>
        <w:rPr>
          <w:i/>
          <w:sz w:val="22"/>
        </w:rPr>
        <w:t>Some</w:t>
      </w:r>
      <w:r>
        <w:rPr>
          <w:i/>
          <w:spacing w:val="-2"/>
          <w:sz w:val="22"/>
        </w:rPr>
        <w:t> </w:t>
      </w:r>
      <w:r>
        <w:rPr>
          <w:i/>
          <w:sz w:val="22"/>
        </w:rPr>
        <w:t>trades</w:t>
      </w:r>
      <w:r>
        <w:rPr>
          <w:i/>
          <w:spacing w:val="-2"/>
          <w:sz w:val="22"/>
        </w:rPr>
        <w:t> </w:t>
      </w:r>
      <w:r>
        <w:rPr>
          <w:i/>
          <w:sz w:val="22"/>
        </w:rPr>
        <w:t>are</w:t>
      </w:r>
      <w:r>
        <w:rPr>
          <w:i/>
          <w:spacing w:val="-2"/>
          <w:sz w:val="22"/>
        </w:rPr>
        <w:t> </w:t>
      </w:r>
      <w:r>
        <w:rPr>
          <w:i/>
          <w:sz w:val="22"/>
        </w:rPr>
        <w:t>meant</w:t>
      </w:r>
      <w:r>
        <w:rPr>
          <w:i/>
          <w:spacing w:val="-3"/>
          <w:sz w:val="22"/>
        </w:rPr>
        <w:t> </w:t>
      </w:r>
      <w:r>
        <w:rPr>
          <w:i/>
          <w:sz w:val="22"/>
        </w:rPr>
        <w:t>to</w:t>
      </w:r>
      <w:r>
        <w:rPr>
          <w:i/>
          <w:spacing w:val="-4"/>
          <w:sz w:val="22"/>
        </w:rPr>
        <w:t> </w:t>
      </w:r>
      <w:r>
        <w:rPr>
          <w:i/>
          <w:sz w:val="22"/>
        </w:rPr>
        <w:t>go</w:t>
      </w:r>
      <w:r>
        <w:rPr>
          <w:i/>
          <w:spacing w:val="-2"/>
          <w:sz w:val="22"/>
        </w:rPr>
        <w:t> </w:t>
      </w:r>
      <w:r>
        <w:rPr>
          <w:i/>
          <w:sz w:val="22"/>
        </w:rPr>
        <w:t>for</w:t>
      </w:r>
      <w:r>
        <w:rPr>
          <w:i/>
          <w:spacing w:val="-2"/>
          <w:sz w:val="22"/>
        </w:rPr>
        <w:t> </w:t>
      </w:r>
      <w:r>
        <w:rPr>
          <w:i/>
          <w:sz w:val="22"/>
        </w:rPr>
        <w:t>the</w:t>
      </w:r>
      <w:r>
        <w:rPr>
          <w:i/>
          <w:spacing w:val="-4"/>
          <w:sz w:val="22"/>
        </w:rPr>
        <w:t> </w:t>
      </w:r>
      <w:r>
        <w:rPr>
          <w:i/>
          <w:sz w:val="22"/>
        </w:rPr>
        <w:t>gold,</w:t>
      </w:r>
      <w:r>
        <w:rPr>
          <w:i/>
          <w:spacing w:val="-2"/>
          <w:sz w:val="22"/>
        </w:rPr>
        <w:t> </w:t>
      </w:r>
      <w:r>
        <w:rPr>
          <w:i/>
          <w:sz w:val="22"/>
        </w:rPr>
        <w:t>while</w:t>
      </w:r>
      <w:r>
        <w:rPr>
          <w:i/>
          <w:spacing w:val="-2"/>
          <w:sz w:val="22"/>
        </w:rPr>
        <w:t> </w:t>
      </w:r>
      <w:r>
        <w:rPr>
          <w:i/>
          <w:sz w:val="22"/>
        </w:rPr>
        <w:t>others</w:t>
      </w:r>
      <w:r>
        <w:rPr>
          <w:i/>
          <w:spacing w:val="-3"/>
          <w:sz w:val="22"/>
        </w:rPr>
        <w:t> </w:t>
      </w:r>
      <w:r>
        <w:rPr>
          <w:i/>
          <w:sz w:val="22"/>
        </w:rPr>
        <w:t>are</w:t>
      </w:r>
      <w:r>
        <w:rPr>
          <w:i/>
          <w:spacing w:val="-2"/>
          <w:sz w:val="22"/>
        </w:rPr>
        <w:t> </w:t>
      </w:r>
      <w:r>
        <w:rPr>
          <w:i/>
          <w:sz w:val="22"/>
        </w:rPr>
        <w:t>meant</w:t>
      </w:r>
      <w:r>
        <w:rPr>
          <w:i/>
          <w:spacing w:val="-3"/>
          <w:sz w:val="22"/>
        </w:rPr>
        <w:t> </w:t>
      </w:r>
      <w:r>
        <w:rPr>
          <w:i/>
          <w:sz w:val="22"/>
        </w:rPr>
        <w:t>to</w:t>
      </w:r>
      <w:r>
        <w:rPr>
          <w:i/>
          <w:spacing w:val="-2"/>
          <w:sz w:val="22"/>
        </w:rPr>
        <w:t> </w:t>
      </w:r>
      <w:r>
        <w:rPr>
          <w:i/>
          <w:sz w:val="22"/>
        </w:rPr>
        <w:t>go</w:t>
      </w:r>
      <w:r>
        <w:rPr>
          <w:i/>
          <w:spacing w:val="-2"/>
          <w:sz w:val="22"/>
        </w:rPr>
        <w:t> </w:t>
      </w:r>
      <w:r>
        <w:rPr>
          <w:i/>
          <w:sz w:val="22"/>
        </w:rPr>
        <w:t>for</w:t>
      </w:r>
      <w:r>
        <w:rPr>
          <w:i/>
          <w:sz w:val="22"/>
        </w:rPr>
        <w:t> golden</w:t>
      </w:r>
      <w:r>
        <w:rPr>
          <w:i/>
          <w:spacing w:val="-6"/>
          <w:sz w:val="22"/>
        </w:rPr>
        <w:t> </w:t>
      </w:r>
      <w:r>
        <w:rPr>
          <w:i/>
          <w:sz w:val="22"/>
        </w:rPr>
        <w:t>nuggets.</w:t>
      </w:r>
      <w:r>
        <w:rPr>
          <w:i/>
          <w:spacing w:val="-4"/>
          <w:sz w:val="22"/>
        </w:rPr>
        <w:t> </w:t>
      </w:r>
      <w:r>
        <w:rPr>
          <w:i/>
          <w:sz w:val="22"/>
        </w:rPr>
        <w:t>The</w:t>
      </w:r>
      <w:r>
        <w:rPr>
          <w:i/>
          <w:spacing w:val="-4"/>
          <w:sz w:val="22"/>
        </w:rPr>
        <w:t> </w:t>
      </w:r>
      <w:r>
        <w:rPr>
          <w:i/>
          <w:sz w:val="22"/>
        </w:rPr>
        <w:t>more</w:t>
      </w:r>
      <w:r>
        <w:rPr>
          <w:i/>
          <w:spacing w:val="-5"/>
          <w:sz w:val="22"/>
        </w:rPr>
        <w:t> </w:t>
      </w:r>
      <w:r>
        <w:rPr>
          <w:i/>
          <w:sz w:val="22"/>
        </w:rPr>
        <w:t>nuggets</w:t>
      </w:r>
      <w:r>
        <w:rPr>
          <w:i/>
          <w:spacing w:val="-4"/>
          <w:sz w:val="22"/>
        </w:rPr>
        <w:t> </w:t>
      </w:r>
      <w:r>
        <w:rPr>
          <w:i/>
          <w:sz w:val="22"/>
        </w:rPr>
        <w:t>you</w:t>
      </w:r>
      <w:r>
        <w:rPr>
          <w:i/>
          <w:spacing w:val="-4"/>
          <w:sz w:val="22"/>
        </w:rPr>
        <w:t> </w:t>
      </w:r>
      <w:r>
        <w:rPr>
          <w:i/>
          <w:sz w:val="22"/>
        </w:rPr>
        <w:t>collect,</w:t>
      </w:r>
      <w:r>
        <w:rPr>
          <w:i/>
          <w:spacing w:val="-4"/>
          <w:sz w:val="22"/>
        </w:rPr>
        <w:t> </w:t>
      </w:r>
      <w:r>
        <w:rPr>
          <w:i/>
          <w:sz w:val="22"/>
        </w:rPr>
        <w:t>the</w:t>
      </w:r>
      <w:r>
        <w:rPr>
          <w:i/>
          <w:spacing w:val="-4"/>
          <w:sz w:val="22"/>
        </w:rPr>
        <w:t> </w:t>
      </w:r>
      <w:r>
        <w:rPr>
          <w:i/>
          <w:sz w:val="22"/>
        </w:rPr>
        <w:t>bigger</w:t>
      </w:r>
      <w:r>
        <w:rPr>
          <w:i/>
          <w:spacing w:val="-4"/>
          <w:sz w:val="22"/>
        </w:rPr>
        <w:t> </w:t>
      </w:r>
      <w:r>
        <w:rPr>
          <w:i/>
          <w:sz w:val="22"/>
        </w:rPr>
        <w:t>your</w:t>
      </w:r>
      <w:r>
        <w:rPr>
          <w:i/>
          <w:spacing w:val="-4"/>
          <w:sz w:val="22"/>
        </w:rPr>
        <w:t> </w:t>
      </w:r>
      <w:r>
        <w:rPr>
          <w:i/>
          <w:sz w:val="22"/>
        </w:rPr>
        <w:t>pot</w:t>
      </w:r>
      <w:r>
        <w:rPr>
          <w:i/>
          <w:spacing w:val="-5"/>
          <w:sz w:val="22"/>
        </w:rPr>
        <w:t> </w:t>
      </w:r>
      <w:r>
        <w:rPr>
          <w:i/>
          <w:sz w:val="22"/>
        </w:rPr>
        <w:t>of</w:t>
      </w:r>
      <w:r>
        <w:rPr>
          <w:i/>
          <w:spacing w:val="-4"/>
          <w:sz w:val="22"/>
        </w:rPr>
        <w:t> </w:t>
      </w:r>
      <w:r>
        <w:rPr>
          <w:i/>
          <w:spacing w:val="-2"/>
          <w:sz w:val="22"/>
        </w:rPr>
        <w:t>gold.</w:t>
      </w:r>
    </w:p>
    <w:p>
      <w:pPr>
        <w:pStyle w:val="BodyText"/>
        <w:spacing w:before="11"/>
        <w:rPr>
          <w:i/>
          <w:sz w:val="21"/>
        </w:rPr>
      </w:pPr>
    </w:p>
    <w:p>
      <w:pPr>
        <w:pStyle w:val="BodyText"/>
        <w:ind w:left="500" w:right="137" w:firstLine="432"/>
        <w:jc w:val="both"/>
      </w:pPr>
      <w:r>
        <w:rPr/>
        <w:t>One interesting tidbit is the fact that this set up, and gap fills in general, seem to work best during earnings season, which are the months following the end of each quarter: January, April, July, and October. Trading this setup alone during these periods of time is enough to sustain a healthy lifestyle. You can literally trade just one setup four months a year and live off a generous income. That’s how powerful this setup can be during earnings </w:t>
      </w:r>
      <w:r>
        <w:rPr>
          <w:spacing w:val="-2"/>
        </w:rPr>
        <w:t>season.</w:t>
      </w:r>
    </w:p>
    <w:p>
      <w:pPr>
        <w:pStyle w:val="BodyText"/>
        <w:ind w:left="500" w:right="137" w:firstLine="432"/>
        <w:jc w:val="both"/>
      </w:pPr>
      <w:r>
        <w:rPr/>
        <w:t>The trend can also play an</w:t>
      </w:r>
      <w:r>
        <w:rPr>
          <w:spacing w:val="-1"/>
        </w:rPr>
        <w:t> </w:t>
      </w:r>
      <w:r>
        <w:rPr/>
        <w:t>important factor in the successful outcome of a magnet trade. As you recall from earlier in the chapter, when a market has formed an established trend price will usually pull back to the pivot range before resuming in the direction of the trend. Therefore, if the market has formed an uptrend and price gaps in the direction of the trend (up), there is a very good chance that price will drop to the pivot range before another round of buying pressure is seen, thereby causing a fill of the gap. This market behavior aligns perfectly with the essence of the magnet trade</w:t>
      </w:r>
    </w:p>
    <w:p>
      <w:pPr>
        <w:pStyle w:val="BodyText"/>
        <w:ind w:left="500" w:right="134" w:firstLine="432"/>
        <w:jc w:val="both"/>
      </w:pPr>
      <w:r>
        <w:rPr/>
        <w:t>Let’s take a look at an example. Figure 6.32 shows a five-minute chart</w:t>
      </w:r>
      <w:r>
        <w:rPr>
          <w:spacing w:val="40"/>
        </w:rPr>
        <w:t> </w:t>
      </w:r>
      <w:r>
        <w:rPr/>
        <w:t>of Entergy Corporation (ticker: ETR), which was in the midst of a three-day uptrend and had formed a two-day Higher Value relationship. The stock opened the day with a gap up, but showed signs of weakness after the first</w:t>
      </w:r>
      <w:r>
        <w:rPr>
          <w:spacing w:val="40"/>
        </w:rPr>
        <w:t> </w:t>
      </w:r>
      <w:r>
        <w:rPr/>
        <w:t>ten minutes of the session and began to auction lower. Price eventually filled the morning gap and reached the center of the pivot range at around $68.40, where responsive buyers entered the market and pushed price to new highs for the day, illustrating the CPR’s ability to both attract and repel price in a single session. Notice that after price reached the pivot range to complete the magnet trade, an outside reversal setup fired a long signal to confirm a “buy the dip” opportunity, which preceded the rally to new highs within the established uptrend.</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317" cy="2983229"/>
            <wp:effectExtent l="0" t="0" r="0" b="0"/>
            <wp:docPr id="201" name="image102.png"/>
            <wp:cNvGraphicFramePr>
              <a:graphicFrameLocks noChangeAspect="1"/>
            </wp:cNvGraphicFramePr>
            <a:graphic>
              <a:graphicData uri="http://schemas.openxmlformats.org/drawingml/2006/picture">
                <pic:pic>
                  <pic:nvPicPr>
                    <pic:cNvPr id="202" name="image102.png"/>
                    <pic:cNvPicPr/>
                  </pic:nvPicPr>
                  <pic:blipFill>
                    <a:blip r:embed="rId211" cstate="print"/>
                    <a:stretch>
                      <a:fillRect/>
                    </a:stretch>
                  </pic:blipFill>
                  <pic:spPr>
                    <a:xfrm>
                      <a:off x="0" y="0"/>
                      <a:ext cx="4304317" cy="2983229"/>
                    </a:xfrm>
                    <a:prstGeom prst="rect">
                      <a:avLst/>
                    </a:prstGeom>
                  </pic:spPr>
                </pic:pic>
              </a:graphicData>
            </a:graphic>
          </wp:inline>
        </w:drawing>
      </w:r>
      <w:r>
        <w:rPr>
          <w:sz w:val="20"/>
        </w:rPr>
      </w:r>
    </w:p>
    <w:p>
      <w:pPr>
        <w:spacing w:before="48"/>
        <w:ind w:left="140" w:right="0" w:firstLine="0"/>
        <w:jc w:val="left"/>
        <w:rPr>
          <w:sz w:val="16"/>
        </w:rPr>
      </w:pPr>
      <w:r>
        <w:rPr>
          <w:sz w:val="16"/>
        </w:rPr>
        <w:t>FIGURE 6.32: After a</w:t>
      </w:r>
      <w:r>
        <w:rPr>
          <w:spacing w:val="3"/>
          <w:sz w:val="16"/>
        </w:rPr>
        <w:t> </w:t>
      </w:r>
      <w:r>
        <w:rPr>
          <w:sz w:val="16"/>
        </w:rPr>
        <w:t>morning gap,</w:t>
      </w:r>
      <w:r>
        <w:rPr>
          <w:spacing w:val="1"/>
          <w:sz w:val="16"/>
        </w:rPr>
        <w:t> </w:t>
      </w:r>
      <w:r>
        <w:rPr>
          <w:sz w:val="16"/>
        </w:rPr>
        <w:t>price drops to the</w:t>
      </w:r>
      <w:r>
        <w:rPr>
          <w:spacing w:val="1"/>
          <w:sz w:val="16"/>
        </w:rPr>
        <w:t> </w:t>
      </w:r>
      <w:r>
        <w:rPr>
          <w:sz w:val="16"/>
        </w:rPr>
        <w:t>pivot range for a</w:t>
      </w:r>
      <w:r>
        <w:rPr>
          <w:spacing w:val="1"/>
          <w:sz w:val="16"/>
        </w:rPr>
        <w:t> </w:t>
      </w:r>
      <w:r>
        <w:rPr>
          <w:sz w:val="16"/>
        </w:rPr>
        <w:t>fill of the </w:t>
      </w:r>
      <w:r>
        <w:rPr>
          <w:spacing w:val="-4"/>
          <w:sz w:val="16"/>
        </w:rPr>
        <w:t>gap.</w:t>
      </w:r>
    </w:p>
    <w:p>
      <w:pPr>
        <w:pStyle w:val="BodyText"/>
        <w:spacing w:before="2"/>
      </w:pPr>
    </w:p>
    <w:p>
      <w:pPr>
        <w:pStyle w:val="BodyText"/>
        <w:ind w:left="140" w:right="495" w:firstLine="432"/>
        <w:jc w:val="both"/>
      </w:pPr>
      <w:r>
        <w:rPr/>
        <w:t>Another important factor to consider when trading this setup is looking for additional pivot confirmation that can add to the success of your trade. If price gaps up to R1 resistance, or down to S1 support, these pivots can serve as a barrier to a breakaway trade, which leads to a higher percentage of filled gaps. Knowing where these support and resistance levels are can help give you confidence in entering a trade, especially if the market gaps down at the open. I am much more open to trading this setup when the market gaps up at the open, rather than down. A gap down requires much more confirmation, conviction, and volume in order to fill the gap on most occasions. However, having clear pivot support at S1 can help price reach its objective in many </w:t>
      </w:r>
      <w:r>
        <w:rPr>
          <w:spacing w:val="-2"/>
        </w:rPr>
        <w:t>cases.</w:t>
      </w:r>
    </w:p>
    <w:p>
      <w:pPr>
        <w:pStyle w:val="BodyText"/>
        <w:ind w:left="140" w:right="496" w:firstLine="432"/>
        <w:jc w:val="both"/>
      </w:pPr>
      <w:r>
        <w:rPr/>
        <w:t>Take a look at Figure 6.33, which shows pivot confirmation in a five- minute chart of the E-Mini S&amp;P 500 futures contract. Price opened the day with a gap down and initially pushed quietly lower before reaching S1 support at about 842.75, essentially laying the foundation for a potential bounce</w:t>
      </w:r>
      <w:r>
        <w:rPr>
          <w:spacing w:val="-1"/>
        </w:rPr>
        <w:t> </w:t>
      </w:r>
      <w:r>
        <w:rPr/>
        <w:t>and</w:t>
      </w:r>
      <w:r>
        <w:rPr>
          <w:spacing w:val="-1"/>
        </w:rPr>
        <w:t> </w:t>
      </w:r>
      <w:r>
        <w:rPr/>
        <w:t>fill</w:t>
      </w:r>
      <w:r>
        <w:rPr>
          <w:spacing w:val="-1"/>
        </w:rPr>
        <w:t> </w:t>
      </w:r>
      <w:r>
        <w:rPr/>
        <w:t>of</w:t>
      </w:r>
      <w:r>
        <w:rPr>
          <w:spacing w:val="-1"/>
        </w:rPr>
        <w:t> </w:t>
      </w:r>
      <w:r>
        <w:rPr/>
        <w:t>the</w:t>
      </w:r>
      <w:r>
        <w:rPr>
          <w:spacing w:val="-1"/>
        </w:rPr>
        <w:t> </w:t>
      </w:r>
      <w:r>
        <w:rPr/>
        <w:t>gap.</w:t>
      </w:r>
      <w:r>
        <w:rPr>
          <w:spacing w:val="-2"/>
        </w:rPr>
        <w:t> </w:t>
      </w:r>
      <w:r>
        <w:rPr/>
        <w:t>The</w:t>
      </w:r>
      <w:r>
        <w:rPr>
          <w:spacing w:val="-1"/>
        </w:rPr>
        <w:t> </w:t>
      </w:r>
      <w:r>
        <w:rPr/>
        <w:t>market</w:t>
      </w:r>
      <w:r>
        <w:rPr>
          <w:spacing w:val="-1"/>
        </w:rPr>
        <w:t> </w:t>
      </w:r>
      <w:r>
        <w:rPr/>
        <w:t>tested</w:t>
      </w:r>
      <w:r>
        <w:rPr>
          <w:spacing w:val="-1"/>
        </w:rPr>
        <w:t> </w:t>
      </w:r>
      <w:r>
        <w:rPr/>
        <w:t>the</w:t>
      </w:r>
      <w:r>
        <w:rPr>
          <w:spacing w:val="-1"/>
        </w:rPr>
        <w:t> </w:t>
      </w:r>
      <w:r>
        <w:rPr/>
        <w:t>S1</w:t>
      </w:r>
      <w:r>
        <w:rPr>
          <w:spacing w:val="-1"/>
        </w:rPr>
        <w:t> </w:t>
      </w:r>
      <w:r>
        <w:rPr/>
        <w:t>pivot</w:t>
      </w:r>
      <w:r>
        <w:rPr>
          <w:spacing w:val="-1"/>
        </w:rPr>
        <w:t> </w:t>
      </w:r>
      <w:r>
        <w:rPr/>
        <w:t>level</w:t>
      </w:r>
      <w:r>
        <w:rPr>
          <w:spacing w:val="-1"/>
        </w:rPr>
        <w:t> </w:t>
      </w:r>
      <w:r>
        <w:rPr/>
        <w:t>several</w:t>
      </w:r>
      <w:r>
        <w:rPr>
          <w:spacing w:val="-1"/>
        </w:rPr>
        <w:t> </w:t>
      </w:r>
      <w:r>
        <w:rPr/>
        <w:t>times, forming multiple wick reversal candlesticks at this level,</w:t>
      </w:r>
      <w:r>
        <w:rPr/>
        <w:t> which is usually indicative of a reversal. In this case, the market held nicely at pivot support and traded quietly to the prior day’s close, filling the gap precisely at the central pivot range.</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317" cy="2983229"/>
            <wp:effectExtent l="0" t="0" r="0" b="0"/>
            <wp:docPr id="203" name="image103.png"/>
            <wp:cNvGraphicFramePr>
              <a:graphicFrameLocks noChangeAspect="1"/>
            </wp:cNvGraphicFramePr>
            <a:graphic>
              <a:graphicData uri="http://schemas.openxmlformats.org/drawingml/2006/picture">
                <pic:pic>
                  <pic:nvPicPr>
                    <pic:cNvPr id="204" name="image103.png"/>
                    <pic:cNvPicPr/>
                  </pic:nvPicPr>
                  <pic:blipFill>
                    <a:blip r:embed="rId212" cstate="print"/>
                    <a:stretch>
                      <a:fillRect/>
                    </a:stretch>
                  </pic:blipFill>
                  <pic:spPr>
                    <a:xfrm>
                      <a:off x="0" y="0"/>
                      <a:ext cx="4304317" cy="2983229"/>
                    </a:xfrm>
                    <a:prstGeom prst="rect">
                      <a:avLst/>
                    </a:prstGeom>
                  </pic:spPr>
                </pic:pic>
              </a:graphicData>
            </a:graphic>
          </wp:inline>
        </w:drawing>
      </w:r>
      <w:r>
        <w:rPr>
          <w:sz w:val="20"/>
        </w:rPr>
      </w:r>
    </w:p>
    <w:p>
      <w:pPr>
        <w:spacing w:before="48"/>
        <w:ind w:left="500" w:right="0" w:firstLine="0"/>
        <w:jc w:val="left"/>
        <w:rPr>
          <w:sz w:val="16"/>
        </w:rPr>
      </w:pPr>
      <w:r>
        <w:rPr>
          <w:sz w:val="16"/>
        </w:rPr>
        <w:t>FIGURE</w:t>
      </w:r>
      <w:r>
        <w:rPr>
          <w:spacing w:val="-1"/>
          <w:sz w:val="16"/>
        </w:rPr>
        <w:t> </w:t>
      </w:r>
      <w:r>
        <w:rPr>
          <w:sz w:val="16"/>
        </w:rPr>
        <w:t>6.33: S1</w:t>
      </w:r>
      <w:r>
        <w:rPr>
          <w:spacing w:val="1"/>
          <w:sz w:val="16"/>
        </w:rPr>
        <w:t> </w:t>
      </w:r>
      <w:r>
        <w:rPr>
          <w:sz w:val="16"/>
        </w:rPr>
        <w:t>support helps you identify a reversal</w:t>
      </w:r>
      <w:r>
        <w:rPr>
          <w:spacing w:val="2"/>
          <w:sz w:val="16"/>
        </w:rPr>
        <w:t> </w:t>
      </w:r>
      <w:r>
        <w:rPr>
          <w:sz w:val="16"/>
        </w:rPr>
        <w:t>in this</w:t>
      </w:r>
      <w:r>
        <w:rPr>
          <w:spacing w:val="1"/>
          <w:sz w:val="16"/>
        </w:rPr>
        <w:t> </w:t>
      </w:r>
      <w:r>
        <w:rPr>
          <w:sz w:val="16"/>
        </w:rPr>
        <w:t>magnet </w:t>
      </w:r>
      <w:r>
        <w:rPr>
          <w:spacing w:val="-2"/>
          <w:sz w:val="16"/>
        </w:rPr>
        <w:t>trade.</w:t>
      </w:r>
    </w:p>
    <w:p>
      <w:pPr>
        <w:pStyle w:val="BodyText"/>
        <w:spacing w:before="2"/>
      </w:pPr>
    </w:p>
    <w:p>
      <w:pPr>
        <w:pStyle w:val="BodyText"/>
        <w:ind w:left="499" w:right="136" w:firstLine="432"/>
        <w:jc w:val="both"/>
      </w:pPr>
      <w:r>
        <w:rPr/>
        <w:t>Sometimes,</w:t>
      </w:r>
      <w:r>
        <w:rPr>
          <w:spacing w:val="-1"/>
        </w:rPr>
        <w:t> </w:t>
      </w:r>
      <w:r>
        <w:rPr/>
        <w:t>however,</w:t>
      </w:r>
      <w:r>
        <w:rPr>
          <w:spacing w:val="-1"/>
        </w:rPr>
        <w:t> </w:t>
      </w:r>
      <w:r>
        <w:rPr/>
        <w:t>pivots</w:t>
      </w:r>
      <w:r>
        <w:rPr>
          <w:spacing w:val="-1"/>
        </w:rPr>
        <w:t> </w:t>
      </w:r>
      <w:r>
        <w:rPr/>
        <w:t>can</w:t>
      </w:r>
      <w:r>
        <w:rPr>
          <w:spacing w:val="-1"/>
        </w:rPr>
        <w:t> </w:t>
      </w:r>
      <w:r>
        <w:rPr/>
        <w:t>provide</w:t>
      </w:r>
      <w:r>
        <w:rPr>
          <w:spacing w:val="-1"/>
        </w:rPr>
        <w:t> </w:t>
      </w:r>
      <w:r>
        <w:rPr/>
        <w:t>a</w:t>
      </w:r>
      <w:r>
        <w:rPr>
          <w:spacing w:val="-1"/>
        </w:rPr>
        <w:t> </w:t>
      </w:r>
      <w:r>
        <w:rPr/>
        <w:t>roadblock</w:t>
      </w:r>
      <w:r>
        <w:rPr>
          <w:spacing w:val="-1"/>
        </w:rPr>
        <w:t> </w:t>
      </w:r>
      <w:r>
        <w:rPr/>
        <w:t>to</w:t>
      </w:r>
      <w:r>
        <w:rPr>
          <w:spacing w:val="-1"/>
        </w:rPr>
        <w:t> </w:t>
      </w:r>
      <w:r>
        <w:rPr/>
        <w:t>a</w:t>
      </w:r>
      <w:r>
        <w:rPr>
          <w:spacing w:val="-1"/>
        </w:rPr>
        <w:t> </w:t>
      </w:r>
      <w:r>
        <w:rPr/>
        <w:t>perfectly</w:t>
      </w:r>
      <w:r>
        <w:rPr>
          <w:spacing w:val="-2"/>
        </w:rPr>
        <w:t> </w:t>
      </w:r>
      <w:r>
        <w:rPr/>
        <w:t>good magnet trade opportunity, as is the case in Figure 6.34, which shows a</w:t>
      </w:r>
      <w:r>
        <w:rPr>
          <w:spacing w:val="40"/>
        </w:rPr>
        <w:t> </w:t>
      </w:r>
      <w:r>
        <w:rPr/>
        <w:t>fifteen-minute chart of Natural Gas futures.</w:t>
      </w:r>
      <w:r>
        <w:rPr/>
        <w:t> The commodity gapped </w:t>
      </w:r>
      <w:r>
        <w:rPr>
          <w:i/>
        </w:rPr>
        <w:t>below</w:t>
      </w:r>
      <w:r>
        <w:rPr>
          <w:i/>
        </w:rPr>
        <w:t> </w:t>
      </w:r>
      <w:r>
        <w:rPr/>
        <w:t>two key pivot levels, which would typically help to push price higher, but instead became resistance in this instance. That is, the very levels that are intended to be support served as resistance and stifled price throughout its upward attempt. Eventually Natural Gas succumbed to R1 resistance and failed to fill the very modest gap.</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317" cy="2983229"/>
            <wp:effectExtent l="0" t="0" r="0" b="0"/>
            <wp:docPr id="205" name="image104.png"/>
            <wp:cNvGraphicFramePr>
              <a:graphicFrameLocks noChangeAspect="1"/>
            </wp:cNvGraphicFramePr>
            <a:graphic>
              <a:graphicData uri="http://schemas.openxmlformats.org/drawingml/2006/picture">
                <pic:pic>
                  <pic:nvPicPr>
                    <pic:cNvPr id="206" name="image104.png"/>
                    <pic:cNvPicPr/>
                  </pic:nvPicPr>
                  <pic:blipFill>
                    <a:blip r:embed="rId213" cstate="print"/>
                    <a:stretch>
                      <a:fillRect/>
                    </a:stretch>
                  </pic:blipFill>
                  <pic:spPr>
                    <a:xfrm>
                      <a:off x="0" y="0"/>
                      <a:ext cx="4304317" cy="2983229"/>
                    </a:xfrm>
                    <a:prstGeom prst="rect">
                      <a:avLst/>
                    </a:prstGeom>
                  </pic:spPr>
                </pic:pic>
              </a:graphicData>
            </a:graphic>
          </wp:inline>
        </w:drawing>
      </w:r>
      <w:r>
        <w:rPr>
          <w:sz w:val="20"/>
        </w:rPr>
      </w:r>
    </w:p>
    <w:p>
      <w:pPr>
        <w:spacing w:before="48"/>
        <w:ind w:left="140" w:right="0" w:firstLine="0"/>
        <w:jc w:val="left"/>
        <w:rPr>
          <w:sz w:val="16"/>
        </w:rPr>
      </w:pPr>
      <w:r>
        <w:rPr>
          <w:sz w:val="16"/>
        </w:rPr>
        <w:t>FIGURE 6.34:</w:t>
      </w:r>
      <w:r>
        <w:rPr>
          <w:spacing w:val="1"/>
          <w:sz w:val="16"/>
        </w:rPr>
        <w:t> </w:t>
      </w:r>
      <w:r>
        <w:rPr>
          <w:sz w:val="16"/>
        </w:rPr>
        <w:t>Too</w:t>
      </w:r>
      <w:r>
        <w:rPr>
          <w:spacing w:val="1"/>
          <w:sz w:val="16"/>
        </w:rPr>
        <w:t> </w:t>
      </w:r>
      <w:r>
        <w:rPr>
          <w:sz w:val="16"/>
        </w:rPr>
        <w:t>much</w:t>
      </w:r>
      <w:r>
        <w:rPr>
          <w:spacing w:val="1"/>
          <w:sz w:val="16"/>
        </w:rPr>
        <w:t> </w:t>
      </w:r>
      <w:r>
        <w:rPr>
          <w:sz w:val="16"/>
        </w:rPr>
        <w:t>resistance</w:t>
      </w:r>
      <w:r>
        <w:rPr>
          <w:spacing w:val="3"/>
          <w:sz w:val="16"/>
        </w:rPr>
        <w:t> </w:t>
      </w:r>
      <w:r>
        <w:rPr>
          <w:sz w:val="16"/>
        </w:rPr>
        <w:t>can be</w:t>
      </w:r>
      <w:r>
        <w:rPr>
          <w:spacing w:val="1"/>
          <w:sz w:val="16"/>
        </w:rPr>
        <w:t> </w:t>
      </w:r>
      <w:r>
        <w:rPr>
          <w:sz w:val="16"/>
        </w:rPr>
        <w:t>a pitfall</w:t>
      </w:r>
      <w:r>
        <w:rPr>
          <w:spacing w:val="1"/>
          <w:sz w:val="16"/>
        </w:rPr>
        <w:t> </w:t>
      </w:r>
      <w:r>
        <w:rPr>
          <w:sz w:val="16"/>
        </w:rPr>
        <w:t>when playing</w:t>
      </w:r>
      <w:r>
        <w:rPr>
          <w:spacing w:val="1"/>
          <w:sz w:val="16"/>
        </w:rPr>
        <w:t> </w:t>
      </w:r>
      <w:r>
        <w:rPr>
          <w:sz w:val="16"/>
        </w:rPr>
        <w:t>the</w:t>
      </w:r>
      <w:r>
        <w:rPr>
          <w:spacing w:val="2"/>
          <w:sz w:val="16"/>
        </w:rPr>
        <w:t> </w:t>
      </w:r>
      <w:r>
        <w:rPr>
          <w:sz w:val="16"/>
        </w:rPr>
        <w:t>magnet </w:t>
      </w:r>
      <w:r>
        <w:rPr>
          <w:spacing w:val="-2"/>
          <w:sz w:val="16"/>
        </w:rPr>
        <w:t>trade.</w:t>
      </w:r>
    </w:p>
    <w:p>
      <w:pPr>
        <w:pStyle w:val="BodyText"/>
        <w:spacing w:before="2"/>
      </w:pPr>
    </w:p>
    <w:p>
      <w:pPr>
        <w:pStyle w:val="BodyText"/>
        <w:ind w:left="139"/>
      </w:pPr>
      <w:r>
        <w:rPr/>
        <w:t>BOSS</w:t>
      </w:r>
      <w:r>
        <w:rPr>
          <w:spacing w:val="-5"/>
        </w:rPr>
        <w:t> </w:t>
      </w:r>
      <w:r>
        <w:rPr/>
        <w:t>IN</w:t>
      </w:r>
      <w:r>
        <w:rPr>
          <w:spacing w:val="-5"/>
        </w:rPr>
        <w:t> </w:t>
      </w:r>
      <w:r>
        <w:rPr>
          <w:spacing w:val="-2"/>
        </w:rPr>
        <w:t>ACTION</w:t>
      </w:r>
    </w:p>
    <w:p>
      <w:pPr>
        <w:pStyle w:val="BodyText"/>
        <w:spacing w:before="10"/>
        <w:rPr>
          <w:sz w:val="21"/>
        </w:rPr>
      </w:pPr>
    </w:p>
    <w:p>
      <w:pPr>
        <w:pStyle w:val="BodyText"/>
        <w:ind w:left="139" w:right="492" w:firstLine="432"/>
        <w:jc w:val="both"/>
      </w:pPr>
      <w:r>
        <w:rPr>
          <w:spacing w:val="-2"/>
        </w:rPr>
        <w:t>A</w:t>
      </w:r>
      <w:r>
        <w:rPr>
          <w:spacing w:val="-12"/>
        </w:rPr>
        <w:t> </w:t>
      </w:r>
      <w:r>
        <w:rPr>
          <w:spacing w:val="-2"/>
        </w:rPr>
        <w:t>gap</w:t>
      </w:r>
      <w:r>
        <w:rPr>
          <w:spacing w:val="-12"/>
        </w:rPr>
        <w:t> </w:t>
      </w:r>
      <w:r>
        <w:rPr>
          <w:spacing w:val="-2"/>
        </w:rPr>
        <w:t>at</w:t>
      </w:r>
      <w:r>
        <w:rPr>
          <w:spacing w:val="-12"/>
        </w:rPr>
        <w:t> </w:t>
      </w:r>
      <w:r>
        <w:rPr>
          <w:spacing w:val="-2"/>
        </w:rPr>
        <w:t>the</w:t>
      </w:r>
      <w:r>
        <w:rPr>
          <w:spacing w:val="-11"/>
        </w:rPr>
        <w:t> </w:t>
      </w:r>
      <w:r>
        <w:rPr>
          <w:spacing w:val="-2"/>
        </w:rPr>
        <w:t>open</w:t>
      </w:r>
      <w:r>
        <w:rPr>
          <w:spacing w:val="-12"/>
        </w:rPr>
        <w:t> </w:t>
      </w:r>
      <w:r>
        <w:rPr>
          <w:spacing w:val="-2"/>
        </w:rPr>
        <w:t>of</w:t>
      </w:r>
      <w:r>
        <w:rPr>
          <w:spacing w:val="-12"/>
        </w:rPr>
        <w:t> </w:t>
      </w:r>
      <w:r>
        <w:rPr>
          <w:spacing w:val="-2"/>
        </w:rPr>
        <w:t>the</w:t>
      </w:r>
      <w:r>
        <w:rPr>
          <w:spacing w:val="-12"/>
        </w:rPr>
        <w:t> </w:t>
      </w:r>
      <w:r>
        <w:rPr>
          <w:spacing w:val="-2"/>
        </w:rPr>
        <w:t>day</w:t>
      </w:r>
      <w:r>
        <w:rPr>
          <w:spacing w:val="-11"/>
        </w:rPr>
        <w:t> </w:t>
      </w:r>
      <w:r>
        <w:rPr>
          <w:spacing w:val="-2"/>
        </w:rPr>
        <w:t>indicates</w:t>
      </w:r>
      <w:r>
        <w:rPr>
          <w:spacing w:val="-12"/>
        </w:rPr>
        <w:t> </w:t>
      </w:r>
      <w:r>
        <w:rPr>
          <w:spacing w:val="-2"/>
        </w:rPr>
        <w:t>the</w:t>
      </w:r>
      <w:r>
        <w:rPr>
          <w:spacing w:val="-12"/>
        </w:rPr>
        <w:t> </w:t>
      </w:r>
      <w:r>
        <w:rPr>
          <w:spacing w:val="-2"/>
        </w:rPr>
        <w:t>market</w:t>
      </w:r>
      <w:r>
        <w:rPr>
          <w:spacing w:val="-12"/>
        </w:rPr>
        <w:t> </w:t>
      </w:r>
      <w:r>
        <w:rPr>
          <w:spacing w:val="-2"/>
        </w:rPr>
        <w:t>is</w:t>
      </w:r>
      <w:r>
        <w:rPr>
          <w:spacing w:val="-11"/>
        </w:rPr>
        <w:t> </w:t>
      </w:r>
      <w:r>
        <w:rPr>
          <w:spacing w:val="-2"/>
        </w:rPr>
        <w:t>primed</w:t>
      </w:r>
      <w:r>
        <w:rPr>
          <w:spacing w:val="-12"/>
        </w:rPr>
        <w:t> </w:t>
      </w:r>
      <w:r>
        <w:rPr>
          <w:spacing w:val="-2"/>
        </w:rPr>
        <w:t>and</w:t>
      </w:r>
      <w:r>
        <w:rPr>
          <w:spacing w:val="-11"/>
        </w:rPr>
        <w:t> </w:t>
      </w:r>
      <w:r>
        <w:rPr>
          <w:spacing w:val="-2"/>
        </w:rPr>
        <w:t>ready</w:t>
      </w:r>
      <w:r>
        <w:rPr>
          <w:spacing w:val="-12"/>
        </w:rPr>
        <w:t> </w:t>
      </w:r>
      <w:r>
        <w:rPr>
          <w:spacing w:val="-2"/>
        </w:rPr>
        <w:t>for</w:t>
      </w:r>
      <w:r>
        <w:rPr>
          <w:spacing w:val="-11"/>
        </w:rPr>
        <w:t> </w:t>
      </w:r>
      <w:r>
        <w:rPr>
          <w:spacing w:val="-2"/>
        </w:rPr>
        <w:t>an </w:t>
      </w:r>
      <w:r>
        <w:rPr/>
        <w:t>active morning. While breakaway gaps offer some of the best money-making opportunities in the market, the magnet trade offers a level of accuracy and comfort that is highly unusual in trading, especially if the setup occurs in </w:t>
      </w:r>
      <w:r>
        <w:rPr>
          <w:spacing w:val="-2"/>
        </w:rPr>
        <w:t>January,</w:t>
      </w:r>
      <w:r>
        <w:rPr>
          <w:spacing w:val="-8"/>
        </w:rPr>
        <w:t> </w:t>
      </w:r>
      <w:r>
        <w:rPr>
          <w:spacing w:val="-2"/>
        </w:rPr>
        <w:t>April,</w:t>
      </w:r>
      <w:r>
        <w:rPr>
          <w:spacing w:val="-8"/>
        </w:rPr>
        <w:t> </w:t>
      </w:r>
      <w:r>
        <w:rPr>
          <w:spacing w:val="-2"/>
        </w:rPr>
        <w:t>July,</w:t>
      </w:r>
      <w:r>
        <w:rPr>
          <w:spacing w:val="-9"/>
        </w:rPr>
        <w:t> </w:t>
      </w:r>
      <w:r>
        <w:rPr>
          <w:spacing w:val="-2"/>
        </w:rPr>
        <w:t>or</w:t>
      </w:r>
      <w:r>
        <w:rPr>
          <w:spacing w:val="-7"/>
        </w:rPr>
        <w:t> </w:t>
      </w:r>
      <w:r>
        <w:rPr>
          <w:spacing w:val="-2"/>
        </w:rPr>
        <w:t>October.</w:t>
      </w:r>
      <w:r>
        <w:rPr>
          <w:spacing w:val="-8"/>
        </w:rPr>
        <w:t> </w:t>
      </w:r>
      <w:r>
        <w:rPr>
          <w:spacing w:val="-2"/>
        </w:rPr>
        <w:t>I’ve</w:t>
      </w:r>
      <w:r>
        <w:rPr>
          <w:spacing w:val="-7"/>
        </w:rPr>
        <w:t> </w:t>
      </w:r>
      <w:r>
        <w:rPr>
          <w:spacing w:val="-2"/>
        </w:rPr>
        <w:t>actually</w:t>
      </w:r>
      <w:r>
        <w:rPr>
          <w:spacing w:val="-9"/>
        </w:rPr>
        <w:t> </w:t>
      </w:r>
      <w:r>
        <w:rPr>
          <w:spacing w:val="-2"/>
        </w:rPr>
        <w:t>created</w:t>
      </w:r>
      <w:r>
        <w:rPr>
          <w:spacing w:val="-7"/>
        </w:rPr>
        <w:t> </w:t>
      </w:r>
      <w:r>
        <w:rPr>
          <w:spacing w:val="-2"/>
        </w:rPr>
        <w:t>mechanical</w:t>
      </w:r>
      <w:r>
        <w:rPr>
          <w:spacing w:val="-7"/>
        </w:rPr>
        <w:t> </w:t>
      </w:r>
      <w:r>
        <w:rPr>
          <w:spacing w:val="-2"/>
        </w:rPr>
        <w:t>strategies</w:t>
      </w:r>
      <w:r>
        <w:rPr>
          <w:spacing w:val="-7"/>
        </w:rPr>
        <w:t> </w:t>
      </w:r>
      <w:r>
        <w:rPr>
          <w:spacing w:val="-2"/>
        </w:rPr>
        <w:t>that solely</w:t>
      </w:r>
      <w:r>
        <w:rPr>
          <w:spacing w:val="-9"/>
        </w:rPr>
        <w:t> </w:t>
      </w:r>
      <w:r>
        <w:rPr>
          <w:spacing w:val="-2"/>
        </w:rPr>
        <w:t>focus</w:t>
      </w:r>
      <w:r>
        <w:rPr>
          <w:spacing w:val="-8"/>
        </w:rPr>
        <w:t> </w:t>
      </w:r>
      <w:r>
        <w:rPr>
          <w:spacing w:val="-2"/>
        </w:rPr>
        <w:t>on</w:t>
      </w:r>
      <w:r>
        <w:rPr>
          <w:spacing w:val="-8"/>
        </w:rPr>
        <w:t> </w:t>
      </w:r>
      <w:r>
        <w:rPr>
          <w:spacing w:val="-2"/>
        </w:rPr>
        <w:t>this</w:t>
      </w:r>
      <w:r>
        <w:rPr>
          <w:spacing w:val="-8"/>
        </w:rPr>
        <w:t> </w:t>
      </w:r>
      <w:r>
        <w:rPr>
          <w:spacing w:val="-2"/>
        </w:rPr>
        <w:t>setup</w:t>
      </w:r>
      <w:r>
        <w:rPr>
          <w:spacing w:val="-8"/>
        </w:rPr>
        <w:t> </w:t>
      </w:r>
      <w:r>
        <w:rPr>
          <w:spacing w:val="-2"/>
        </w:rPr>
        <w:t>and</w:t>
      </w:r>
      <w:r>
        <w:rPr>
          <w:spacing w:val="-9"/>
        </w:rPr>
        <w:t> </w:t>
      </w:r>
      <w:r>
        <w:rPr>
          <w:spacing w:val="-2"/>
        </w:rPr>
        <w:t>have</w:t>
      </w:r>
      <w:r>
        <w:rPr>
          <w:spacing w:val="-8"/>
        </w:rPr>
        <w:t> </w:t>
      </w:r>
      <w:r>
        <w:rPr>
          <w:spacing w:val="-2"/>
        </w:rPr>
        <w:t>accuracy</w:t>
      </w:r>
      <w:r>
        <w:rPr>
          <w:spacing w:val="-8"/>
        </w:rPr>
        <w:t> </w:t>
      </w:r>
      <w:r>
        <w:rPr>
          <w:spacing w:val="-2"/>
        </w:rPr>
        <w:t>ratings</w:t>
      </w:r>
      <w:r>
        <w:rPr>
          <w:spacing w:val="-8"/>
        </w:rPr>
        <w:t> </w:t>
      </w:r>
      <w:r>
        <w:rPr>
          <w:spacing w:val="-2"/>
        </w:rPr>
        <w:t>well</w:t>
      </w:r>
      <w:r>
        <w:rPr>
          <w:spacing w:val="-8"/>
        </w:rPr>
        <w:t> </w:t>
      </w:r>
      <w:r>
        <w:rPr>
          <w:spacing w:val="-2"/>
        </w:rPr>
        <w:t>over</w:t>
      </w:r>
      <w:r>
        <w:rPr>
          <w:spacing w:val="-9"/>
        </w:rPr>
        <w:t> </w:t>
      </w:r>
      <w:r>
        <w:rPr>
          <w:spacing w:val="-2"/>
        </w:rPr>
        <w:t>80</w:t>
      </w:r>
      <w:r>
        <w:rPr>
          <w:spacing w:val="-9"/>
        </w:rPr>
        <w:t> </w:t>
      </w:r>
      <w:r>
        <w:rPr>
          <w:spacing w:val="-2"/>
        </w:rPr>
        <w:t>percent</w:t>
      </w:r>
      <w:r>
        <w:rPr>
          <w:spacing w:val="-10"/>
        </w:rPr>
        <w:t> </w:t>
      </w:r>
      <w:r>
        <w:rPr>
          <w:spacing w:val="-2"/>
        </w:rPr>
        <w:t>during </w:t>
      </w:r>
      <w:r>
        <w:rPr/>
        <w:t>earnings</w:t>
      </w:r>
      <w:r>
        <w:rPr>
          <w:spacing w:val="-2"/>
        </w:rPr>
        <w:t> </w:t>
      </w:r>
      <w:r>
        <w:rPr/>
        <w:t>season.</w:t>
      </w:r>
    </w:p>
    <w:p>
      <w:pPr>
        <w:pStyle w:val="BodyText"/>
        <w:spacing w:before="1"/>
        <w:ind w:left="139" w:right="490" w:firstLine="432"/>
        <w:jc w:val="both"/>
      </w:pPr>
      <w:r>
        <w:rPr/>
        <w:t>My</w:t>
      </w:r>
      <w:r>
        <w:rPr>
          <w:spacing w:val="-16"/>
        </w:rPr>
        <w:t> </w:t>
      </w:r>
      <w:r>
        <w:rPr/>
        <w:t>favorite</w:t>
      </w:r>
      <w:r>
        <w:rPr>
          <w:spacing w:val="-14"/>
        </w:rPr>
        <w:t> </w:t>
      </w:r>
      <w:r>
        <w:rPr/>
        <w:t>magnet</w:t>
      </w:r>
      <w:r>
        <w:rPr>
          <w:spacing w:val="-14"/>
        </w:rPr>
        <w:t> </w:t>
      </w:r>
      <w:r>
        <w:rPr/>
        <w:t>trades</w:t>
      </w:r>
      <w:r>
        <w:rPr>
          <w:spacing w:val="-13"/>
        </w:rPr>
        <w:t> </w:t>
      </w:r>
      <w:r>
        <w:rPr/>
        <w:t>occur</w:t>
      </w:r>
      <w:r>
        <w:rPr>
          <w:spacing w:val="-14"/>
        </w:rPr>
        <w:t> </w:t>
      </w:r>
      <w:r>
        <w:rPr/>
        <w:t>when</w:t>
      </w:r>
      <w:r>
        <w:rPr>
          <w:spacing w:val="-14"/>
        </w:rPr>
        <w:t> </w:t>
      </w:r>
      <w:r>
        <w:rPr/>
        <w:t>the</w:t>
      </w:r>
      <w:r>
        <w:rPr>
          <w:spacing w:val="-14"/>
        </w:rPr>
        <w:t> </w:t>
      </w:r>
      <w:r>
        <w:rPr/>
        <w:t>market</w:t>
      </w:r>
      <w:r>
        <w:rPr>
          <w:spacing w:val="-13"/>
        </w:rPr>
        <w:t> </w:t>
      </w:r>
      <w:r>
        <w:rPr/>
        <w:t>takes</w:t>
      </w:r>
      <w:r>
        <w:rPr>
          <w:spacing w:val="-14"/>
        </w:rPr>
        <w:t> </w:t>
      </w:r>
      <w:r>
        <w:rPr/>
        <w:t>a</w:t>
      </w:r>
      <w:r>
        <w:rPr>
          <w:spacing w:val="-14"/>
        </w:rPr>
        <w:t> </w:t>
      </w:r>
      <w:r>
        <w:rPr/>
        <w:t>moderate</w:t>
      </w:r>
      <w:r>
        <w:rPr>
          <w:spacing w:val="-14"/>
        </w:rPr>
        <w:t> </w:t>
      </w:r>
      <w:r>
        <w:rPr/>
        <w:t>gap</w:t>
      </w:r>
      <w:r>
        <w:rPr>
          <w:spacing w:val="-13"/>
        </w:rPr>
        <w:t> </w:t>
      </w:r>
      <w:r>
        <w:rPr/>
        <w:t>up at</w:t>
      </w:r>
      <w:r>
        <w:rPr>
          <w:spacing w:val="-10"/>
        </w:rPr>
        <w:t> </w:t>
      </w:r>
      <w:r>
        <w:rPr/>
        <w:t>the</w:t>
      </w:r>
      <w:r>
        <w:rPr>
          <w:spacing w:val="-10"/>
        </w:rPr>
        <w:t> </w:t>
      </w:r>
      <w:r>
        <w:rPr/>
        <w:t>outset</w:t>
      </w:r>
      <w:r>
        <w:rPr>
          <w:spacing w:val="-10"/>
        </w:rPr>
        <w:t> </w:t>
      </w:r>
      <w:r>
        <w:rPr/>
        <w:t>of</w:t>
      </w:r>
      <w:r>
        <w:rPr>
          <w:spacing w:val="-10"/>
        </w:rPr>
        <w:t> </w:t>
      </w:r>
      <w:r>
        <w:rPr/>
        <w:t>the</w:t>
      </w:r>
      <w:r>
        <w:rPr>
          <w:spacing w:val="-10"/>
        </w:rPr>
        <w:t> </w:t>
      </w:r>
      <w:r>
        <w:rPr/>
        <w:t>day,</w:t>
      </w:r>
      <w:r>
        <w:rPr>
          <w:spacing w:val="-10"/>
        </w:rPr>
        <w:t> </w:t>
      </w:r>
      <w:r>
        <w:rPr/>
        <w:t>as</w:t>
      </w:r>
      <w:r>
        <w:rPr>
          <w:spacing w:val="-11"/>
        </w:rPr>
        <w:t> </w:t>
      </w:r>
      <w:r>
        <w:rPr/>
        <w:t>was</w:t>
      </w:r>
      <w:r>
        <w:rPr>
          <w:spacing w:val="-10"/>
        </w:rPr>
        <w:t> </w:t>
      </w:r>
      <w:r>
        <w:rPr/>
        <w:t>the</w:t>
      </w:r>
      <w:r>
        <w:rPr>
          <w:spacing w:val="-10"/>
        </w:rPr>
        <w:t> </w:t>
      </w:r>
      <w:r>
        <w:rPr/>
        <w:t>case</w:t>
      </w:r>
      <w:r>
        <w:rPr>
          <w:spacing w:val="-10"/>
        </w:rPr>
        <w:t> </w:t>
      </w:r>
      <w:r>
        <w:rPr/>
        <w:t>in</w:t>
      </w:r>
      <w:r>
        <w:rPr>
          <w:spacing w:val="-10"/>
        </w:rPr>
        <w:t> </w:t>
      </w:r>
      <w:r>
        <w:rPr/>
        <w:t>the</w:t>
      </w:r>
      <w:r>
        <w:rPr>
          <w:spacing w:val="-10"/>
        </w:rPr>
        <w:t> </w:t>
      </w:r>
      <w:r>
        <w:rPr/>
        <w:t>E-Mini</w:t>
      </w:r>
      <w:r>
        <w:rPr>
          <w:spacing w:val="-11"/>
        </w:rPr>
        <w:t> </w:t>
      </w:r>
      <w:r>
        <w:rPr/>
        <w:t>S&amp;P</w:t>
      </w:r>
      <w:r>
        <w:rPr>
          <w:spacing w:val="-10"/>
        </w:rPr>
        <w:t> </w:t>
      </w:r>
      <w:r>
        <w:rPr/>
        <w:t>400</w:t>
      </w:r>
      <w:r>
        <w:rPr>
          <w:spacing w:val="-10"/>
        </w:rPr>
        <w:t> </w:t>
      </w:r>
      <w:r>
        <w:rPr/>
        <w:t>futures</w:t>
      </w:r>
      <w:r>
        <w:rPr>
          <w:spacing w:val="-10"/>
        </w:rPr>
        <w:t> </w:t>
      </w:r>
      <w:r>
        <w:rPr/>
        <w:t>contract </w:t>
      </w:r>
      <w:r>
        <w:rPr>
          <w:spacing w:val="-2"/>
        </w:rPr>
        <w:t>in</w:t>
      </w:r>
      <w:r>
        <w:rPr>
          <w:spacing w:val="-10"/>
        </w:rPr>
        <w:t> </w:t>
      </w:r>
      <w:r>
        <w:rPr>
          <w:spacing w:val="-2"/>
        </w:rPr>
        <w:t>Figure</w:t>
      </w:r>
      <w:r>
        <w:rPr>
          <w:spacing w:val="-10"/>
        </w:rPr>
        <w:t> </w:t>
      </w:r>
      <w:r>
        <w:rPr>
          <w:spacing w:val="-2"/>
        </w:rPr>
        <w:t>6.35.</w:t>
      </w:r>
      <w:r>
        <w:rPr>
          <w:spacing w:val="-9"/>
        </w:rPr>
        <w:t> </w:t>
      </w:r>
      <w:r>
        <w:rPr>
          <w:spacing w:val="-2"/>
        </w:rPr>
        <w:t>The</w:t>
      </w:r>
      <w:r>
        <w:rPr>
          <w:spacing w:val="-10"/>
        </w:rPr>
        <w:t> </w:t>
      </w:r>
      <w:r>
        <w:rPr>
          <w:spacing w:val="-2"/>
        </w:rPr>
        <w:t>fact</w:t>
      </w:r>
      <w:r>
        <w:rPr>
          <w:spacing w:val="-10"/>
        </w:rPr>
        <w:t> </w:t>
      </w:r>
      <w:r>
        <w:rPr>
          <w:spacing w:val="-2"/>
        </w:rPr>
        <w:t>that</w:t>
      </w:r>
      <w:r>
        <w:rPr>
          <w:spacing w:val="-10"/>
        </w:rPr>
        <w:t> </w:t>
      </w:r>
      <w:r>
        <w:rPr>
          <w:spacing w:val="-2"/>
        </w:rPr>
        <w:t>the</w:t>
      </w:r>
      <w:r>
        <w:rPr>
          <w:spacing w:val="-9"/>
        </w:rPr>
        <w:t> </w:t>
      </w:r>
      <w:r>
        <w:rPr>
          <w:spacing w:val="-2"/>
        </w:rPr>
        <w:t>setup</w:t>
      </w:r>
      <w:r>
        <w:rPr>
          <w:spacing w:val="-9"/>
        </w:rPr>
        <w:t> </w:t>
      </w:r>
      <w:r>
        <w:rPr>
          <w:spacing w:val="-2"/>
        </w:rPr>
        <w:t>formed</w:t>
      </w:r>
      <w:r>
        <w:rPr>
          <w:spacing w:val="-9"/>
        </w:rPr>
        <w:t> </w:t>
      </w:r>
      <w:r>
        <w:rPr>
          <w:spacing w:val="-2"/>
        </w:rPr>
        <w:t>in</w:t>
      </w:r>
      <w:r>
        <w:rPr>
          <w:spacing w:val="-9"/>
        </w:rPr>
        <w:t> </w:t>
      </w:r>
      <w:r>
        <w:rPr>
          <w:spacing w:val="-2"/>
        </w:rPr>
        <w:t>July</w:t>
      </w:r>
      <w:r>
        <w:rPr>
          <w:spacing w:val="-11"/>
        </w:rPr>
        <w:t> </w:t>
      </w:r>
      <w:r>
        <w:rPr>
          <w:spacing w:val="-2"/>
        </w:rPr>
        <w:t>during</w:t>
      </w:r>
      <w:r>
        <w:rPr>
          <w:spacing w:val="-9"/>
        </w:rPr>
        <w:t> </w:t>
      </w:r>
      <w:r>
        <w:rPr>
          <w:spacing w:val="-2"/>
        </w:rPr>
        <w:t>a</w:t>
      </w:r>
      <w:r>
        <w:rPr>
          <w:spacing w:val="-10"/>
        </w:rPr>
        <w:t> </w:t>
      </w:r>
      <w:r>
        <w:rPr>
          <w:spacing w:val="-2"/>
        </w:rPr>
        <w:t>two-week</w:t>
      </w:r>
      <w:r>
        <w:rPr>
          <w:spacing w:val="-10"/>
        </w:rPr>
        <w:t> </w:t>
      </w:r>
      <w:r>
        <w:rPr>
          <w:spacing w:val="-2"/>
        </w:rPr>
        <w:t>uptrend </w:t>
      </w:r>
      <w:r>
        <w:rPr/>
        <w:t>gave me extreme confidence that a fill would occur. Therefore, I scouted the three-minute chart to potentially capture an earlier entry point. Normally, I </w:t>
      </w:r>
      <w:r>
        <w:rPr>
          <w:spacing w:val="-2"/>
        </w:rPr>
        <w:t>would</w:t>
      </w:r>
      <w:r>
        <w:rPr>
          <w:spacing w:val="-12"/>
        </w:rPr>
        <w:t> </w:t>
      </w:r>
      <w:r>
        <w:rPr>
          <w:spacing w:val="-2"/>
        </w:rPr>
        <w:t>enter</w:t>
      </w:r>
      <w:r>
        <w:rPr>
          <w:spacing w:val="-12"/>
        </w:rPr>
        <w:t> </w:t>
      </w:r>
      <w:r>
        <w:rPr>
          <w:spacing w:val="-2"/>
        </w:rPr>
        <w:t>the</w:t>
      </w:r>
      <w:r>
        <w:rPr>
          <w:spacing w:val="-11"/>
        </w:rPr>
        <w:t> </w:t>
      </w:r>
      <w:r>
        <w:rPr>
          <w:spacing w:val="-2"/>
        </w:rPr>
        <w:t>market</w:t>
      </w:r>
      <w:r>
        <w:rPr>
          <w:spacing w:val="-12"/>
        </w:rPr>
        <w:t> </w:t>
      </w:r>
      <w:r>
        <w:rPr>
          <w:spacing w:val="-2"/>
        </w:rPr>
        <w:t>directly</w:t>
      </w:r>
      <w:r>
        <w:rPr>
          <w:spacing w:val="-11"/>
        </w:rPr>
        <w:t> </w:t>
      </w:r>
      <w:r>
        <w:rPr>
          <w:spacing w:val="-2"/>
        </w:rPr>
        <w:t>after</w:t>
      </w:r>
      <w:r>
        <w:rPr>
          <w:spacing w:val="-12"/>
        </w:rPr>
        <w:t> </w:t>
      </w:r>
      <w:r>
        <w:rPr>
          <w:spacing w:val="-2"/>
        </w:rPr>
        <w:t>the</w:t>
      </w:r>
      <w:r>
        <w:rPr>
          <w:spacing w:val="-12"/>
        </w:rPr>
        <w:t> </w:t>
      </w:r>
      <w:r>
        <w:rPr>
          <w:spacing w:val="-2"/>
        </w:rPr>
        <w:t>first</w:t>
      </w:r>
      <w:r>
        <w:rPr>
          <w:spacing w:val="-11"/>
        </w:rPr>
        <w:t> </w:t>
      </w:r>
      <w:r>
        <w:rPr>
          <w:spacing w:val="-2"/>
        </w:rPr>
        <w:t>bar</w:t>
      </w:r>
      <w:r>
        <w:rPr>
          <w:spacing w:val="-12"/>
        </w:rPr>
        <w:t> </w:t>
      </w:r>
      <w:r>
        <w:rPr>
          <w:spacing w:val="-2"/>
        </w:rPr>
        <w:t>of</w:t>
      </w:r>
      <w:r>
        <w:rPr>
          <w:spacing w:val="-11"/>
        </w:rPr>
        <w:t> </w:t>
      </w:r>
      <w:r>
        <w:rPr>
          <w:spacing w:val="-2"/>
        </w:rPr>
        <w:t>the</w:t>
      </w:r>
      <w:r>
        <w:rPr>
          <w:spacing w:val="-12"/>
        </w:rPr>
        <w:t> </w:t>
      </w:r>
      <w:r>
        <w:rPr>
          <w:spacing w:val="-2"/>
        </w:rPr>
        <w:t>day</w:t>
      </w:r>
      <w:r>
        <w:rPr>
          <w:spacing w:val="-11"/>
        </w:rPr>
        <w:t> </w:t>
      </w:r>
      <w:r>
        <w:rPr>
          <w:spacing w:val="-2"/>
        </w:rPr>
        <w:t>forms</w:t>
      </w:r>
      <w:r>
        <w:rPr>
          <w:spacing w:val="-11"/>
        </w:rPr>
        <w:t> </w:t>
      </w:r>
      <w:r>
        <w:rPr>
          <w:spacing w:val="-2"/>
        </w:rPr>
        <w:t>a</w:t>
      </w:r>
      <w:r>
        <w:rPr>
          <w:spacing w:val="-12"/>
        </w:rPr>
        <w:t> </w:t>
      </w:r>
      <w:r>
        <w:rPr>
          <w:spacing w:val="-2"/>
        </w:rPr>
        <w:t>bearish</w:t>
      </w:r>
      <w:r>
        <w:rPr>
          <w:spacing w:val="-12"/>
        </w:rPr>
        <w:t> </w:t>
      </w:r>
      <w:r>
        <w:rPr>
          <w:spacing w:val="-2"/>
        </w:rPr>
        <w:t>wick reversal</w:t>
      </w:r>
      <w:r>
        <w:rPr>
          <w:spacing w:val="-6"/>
        </w:rPr>
        <w:t> </w:t>
      </w:r>
      <w:r>
        <w:rPr>
          <w:spacing w:val="-2"/>
        </w:rPr>
        <w:t>candlestick,</w:t>
      </w:r>
      <w:r>
        <w:rPr>
          <w:spacing w:val="-6"/>
        </w:rPr>
        <w:t> </w:t>
      </w:r>
      <w:r>
        <w:rPr>
          <w:spacing w:val="-2"/>
        </w:rPr>
        <w:t>as</w:t>
      </w:r>
      <w:r>
        <w:rPr>
          <w:spacing w:val="-6"/>
        </w:rPr>
        <w:t> </w:t>
      </w:r>
      <w:r>
        <w:rPr>
          <w:spacing w:val="-2"/>
        </w:rPr>
        <w:t>it</w:t>
      </w:r>
      <w:r>
        <w:rPr>
          <w:spacing w:val="-7"/>
        </w:rPr>
        <w:t> </w:t>
      </w:r>
      <w:r>
        <w:rPr>
          <w:spacing w:val="-2"/>
        </w:rPr>
        <w:t>did</w:t>
      </w:r>
      <w:r>
        <w:rPr>
          <w:spacing w:val="-6"/>
        </w:rPr>
        <w:t> </w:t>
      </w:r>
      <w:r>
        <w:rPr>
          <w:spacing w:val="-2"/>
        </w:rPr>
        <w:t>on</w:t>
      </w:r>
      <w:r>
        <w:rPr>
          <w:spacing w:val="-6"/>
        </w:rPr>
        <w:t> </w:t>
      </w:r>
      <w:r>
        <w:rPr>
          <w:spacing w:val="-2"/>
        </w:rPr>
        <w:t>this</w:t>
      </w:r>
      <w:r>
        <w:rPr>
          <w:spacing w:val="-7"/>
        </w:rPr>
        <w:t> </w:t>
      </w:r>
      <w:r>
        <w:rPr>
          <w:spacing w:val="-2"/>
        </w:rPr>
        <w:t>particular</w:t>
      </w:r>
      <w:r>
        <w:rPr>
          <w:spacing w:val="-7"/>
        </w:rPr>
        <w:t> </w:t>
      </w:r>
      <w:r>
        <w:rPr>
          <w:spacing w:val="-2"/>
        </w:rPr>
        <w:t>day.</w:t>
      </w:r>
      <w:r>
        <w:rPr>
          <w:spacing w:val="-6"/>
        </w:rPr>
        <w:t> </w:t>
      </w:r>
      <w:r>
        <w:rPr>
          <w:spacing w:val="-2"/>
        </w:rPr>
        <w:t>However,</w:t>
      </w:r>
      <w:r>
        <w:rPr>
          <w:spacing w:val="-7"/>
        </w:rPr>
        <w:t> </w:t>
      </w:r>
      <w:r>
        <w:rPr>
          <w:spacing w:val="-2"/>
        </w:rPr>
        <w:t>the</w:t>
      </w:r>
      <w:r>
        <w:rPr>
          <w:spacing w:val="-6"/>
        </w:rPr>
        <w:t> </w:t>
      </w:r>
      <w:r>
        <w:rPr>
          <w:spacing w:val="-2"/>
        </w:rPr>
        <w:t>fact</w:t>
      </w:r>
      <w:r>
        <w:rPr>
          <w:spacing w:val="-6"/>
        </w:rPr>
        <w:t> </w:t>
      </w:r>
      <w:r>
        <w:rPr>
          <w:spacing w:val="-2"/>
        </w:rPr>
        <w:t>that</w:t>
      </w:r>
      <w:r>
        <w:rPr>
          <w:spacing w:val="-6"/>
        </w:rPr>
        <w:t> </w:t>
      </w:r>
      <w:r>
        <w:rPr>
          <w:spacing w:val="-2"/>
        </w:rPr>
        <w:t>price </w:t>
      </w:r>
      <w:r>
        <w:rPr/>
        <w:t>gapped</w:t>
      </w:r>
      <w:r>
        <w:rPr>
          <w:spacing w:val="-6"/>
        </w:rPr>
        <w:t> </w:t>
      </w:r>
      <w:r>
        <w:rPr/>
        <w:t>above</w:t>
      </w:r>
      <w:r>
        <w:rPr>
          <w:spacing w:val="-7"/>
        </w:rPr>
        <w:t> </w:t>
      </w:r>
      <w:r>
        <w:rPr/>
        <w:t>R1</w:t>
      </w:r>
      <w:r>
        <w:rPr>
          <w:spacing w:val="-6"/>
        </w:rPr>
        <w:t> </w:t>
      </w:r>
      <w:r>
        <w:rPr/>
        <w:t>resistance</w:t>
      </w:r>
      <w:r>
        <w:rPr>
          <w:spacing w:val="-7"/>
        </w:rPr>
        <w:t> </w:t>
      </w:r>
      <w:r>
        <w:rPr/>
        <w:t>provided</w:t>
      </w:r>
      <w:r>
        <w:rPr>
          <w:spacing w:val="-6"/>
        </w:rPr>
        <w:t> </w:t>
      </w:r>
      <w:r>
        <w:rPr/>
        <w:t>a</w:t>
      </w:r>
      <w:r>
        <w:rPr>
          <w:spacing w:val="-7"/>
        </w:rPr>
        <w:t> </w:t>
      </w:r>
      <w:r>
        <w:rPr/>
        <w:t>potential</w:t>
      </w:r>
      <w:r>
        <w:rPr>
          <w:spacing w:val="-6"/>
        </w:rPr>
        <w:t> </w:t>
      </w:r>
      <w:r>
        <w:rPr/>
        <w:t>impediment,</w:t>
      </w:r>
      <w:r>
        <w:rPr>
          <w:spacing w:val="-7"/>
        </w:rPr>
        <w:t> </w:t>
      </w:r>
      <w:r>
        <w:rPr/>
        <w:t>as</w:t>
      </w:r>
      <w:r>
        <w:rPr>
          <w:spacing w:val="-7"/>
        </w:rPr>
        <w:t> </w:t>
      </w:r>
      <w:r>
        <w:rPr/>
        <w:t>this</w:t>
      </w:r>
      <w:r>
        <w:rPr>
          <w:spacing w:val="-6"/>
        </w:rPr>
        <w:t> </w:t>
      </w:r>
      <w:r>
        <w:rPr/>
        <w:t>level</w:t>
      </w:r>
      <w:r>
        <w:rPr>
          <w:spacing w:val="-7"/>
        </w:rPr>
        <w:t> </w:t>
      </w:r>
      <w:r>
        <w:rPr/>
        <w:t>can usually</w:t>
      </w:r>
      <w:r>
        <w:rPr>
          <w:spacing w:val="-6"/>
        </w:rPr>
        <w:t> </w:t>
      </w:r>
      <w:r>
        <w:rPr/>
        <w:t>serve</w:t>
      </w:r>
      <w:r>
        <w:rPr>
          <w:spacing w:val="-7"/>
        </w:rPr>
        <w:t> </w:t>
      </w:r>
      <w:r>
        <w:rPr/>
        <w:t>as</w:t>
      </w:r>
      <w:r>
        <w:rPr>
          <w:spacing w:val="-6"/>
        </w:rPr>
        <w:t> </w:t>
      </w:r>
      <w:r>
        <w:rPr/>
        <w:t>support</w:t>
      </w:r>
      <w:r>
        <w:rPr>
          <w:spacing w:val="-6"/>
        </w:rPr>
        <w:t> </w:t>
      </w:r>
      <w:r>
        <w:rPr/>
        <w:t>under</w:t>
      </w:r>
      <w:r>
        <w:rPr>
          <w:spacing w:val="-6"/>
        </w:rPr>
        <w:t> </w:t>
      </w:r>
      <w:r>
        <w:rPr/>
        <w:t>these</w:t>
      </w:r>
      <w:r>
        <w:rPr>
          <w:spacing w:val="-6"/>
        </w:rPr>
        <w:t> </w:t>
      </w:r>
      <w:r>
        <w:rPr/>
        <w:t>circumstances.</w:t>
      </w:r>
      <w:r>
        <w:rPr>
          <w:spacing w:val="-6"/>
        </w:rPr>
        <w:t> </w:t>
      </w:r>
      <w:r>
        <w:rPr/>
        <w:t>When</w:t>
      </w:r>
      <w:r>
        <w:rPr>
          <w:spacing w:val="-6"/>
        </w:rPr>
        <w:t> </w:t>
      </w:r>
      <w:r>
        <w:rPr/>
        <w:t>this</w:t>
      </w:r>
      <w:r>
        <w:rPr>
          <w:spacing w:val="-7"/>
        </w:rPr>
        <w:t> </w:t>
      </w:r>
      <w:r>
        <w:rPr/>
        <w:t>occurs,</w:t>
      </w:r>
      <w:r>
        <w:rPr>
          <w:spacing w:val="-6"/>
        </w:rPr>
        <w:t> </w:t>
      </w:r>
      <w:r>
        <w:rPr/>
        <w:t>I</w:t>
      </w:r>
      <w:r>
        <w:rPr>
          <w:spacing w:val="-6"/>
        </w:rPr>
        <w:t> </w:t>
      </w:r>
      <w:r>
        <w:rPr/>
        <w:t>watch price</w:t>
      </w:r>
      <w:r>
        <w:rPr>
          <w:spacing w:val="-14"/>
        </w:rPr>
        <w:t> </w:t>
      </w:r>
      <w:r>
        <w:rPr/>
        <w:t>behavior</w:t>
      </w:r>
      <w:r>
        <w:rPr>
          <w:spacing w:val="-13"/>
        </w:rPr>
        <w:t> </w:t>
      </w:r>
      <w:r>
        <w:rPr/>
        <w:t>very</w:t>
      </w:r>
      <w:r>
        <w:rPr>
          <w:spacing w:val="-14"/>
        </w:rPr>
        <w:t> </w:t>
      </w:r>
      <w:r>
        <w:rPr/>
        <w:t>closely</w:t>
      </w:r>
      <w:r>
        <w:rPr>
          <w:spacing w:val="-13"/>
        </w:rPr>
        <w:t> </w:t>
      </w:r>
      <w:r>
        <w:rPr/>
        <w:t>at</w:t>
      </w:r>
      <w:r>
        <w:rPr>
          <w:spacing w:val="-13"/>
        </w:rPr>
        <w:t> </w:t>
      </w:r>
      <w:r>
        <w:rPr/>
        <w:t>the</w:t>
      </w:r>
      <w:r>
        <w:rPr>
          <w:spacing w:val="-13"/>
        </w:rPr>
        <w:t> </w:t>
      </w:r>
      <w:r>
        <w:rPr/>
        <w:t>pivot</w:t>
      </w:r>
      <w:r>
        <w:rPr>
          <w:spacing w:val="-13"/>
        </w:rPr>
        <w:t> </w:t>
      </w:r>
      <w:r>
        <w:rPr/>
        <w:t>for</w:t>
      </w:r>
      <w:r>
        <w:rPr>
          <w:spacing w:val="-13"/>
        </w:rPr>
        <w:t> </w:t>
      </w:r>
      <w:r>
        <w:rPr/>
        <w:t>signs</w:t>
      </w:r>
      <w:r>
        <w:rPr>
          <w:spacing w:val="-13"/>
        </w:rPr>
        <w:t> </w:t>
      </w:r>
      <w:r>
        <w:rPr/>
        <w:t>a</w:t>
      </w:r>
      <w:r>
        <w:rPr>
          <w:spacing w:val="-13"/>
        </w:rPr>
        <w:t> </w:t>
      </w:r>
      <w:r>
        <w:rPr/>
        <w:t>potential</w:t>
      </w:r>
      <w:r>
        <w:rPr>
          <w:spacing w:val="-13"/>
        </w:rPr>
        <w:t> </w:t>
      </w:r>
      <w:r>
        <w:rPr/>
        <w:t>entry.</w:t>
      </w:r>
    </w:p>
    <w:p>
      <w:pPr>
        <w:pStyle w:val="BodyText"/>
        <w:ind w:left="139" w:right="495" w:firstLine="432"/>
        <w:jc w:val="both"/>
      </w:pPr>
      <w:r>
        <w:rPr/>
        <w:t>Since price held at R1 resistance through the first twelve minutes of the day,</w:t>
      </w:r>
      <w:r>
        <w:rPr>
          <w:spacing w:val="-2"/>
        </w:rPr>
        <w:t> </w:t>
      </w:r>
      <w:r>
        <w:rPr/>
        <w:t>I</w:t>
      </w:r>
      <w:r>
        <w:rPr>
          <w:spacing w:val="-1"/>
        </w:rPr>
        <w:t> </w:t>
      </w:r>
      <w:r>
        <w:rPr/>
        <w:t>submitted</w:t>
      </w:r>
      <w:r>
        <w:rPr>
          <w:spacing w:val="-1"/>
        </w:rPr>
        <w:t> </w:t>
      </w:r>
      <w:r>
        <w:rPr/>
        <w:t>a</w:t>
      </w:r>
      <w:r>
        <w:rPr>
          <w:spacing w:val="-1"/>
        </w:rPr>
        <w:t> </w:t>
      </w:r>
      <w:r>
        <w:rPr/>
        <w:t>stop</w:t>
      </w:r>
      <w:r>
        <w:rPr>
          <w:spacing w:val="-1"/>
        </w:rPr>
        <w:t> </w:t>
      </w:r>
      <w:r>
        <w:rPr/>
        <w:t>market</w:t>
      </w:r>
      <w:r>
        <w:rPr>
          <w:spacing w:val="-2"/>
        </w:rPr>
        <w:t> </w:t>
      </w:r>
      <w:r>
        <w:rPr/>
        <w:t>order</w:t>
      </w:r>
      <w:r>
        <w:rPr>
          <w:spacing w:val="-2"/>
        </w:rPr>
        <w:t> </w:t>
      </w:r>
      <w:r>
        <w:rPr/>
        <w:t>just</w:t>
      </w:r>
      <w:r>
        <w:rPr>
          <w:spacing w:val="-1"/>
        </w:rPr>
        <w:t> </w:t>
      </w:r>
      <w:r>
        <w:rPr/>
        <w:t>below</w:t>
      </w:r>
      <w:r>
        <w:rPr>
          <w:spacing w:val="-1"/>
        </w:rPr>
        <w:t> </w:t>
      </w:r>
      <w:r>
        <w:rPr/>
        <w:t>the</w:t>
      </w:r>
      <w:r>
        <w:rPr>
          <w:spacing w:val="-2"/>
        </w:rPr>
        <w:t> </w:t>
      </w:r>
      <w:r>
        <w:rPr/>
        <w:t>pivot</w:t>
      </w:r>
      <w:r>
        <w:rPr>
          <w:spacing w:val="-1"/>
        </w:rPr>
        <w:t> </w:t>
      </w:r>
      <w:r>
        <w:rPr/>
        <w:t>at</w:t>
      </w:r>
      <w:r>
        <w:rPr>
          <w:spacing w:val="-1"/>
        </w:rPr>
        <w:t> </w:t>
      </w:r>
      <w:r>
        <w:rPr/>
        <w:t>599.20</w:t>
      </w:r>
      <w:r>
        <w:rPr>
          <w:spacing w:val="-2"/>
        </w:rPr>
        <w:t> </w:t>
      </w:r>
      <w:r>
        <w:rPr/>
        <w:t>in</w:t>
      </w:r>
      <w:r>
        <w:rPr>
          <w:spacing w:val="-1"/>
        </w:rPr>
        <w:t> </w:t>
      </w:r>
      <w:r>
        <w:rPr/>
        <w:t>order</w:t>
      </w:r>
      <w:r>
        <w:rPr>
          <w:spacing w:val="-1"/>
        </w:rPr>
        <w:t> </w:t>
      </w:r>
      <w:r>
        <w:rPr>
          <w:spacing w:val="-5"/>
        </w:rPr>
        <w:t>to</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4"/>
        <w:jc w:val="both"/>
      </w:pPr>
      <w:r>
        <w:rPr>
          <w:spacing w:val="-2"/>
        </w:rPr>
        <w:t>capture</w:t>
      </w:r>
      <w:r>
        <w:rPr>
          <w:spacing w:val="-14"/>
        </w:rPr>
        <w:t> </w:t>
      </w:r>
      <w:r>
        <w:rPr>
          <w:spacing w:val="-2"/>
        </w:rPr>
        <w:t>a</w:t>
      </w:r>
      <w:r>
        <w:rPr>
          <w:spacing w:val="-12"/>
        </w:rPr>
        <w:t> </w:t>
      </w:r>
      <w:r>
        <w:rPr>
          <w:spacing w:val="-2"/>
        </w:rPr>
        <w:t>potential</w:t>
      </w:r>
      <w:r>
        <w:rPr>
          <w:spacing w:val="-12"/>
        </w:rPr>
        <w:t> </w:t>
      </w:r>
      <w:r>
        <w:rPr>
          <w:spacing w:val="-2"/>
        </w:rPr>
        <w:t>decline</w:t>
      </w:r>
      <w:r>
        <w:rPr>
          <w:spacing w:val="-11"/>
        </w:rPr>
        <w:t> </w:t>
      </w:r>
      <w:r>
        <w:rPr>
          <w:spacing w:val="-2"/>
        </w:rPr>
        <w:t>back</w:t>
      </w:r>
      <w:r>
        <w:rPr>
          <w:spacing w:val="-12"/>
        </w:rPr>
        <w:t> </w:t>
      </w:r>
      <w:r>
        <w:rPr>
          <w:spacing w:val="-2"/>
        </w:rPr>
        <w:t>to</w:t>
      </w:r>
      <w:r>
        <w:rPr>
          <w:spacing w:val="-12"/>
        </w:rPr>
        <w:t> </w:t>
      </w:r>
      <w:r>
        <w:rPr>
          <w:spacing w:val="-2"/>
        </w:rPr>
        <w:t>the</w:t>
      </w:r>
      <w:r>
        <w:rPr>
          <w:spacing w:val="-12"/>
        </w:rPr>
        <w:t> </w:t>
      </w:r>
      <w:r>
        <w:rPr>
          <w:spacing w:val="-2"/>
        </w:rPr>
        <w:t>pivot</w:t>
      </w:r>
      <w:r>
        <w:rPr>
          <w:spacing w:val="-11"/>
        </w:rPr>
        <w:t> </w:t>
      </w:r>
      <w:r>
        <w:rPr>
          <w:spacing w:val="-2"/>
        </w:rPr>
        <w:t>range.</w:t>
      </w:r>
      <w:r>
        <w:rPr>
          <w:spacing w:val="-12"/>
        </w:rPr>
        <w:t> </w:t>
      </w:r>
      <w:r>
        <w:rPr>
          <w:spacing w:val="-2"/>
        </w:rPr>
        <w:t>Price</w:t>
      </w:r>
      <w:r>
        <w:rPr>
          <w:spacing w:val="-12"/>
        </w:rPr>
        <w:t> </w:t>
      </w:r>
      <w:r>
        <w:rPr>
          <w:spacing w:val="-2"/>
        </w:rPr>
        <w:t>eventually</w:t>
      </w:r>
      <w:r>
        <w:rPr>
          <w:spacing w:val="-12"/>
        </w:rPr>
        <w:t> </w:t>
      </w:r>
      <w:r>
        <w:rPr>
          <w:spacing w:val="-2"/>
        </w:rPr>
        <w:t>triggered</w:t>
      </w:r>
      <w:r>
        <w:rPr>
          <w:spacing w:val="-11"/>
        </w:rPr>
        <w:t> </w:t>
      </w:r>
      <w:r>
        <w:rPr>
          <w:spacing w:val="-2"/>
        </w:rPr>
        <w:t>my </w:t>
      </w:r>
      <w:r>
        <w:rPr/>
        <w:t>entry</w:t>
      </w:r>
      <w:r>
        <w:rPr>
          <w:spacing w:val="-1"/>
        </w:rPr>
        <w:t> </w:t>
      </w:r>
      <w:r>
        <w:rPr/>
        <w:t>at this</w:t>
      </w:r>
      <w:r>
        <w:rPr>
          <w:spacing w:val="-1"/>
        </w:rPr>
        <w:t> </w:t>
      </w:r>
      <w:r>
        <w:rPr/>
        <w:t>level and</w:t>
      </w:r>
      <w:r>
        <w:rPr>
          <w:spacing w:val="-1"/>
        </w:rPr>
        <w:t> </w:t>
      </w:r>
      <w:r>
        <w:rPr/>
        <w:t>proceeded to</w:t>
      </w:r>
      <w:r>
        <w:rPr>
          <w:spacing w:val="-1"/>
        </w:rPr>
        <w:t> </w:t>
      </w:r>
      <w:r>
        <w:rPr/>
        <w:t>drop</w:t>
      </w:r>
      <w:r>
        <w:rPr>
          <w:spacing w:val="-1"/>
        </w:rPr>
        <w:t> </w:t>
      </w:r>
      <w:r>
        <w:rPr/>
        <w:t>quickly to the top of</w:t>
      </w:r>
      <w:r>
        <w:rPr>
          <w:spacing w:val="-1"/>
        </w:rPr>
        <w:t> </w:t>
      </w:r>
      <w:r>
        <w:rPr/>
        <w:t>the</w:t>
      </w:r>
      <w:r>
        <w:rPr>
          <w:spacing w:val="-1"/>
        </w:rPr>
        <w:t> </w:t>
      </w:r>
      <w:r>
        <w:rPr/>
        <w:t>pivot range, where</w:t>
      </w:r>
      <w:r>
        <w:rPr>
          <w:spacing w:val="-10"/>
        </w:rPr>
        <w:t> </w:t>
      </w:r>
      <w:r>
        <w:rPr/>
        <w:t>my</w:t>
      </w:r>
      <w:r>
        <w:rPr>
          <w:spacing w:val="-10"/>
        </w:rPr>
        <w:t> </w:t>
      </w:r>
      <w:r>
        <w:rPr/>
        <w:t>fixed</w:t>
      </w:r>
      <w:r>
        <w:rPr>
          <w:spacing w:val="-10"/>
        </w:rPr>
        <w:t> </w:t>
      </w:r>
      <w:r>
        <w:rPr/>
        <w:t>profit</w:t>
      </w:r>
      <w:r>
        <w:rPr>
          <w:spacing w:val="-10"/>
        </w:rPr>
        <w:t> </w:t>
      </w:r>
      <w:r>
        <w:rPr/>
        <w:t>target</w:t>
      </w:r>
      <w:r>
        <w:rPr>
          <w:spacing w:val="-10"/>
        </w:rPr>
        <w:t> </w:t>
      </w:r>
      <w:r>
        <w:rPr/>
        <w:t>took</w:t>
      </w:r>
      <w:r>
        <w:rPr>
          <w:spacing w:val="-10"/>
        </w:rPr>
        <w:t> </w:t>
      </w:r>
      <w:r>
        <w:rPr/>
        <w:t>me</w:t>
      </w:r>
      <w:r>
        <w:rPr>
          <w:spacing w:val="-10"/>
        </w:rPr>
        <w:t> </w:t>
      </w:r>
      <w:r>
        <w:rPr/>
        <w:t>out</w:t>
      </w:r>
      <w:r>
        <w:rPr>
          <w:spacing w:val="-11"/>
        </w:rPr>
        <w:t> </w:t>
      </w:r>
      <w:r>
        <w:rPr/>
        <w:t>of</w:t>
      </w:r>
      <w:r>
        <w:rPr>
          <w:spacing w:val="-10"/>
        </w:rPr>
        <w:t> </w:t>
      </w:r>
      <w:r>
        <w:rPr/>
        <w:t>the</w:t>
      </w:r>
      <w:r>
        <w:rPr>
          <w:spacing w:val="-10"/>
        </w:rPr>
        <w:t> </w:t>
      </w:r>
      <w:r>
        <w:rPr/>
        <w:t>trade</w:t>
      </w:r>
      <w:r>
        <w:rPr>
          <w:spacing w:val="-10"/>
        </w:rPr>
        <w:t> </w:t>
      </w:r>
      <w:r>
        <w:rPr/>
        <w:t>just</w:t>
      </w:r>
      <w:r>
        <w:rPr>
          <w:spacing w:val="-10"/>
        </w:rPr>
        <w:t> </w:t>
      </w:r>
      <w:r>
        <w:rPr/>
        <w:t>beneath</w:t>
      </w:r>
      <w:r>
        <w:rPr>
          <w:spacing w:val="-10"/>
        </w:rPr>
        <w:t> </w:t>
      </w:r>
      <w:r>
        <w:rPr/>
        <w:t>the</w:t>
      </w:r>
      <w:r>
        <w:rPr>
          <w:spacing w:val="-11"/>
        </w:rPr>
        <w:t> </w:t>
      </w:r>
      <w:r>
        <w:rPr/>
        <w:t>596</w:t>
      </w:r>
      <w:r>
        <w:rPr>
          <w:spacing w:val="-10"/>
        </w:rPr>
        <w:t> </w:t>
      </w:r>
      <w:r>
        <w:rPr/>
        <w:t>level for</w:t>
      </w:r>
      <w:r>
        <w:rPr>
          <w:spacing w:val="-8"/>
        </w:rPr>
        <w:t> </w:t>
      </w:r>
      <w:r>
        <w:rPr/>
        <w:t>a</w:t>
      </w:r>
      <w:r>
        <w:rPr>
          <w:spacing w:val="-8"/>
        </w:rPr>
        <w:t> </w:t>
      </w:r>
      <w:r>
        <w:rPr/>
        <w:t>gain</w:t>
      </w:r>
      <w:r>
        <w:rPr>
          <w:spacing w:val="-8"/>
        </w:rPr>
        <w:t> </w:t>
      </w:r>
      <w:r>
        <w:rPr/>
        <w:t>of</w:t>
      </w:r>
      <w:r>
        <w:rPr>
          <w:spacing w:val="-8"/>
        </w:rPr>
        <w:t> </w:t>
      </w:r>
      <w:r>
        <w:rPr/>
        <w:t>3.5</w:t>
      </w:r>
      <w:r>
        <w:rPr>
          <w:spacing w:val="-8"/>
        </w:rPr>
        <w:t> </w:t>
      </w:r>
      <w:r>
        <w:rPr/>
        <w:t>points,</w:t>
      </w:r>
      <w:r>
        <w:rPr>
          <w:spacing w:val="-8"/>
        </w:rPr>
        <w:t> </w:t>
      </w:r>
      <w:r>
        <w:rPr/>
        <w:t>which</w:t>
      </w:r>
      <w:r>
        <w:rPr>
          <w:spacing w:val="-8"/>
        </w:rPr>
        <w:t> </w:t>
      </w:r>
      <w:r>
        <w:rPr/>
        <w:t>translates</w:t>
      </w:r>
      <w:r>
        <w:rPr>
          <w:spacing w:val="-9"/>
        </w:rPr>
        <w:t> </w:t>
      </w:r>
      <w:r>
        <w:rPr/>
        <w:t>to</w:t>
      </w:r>
      <w:r>
        <w:rPr>
          <w:spacing w:val="-8"/>
        </w:rPr>
        <w:t> </w:t>
      </w:r>
      <w:r>
        <w:rPr/>
        <w:t>$350</w:t>
      </w:r>
      <w:r>
        <w:rPr>
          <w:spacing w:val="-8"/>
        </w:rPr>
        <w:t> </w:t>
      </w:r>
      <w:r>
        <w:rPr/>
        <w:t>per</w:t>
      </w:r>
      <w:r>
        <w:rPr>
          <w:spacing w:val="-8"/>
        </w:rPr>
        <w:t> </w:t>
      </w:r>
      <w:r>
        <w:rPr/>
        <w:t>contract</w:t>
      </w:r>
      <w:r>
        <w:rPr>
          <w:spacing w:val="-8"/>
        </w:rPr>
        <w:t> </w:t>
      </w:r>
      <w:r>
        <w:rPr/>
        <w:t>traded.</w:t>
      </w:r>
      <w:r>
        <w:rPr>
          <w:spacing w:val="-7"/>
        </w:rPr>
        <w:t> </w:t>
      </w:r>
      <w:r>
        <w:rPr/>
        <w:t>The</w:t>
      </w:r>
      <w:r>
        <w:rPr>
          <w:spacing w:val="-8"/>
        </w:rPr>
        <w:t> </w:t>
      </w:r>
      <w:r>
        <w:rPr/>
        <w:t>trade took</w:t>
      </w:r>
      <w:r>
        <w:rPr>
          <w:spacing w:val="-5"/>
        </w:rPr>
        <w:t> </w:t>
      </w:r>
      <w:r>
        <w:rPr/>
        <w:t>all</w:t>
      </w:r>
      <w:r>
        <w:rPr>
          <w:spacing w:val="-5"/>
        </w:rPr>
        <w:t> </w:t>
      </w:r>
      <w:r>
        <w:rPr/>
        <w:t>of</w:t>
      </w:r>
      <w:r>
        <w:rPr>
          <w:spacing w:val="-5"/>
        </w:rPr>
        <w:t> </w:t>
      </w:r>
      <w:r>
        <w:rPr/>
        <w:t>six</w:t>
      </w:r>
      <w:r>
        <w:rPr>
          <w:spacing w:val="-5"/>
        </w:rPr>
        <w:t> </w:t>
      </w:r>
      <w:r>
        <w:rPr/>
        <w:t>minutes</w:t>
      </w:r>
      <w:r>
        <w:rPr>
          <w:spacing w:val="-5"/>
        </w:rPr>
        <w:t> </w:t>
      </w:r>
      <w:r>
        <w:rPr/>
        <w:t>from</w:t>
      </w:r>
      <w:r>
        <w:rPr>
          <w:spacing w:val="-4"/>
        </w:rPr>
        <w:t> </w:t>
      </w:r>
      <w:r>
        <w:rPr/>
        <w:t>entry</w:t>
      </w:r>
      <w:r>
        <w:rPr>
          <w:spacing w:val="-6"/>
        </w:rPr>
        <w:t> </w:t>
      </w:r>
      <w:r>
        <w:rPr/>
        <w:t>to</w:t>
      </w:r>
      <w:r>
        <w:rPr>
          <w:spacing w:val="-4"/>
        </w:rPr>
        <w:t> </w:t>
      </w:r>
      <w:r>
        <w:rPr/>
        <w:t>target.</w:t>
      </w:r>
    </w:p>
    <w:p>
      <w:pPr>
        <w:pStyle w:val="BodyText"/>
        <w:rPr>
          <w:sz w:val="20"/>
        </w:rPr>
      </w:pPr>
      <w:r>
        <w:rPr/>
        <w:drawing>
          <wp:anchor distT="0" distB="0" distL="0" distR="0" allowOverlap="1" layoutInCell="1" locked="0" behindDoc="0" simplePos="0" relativeHeight="203">
            <wp:simplePos x="0" y="0"/>
            <wp:positionH relativeFrom="page">
              <wp:posOffset>685800</wp:posOffset>
            </wp:positionH>
            <wp:positionV relativeFrom="paragraph">
              <wp:posOffset>161807</wp:posOffset>
            </wp:positionV>
            <wp:extent cx="4342101" cy="3085719"/>
            <wp:effectExtent l="0" t="0" r="0" b="0"/>
            <wp:wrapTopAndBottom/>
            <wp:docPr id="207" name="image105.png"/>
            <wp:cNvGraphicFramePr>
              <a:graphicFrameLocks noChangeAspect="1"/>
            </wp:cNvGraphicFramePr>
            <a:graphic>
              <a:graphicData uri="http://schemas.openxmlformats.org/drawingml/2006/picture">
                <pic:pic>
                  <pic:nvPicPr>
                    <pic:cNvPr id="208" name="image105.png"/>
                    <pic:cNvPicPr/>
                  </pic:nvPicPr>
                  <pic:blipFill>
                    <a:blip r:embed="rId214" cstate="print"/>
                    <a:stretch>
                      <a:fillRect/>
                    </a:stretch>
                  </pic:blipFill>
                  <pic:spPr>
                    <a:xfrm>
                      <a:off x="0" y="0"/>
                      <a:ext cx="4342101" cy="3085719"/>
                    </a:xfrm>
                    <a:prstGeom prst="rect">
                      <a:avLst/>
                    </a:prstGeom>
                  </pic:spPr>
                </pic:pic>
              </a:graphicData>
            </a:graphic>
          </wp:anchor>
        </w:drawing>
      </w:r>
    </w:p>
    <w:p>
      <w:pPr>
        <w:spacing w:before="0"/>
        <w:ind w:left="500" w:right="0" w:firstLine="0"/>
        <w:jc w:val="both"/>
        <w:rPr>
          <w:sz w:val="16"/>
        </w:rPr>
      </w:pPr>
      <w:r>
        <w:rPr>
          <w:sz w:val="16"/>
        </w:rPr>
        <w:t>FIGURE</w:t>
      </w:r>
      <w:r>
        <w:rPr>
          <w:spacing w:val="1"/>
          <w:sz w:val="16"/>
        </w:rPr>
        <w:t> </w:t>
      </w:r>
      <w:r>
        <w:rPr>
          <w:sz w:val="16"/>
        </w:rPr>
        <w:t>6.35:</w:t>
      </w:r>
      <w:r>
        <w:rPr>
          <w:spacing w:val="1"/>
          <w:sz w:val="16"/>
        </w:rPr>
        <w:t> </w:t>
      </w:r>
      <w:r>
        <w:rPr>
          <w:sz w:val="16"/>
        </w:rPr>
        <w:t>A</w:t>
      </w:r>
      <w:r>
        <w:rPr>
          <w:spacing w:val="5"/>
          <w:sz w:val="16"/>
        </w:rPr>
        <w:t> </w:t>
      </w:r>
      <w:r>
        <w:rPr>
          <w:sz w:val="16"/>
        </w:rPr>
        <w:t>break</w:t>
      </w:r>
      <w:r>
        <w:rPr>
          <w:spacing w:val="1"/>
          <w:sz w:val="16"/>
        </w:rPr>
        <w:t> </w:t>
      </w:r>
      <w:r>
        <w:rPr>
          <w:sz w:val="16"/>
        </w:rPr>
        <w:t>of</w:t>
      </w:r>
      <w:r>
        <w:rPr>
          <w:spacing w:val="1"/>
          <w:sz w:val="16"/>
        </w:rPr>
        <w:t> </w:t>
      </w:r>
      <w:r>
        <w:rPr>
          <w:sz w:val="16"/>
        </w:rPr>
        <w:t>R1</w:t>
      </w:r>
      <w:r>
        <w:rPr>
          <w:spacing w:val="1"/>
          <w:sz w:val="16"/>
        </w:rPr>
        <w:t> </w:t>
      </w:r>
      <w:r>
        <w:rPr>
          <w:sz w:val="16"/>
        </w:rPr>
        <w:t>helped</w:t>
      </w:r>
      <w:r>
        <w:rPr>
          <w:spacing w:val="1"/>
          <w:sz w:val="16"/>
        </w:rPr>
        <w:t> </w:t>
      </w:r>
      <w:r>
        <w:rPr>
          <w:sz w:val="16"/>
        </w:rPr>
        <w:t>confirm</w:t>
      </w:r>
      <w:r>
        <w:rPr>
          <w:spacing w:val="2"/>
          <w:sz w:val="16"/>
        </w:rPr>
        <w:t> </w:t>
      </w:r>
      <w:r>
        <w:rPr>
          <w:sz w:val="16"/>
        </w:rPr>
        <w:t>the</w:t>
      </w:r>
      <w:r>
        <w:rPr>
          <w:spacing w:val="1"/>
          <w:sz w:val="16"/>
        </w:rPr>
        <w:t> </w:t>
      </w:r>
      <w:r>
        <w:rPr>
          <w:sz w:val="16"/>
        </w:rPr>
        <w:t>entry</w:t>
      </w:r>
      <w:r>
        <w:rPr>
          <w:spacing w:val="2"/>
          <w:sz w:val="16"/>
        </w:rPr>
        <w:t> </w:t>
      </w:r>
      <w:r>
        <w:rPr>
          <w:sz w:val="16"/>
        </w:rPr>
        <w:t>in</w:t>
      </w:r>
      <w:r>
        <w:rPr>
          <w:spacing w:val="2"/>
          <w:sz w:val="16"/>
        </w:rPr>
        <w:t> </w:t>
      </w:r>
      <w:r>
        <w:rPr>
          <w:sz w:val="16"/>
        </w:rPr>
        <w:t>this</w:t>
      </w:r>
      <w:r>
        <w:rPr>
          <w:spacing w:val="2"/>
          <w:sz w:val="16"/>
        </w:rPr>
        <w:t> </w:t>
      </w:r>
      <w:r>
        <w:rPr>
          <w:sz w:val="16"/>
        </w:rPr>
        <w:t>magnet</w:t>
      </w:r>
      <w:r>
        <w:rPr>
          <w:spacing w:val="1"/>
          <w:sz w:val="16"/>
        </w:rPr>
        <w:t> </w:t>
      </w:r>
      <w:r>
        <w:rPr>
          <w:spacing w:val="-2"/>
          <w:sz w:val="16"/>
        </w:rPr>
        <w:t>trade.</w:t>
      </w:r>
    </w:p>
    <w:p>
      <w:pPr>
        <w:pStyle w:val="BodyText"/>
        <w:spacing w:before="10"/>
        <w:rPr>
          <w:sz w:val="21"/>
        </w:rPr>
      </w:pPr>
    </w:p>
    <w:p>
      <w:pPr>
        <w:pStyle w:val="BodyText"/>
        <w:ind w:left="500" w:right="135" w:firstLine="432"/>
        <w:jc w:val="both"/>
      </w:pPr>
      <w:r>
        <w:rPr/>
        <w:t>The magnet trade is one of my favorite setups due to its simplicity. Oftentimes, the simplest trades are the most beautiful and profitable. Its ability to recur in the market while delivering a consistently profitable outcome makes this setup a mainstay in my trading arsenal.</w:t>
      </w:r>
    </w:p>
    <w:p>
      <w:pPr>
        <w:pStyle w:val="BodyText"/>
        <w:spacing w:before="11"/>
        <w:rPr>
          <w:sz w:val="21"/>
        </w:rPr>
      </w:pPr>
    </w:p>
    <w:p>
      <w:pPr>
        <w:pStyle w:val="Heading3"/>
        <w:tabs>
          <w:tab w:pos="7324" w:val="left" w:leader="none"/>
        </w:tabs>
        <w:ind w:left="500"/>
        <w:jc w:val="both"/>
      </w:pPr>
      <w:bookmarkStart w:name="_TOC_250034" w:id="57"/>
      <w:r>
        <w:rPr>
          <w:smallCaps/>
          <w:u w:val="single"/>
        </w:rPr>
        <w:t>The</w:t>
      </w:r>
      <w:r>
        <w:rPr>
          <w:smallCaps/>
          <w:spacing w:val="-12"/>
          <w:u w:val="single"/>
        </w:rPr>
        <w:t> </w:t>
      </w:r>
      <w:r>
        <w:rPr>
          <w:smallCaps/>
          <w:u w:val="single"/>
        </w:rPr>
        <w:t>Central</w:t>
      </w:r>
      <w:r>
        <w:rPr>
          <w:smallCaps/>
          <w:spacing w:val="-14"/>
          <w:u w:val="single"/>
        </w:rPr>
        <w:t> </w:t>
      </w:r>
      <w:r>
        <w:rPr>
          <w:smallCaps/>
          <w:u w:val="single"/>
        </w:rPr>
        <w:t>Pivot</w:t>
      </w:r>
      <w:r>
        <w:rPr>
          <w:smallCaps/>
          <w:spacing w:val="-10"/>
          <w:u w:val="single"/>
        </w:rPr>
        <w:t> </w:t>
      </w:r>
      <w:r>
        <w:rPr>
          <w:smallCaps/>
          <w:u w:val="single"/>
        </w:rPr>
        <w:t>Range</w:t>
      </w:r>
      <w:r>
        <w:rPr>
          <w:smallCaps/>
          <w:spacing w:val="-9"/>
          <w:u w:val="single"/>
        </w:rPr>
        <w:t> </w:t>
      </w:r>
      <w:r>
        <w:rPr>
          <w:smallCaps/>
          <w:spacing w:val="-2"/>
          <w:u w:val="single"/>
        </w:rPr>
        <w:t>Revolution</w:t>
      </w:r>
      <w:bookmarkEnd w:id="57"/>
      <w:r>
        <w:rPr>
          <w:smallCaps/>
          <w:u w:val="single"/>
        </w:rPr>
        <w:tab/>
      </w:r>
    </w:p>
    <w:p>
      <w:pPr>
        <w:pStyle w:val="BodyText"/>
        <w:spacing w:before="253"/>
        <w:ind w:left="500" w:right="136" w:firstLine="432"/>
        <w:jc w:val="both"/>
      </w:pPr>
      <w:r>
        <w:rPr>
          <w:spacing w:val="-6"/>
        </w:rPr>
        <w:t>The centrals are an extremely dynamic trio of lines that should find their way </w:t>
      </w:r>
      <w:r>
        <w:rPr>
          <w:spacing w:val="-2"/>
        </w:rPr>
        <w:t>onto</w:t>
      </w:r>
      <w:r>
        <w:rPr>
          <w:spacing w:val="-12"/>
        </w:rPr>
        <w:t> </w:t>
      </w:r>
      <w:r>
        <w:rPr>
          <w:spacing w:val="-2"/>
        </w:rPr>
        <w:t>the</w:t>
      </w:r>
      <w:r>
        <w:rPr>
          <w:spacing w:val="-12"/>
        </w:rPr>
        <w:t> </w:t>
      </w:r>
      <w:r>
        <w:rPr>
          <w:spacing w:val="-2"/>
        </w:rPr>
        <w:t>charts</w:t>
      </w:r>
      <w:r>
        <w:rPr>
          <w:spacing w:val="-12"/>
        </w:rPr>
        <w:t> </w:t>
      </w:r>
      <w:r>
        <w:rPr>
          <w:spacing w:val="-2"/>
        </w:rPr>
        <w:t>of</w:t>
      </w:r>
      <w:r>
        <w:rPr>
          <w:spacing w:val="-11"/>
        </w:rPr>
        <w:t> </w:t>
      </w:r>
      <w:r>
        <w:rPr>
          <w:spacing w:val="-2"/>
        </w:rPr>
        <w:t>every</w:t>
      </w:r>
      <w:r>
        <w:rPr>
          <w:spacing w:val="-12"/>
        </w:rPr>
        <w:t> </w:t>
      </w:r>
      <w:r>
        <w:rPr>
          <w:spacing w:val="-2"/>
        </w:rPr>
        <w:t>trader.</w:t>
      </w:r>
      <w:r>
        <w:rPr>
          <w:spacing w:val="-12"/>
        </w:rPr>
        <w:t> </w:t>
      </w:r>
      <w:r>
        <w:rPr>
          <w:spacing w:val="-2"/>
        </w:rPr>
        <w:t>Knowing</w:t>
      </w:r>
      <w:r>
        <w:rPr>
          <w:spacing w:val="-12"/>
        </w:rPr>
        <w:t> </w:t>
      </w:r>
      <w:r>
        <w:rPr>
          <w:spacing w:val="-2"/>
        </w:rPr>
        <w:t>where</w:t>
      </w:r>
      <w:r>
        <w:rPr>
          <w:spacing w:val="-11"/>
        </w:rPr>
        <w:t> </w:t>
      </w:r>
      <w:r>
        <w:rPr>
          <w:spacing w:val="-2"/>
        </w:rPr>
        <w:t>these</w:t>
      </w:r>
      <w:r>
        <w:rPr>
          <w:spacing w:val="-12"/>
        </w:rPr>
        <w:t> </w:t>
      </w:r>
      <w:r>
        <w:rPr>
          <w:spacing w:val="-2"/>
        </w:rPr>
        <w:t>lines</w:t>
      </w:r>
      <w:r>
        <w:rPr>
          <w:spacing w:val="-12"/>
        </w:rPr>
        <w:t> </w:t>
      </w:r>
      <w:r>
        <w:rPr>
          <w:spacing w:val="-2"/>
        </w:rPr>
        <w:t>are</w:t>
      </w:r>
      <w:r>
        <w:rPr>
          <w:spacing w:val="-12"/>
        </w:rPr>
        <w:t> </w:t>
      </w:r>
      <w:r>
        <w:rPr>
          <w:spacing w:val="-2"/>
        </w:rPr>
        <w:t>in</w:t>
      </w:r>
      <w:r>
        <w:rPr>
          <w:spacing w:val="-11"/>
        </w:rPr>
        <w:t> </w:t>
      </w:r>
      <w:r>
        <w:rPr>
          <w:spacing w:val="-2"/>
        </w:rPr>
        <w:t>relation</w:t>
      </w:r>
      <w:r>
        <w:rPr>
          <w:spacing w:val="-12"/>
        </w:rPr>
        <w:t> </w:t>
      </w:r>
      <w:r>
        <w:rPr>
          <w:spacing w:val="-2"/>
        </w:rPr>
        <w:t>to</w:t>
      </w:r>
      <w:r>
        <w:rPr>
          <w:spacing w:val="-12"/>
        </w:rPr>
        <w:t> </w:t>
      </w:r>
      <w:r>
        <w:rPr>
          <w:spacing w:val="-2"/>
        </w:rPr>
        <w:t>your </w:t>
      </w:r>
      <w:r>
        <w:rPr/>
        <w:t>next</w:t>
      </w:r>
      <w:r>
        <w:rPr>
          <w:spacing w:val="-14"/>
        </w:rPr>
        <w:t> </w:t>
      </w:r>
      <w:r>
        <w:rPr/>
        <w:t>potential</w:t>
      </w:r>
      <w:r>
        <w:rPr>
          <w:spacing w:val="-14"/>
        </w:rPr>
        <w:t> </w:t>
      </w:r>
      <w:r>
        <w:rPr/>
        <w:t>trade</w:t>
      </w:r>
      <w:r>
        <w:rPr>
          <w:spacing w:val="-14"/>
        </w:rPr>
        <w:t> </w:t>
      </w:r>
      <w:r>
        <w:rPr/>
        <w:t>can</w:t>
      </w:r>
      <w:r>
        <w:rPr>
          <w:spacing w:val="-13"/>
        </w:rPr>
        <w:t> </w:t>
      </w:r>
      <w:r>
        <w:rPr/>
        <w:t>mean</w:t>
      </w:r>
      <w:r>
        <w:rPr>
          <w:spacing w:val="-14"/>
        </w:rPr>
        <w:t> </w:t>
      </w:r>
      <w:r>
        <w:rPr/>
        <w:t>cash</w:t>
      </w:r>
      <w:r>
        <w:rPr>
          <w:spacing w:val="-14"/>
        </w:rPr>
        <w:t> </w:t>
      </w:r>
      <w:r>
        <w:rPr/>
        <w:t>or</w:t>
      </w:r>
      <w:r>
        <w:rPr>
          <w:spacing w:val="-14"/>
        </w:rPr>
        <w:t> </w:t>
      </w:r>
      <w:r>
        <w:rPr/>
        <w:t>crash.</w:t>
      </w:r>
      <w:r>
        <w:rPr>
          <w:spacing w:val="-13"/>
        </w:rPr>
        <w:t> </w:t>
      </w:r>
      <w:r>
        <w:rPr/>
        <w:t>Two-day</w:t>
      </w:r>
      <w:r>
        <w:rPr>
          <w:spacing w:val="-14"/>
        </w:rPr>
        <w:t> </w:t>
      </w:r>
      <w:r>
        <w:rPr/>
        <w:t>pivot</w:t>
      </w:r>
      <w:r>
        <w:rPr>
          <w:spacing w:val="-14"/>
        </w:rPr>
        <w:t> </w:t>
      </w:r>
      <w:r>
        <w:rPr/>
        <w:t>range</w:t>
      </w:r>
      <w:r>
        <w:rPr>
          <w:spacing w:val="-14"/>
        </w:rPr>
        <w:t> </w:t>
      </w:r>
      <w:r>
        <w:rPr/>
        <w:t>relationships, </w:t>
      </w:r>
      <w:r>
        <w:rPr>
          <w:spacing w:val="-6"/>
        </w:rPr>
        <w:t>pivot width analysis, and pivot trend analysis offer extremely poweful methods for </w:t>
      </w:r>
      <w:r>
        <w:rPr/>
        <w:t>using</w:t>
      </w:r>
      <w:r>
        <w:rPr>
          <w:spacing w:val="-10"/>
        </w:rPr>
        <w:t> </w:t>
      </w:r>
      <w:r>
        <w:rPr/>
        <w:t>the</w:t>
      </w:r>
      <w:r>
        <w:rPr>
          <w:spacing w:val="-10"/>
        </w:rPr>
        <w:t> </w:t>
      </w:r>
      <w:r>
        <w:rPr/>
        <w:t>central</w:t>
      </w:r>
      <w:r>
        <w:rPr>
          <w:spacing w:val="-10"/>
        </w:rPr>
        <w:t> </w:t>
      </w:r>
      <w:r>
        <w:rPr/>
        <w:t>pivot</w:t>
      </w:r>
      <w:r>
        <w:rPr>
          <w:spacing w:val="-10"/>
        </w:rPr>
        <w:t> </w:t>
      </w:r>
      <w:r>
        <w:rPr/>
        <w:t>range.</w:t>
      </w:r>
      <w:r>
        <w:rPr>
          <w:spacing w:val="-10"/>
        </w:rPr>
        <w:t> </w:t>
      </w:r>
      <w:r>
        <w:rPr/>
        <w:t>The</w:t>
      </w:r>
      <w:r>
        <w:rPr>
          <w:spacing w:val="-10"/>
        </w:rPr>
        <w:t> </w:t>
      </w:r>
      <w:r>
        <w:rPr/>
        <w:t>pivot</w:t>
      </w:r>
      <w:r>
        <w:rPr>
          <w:spacing w:val="-10"/>
        </w:rPr>
        <w:t> </w:t>
      </w:r>
      <w:r>
        <w:rPr/>
        <w:t>range</w:t>
      </w:r>
      <w:r>
        <w:rPr>
          <w:spacing w:val="-10"/>
        </w:rPr>
        <w:t> </w:t>
      </w:r>
      <w:r>
        <w:rPr/>
        <w:t>offers</w:t>
      </w:r>
      <w:r>
        <w:rPr>
          <w:spacing w:val="-9"/>
        </w:rPr>
        <w:t> </w:t>
      </w:r>
      <w:r>
        <w:rPr/>
        <w:t>a</w:t>
      </w:r>
      <w:r>
        <w:rPr>
          <w:spacing w:val="-9"/>
        </w:rPr>
        <w:t> </w:t>
      </w:r>
      <w:r>
        <w:rPr/>
        <w:t>significant</w:t>
      </w:r>
      <w:r>
        <w:rPr>
          <w:spacing w:val="-10"/>
        </w:rPr>
        <w:t> </w:t>
      </w:r>
      <w:r>
        <w:rPr/>
        <w:t>trading</w:t>
      </w:r>
      <w:r>
        <w:rPr>
          <w:spacing w:val="-10"/>
        </w:rPr>
        <w:t> </w:t>
      </w:r>
      <w:r>
        <w:rPr/>
        <w:t>edge. Anytime</w:t>
      </w:r>
      <w:r>
        <w:rPr>
          <w:spacing w:val="-4"/>
        </w:rPr>
        <w:t> </w:t>
      </w:r>
      <w:r>
        <w:rPr/>
        <w:t>you</w:t>
      </w:r>
      <w:r>
        <w:rPr>
          <w:spacing w:val="-4"/>
        </w:rPr>
        <w:t> </w:t>
      </w:r>
      <w:r>
        <w:rPr/>
        <w:t>have</w:t>
      </w:r>
      <w:r>
        <w:rPr>
          <w:spacing w:val="-4"/>
        </w:rPr>
        <w:t> </w:t>
      </w:r>
      <w:r>
        <w:rPr/>
        <w:t>an</w:t>
      </w:r>
      <w:r>
        <w:rPr>
          <w:spacing w:val="-4"/>
        </w:rPr>
        <w:t> </w:t>
      </w:r>
      <w:r>
        <w:rPr/>
        <w:t>edge</w:t>
      </w:r>
      <w:r>
        <w:rPr>
          <w:spacing w:val="-3"/>
        </w:rPr>
        <w:t> </w:t>
      </w:r>
      <w:r>
        <w:rPr/>
        <w:t>in</w:t>
      </w:r>
      <w:r>
        <w:rPr>
          <w:spacing w:val="-4"/>
        </w:rPr>
        <w:t> </w:t>
      </w:r>
      <w:r>
        <w:rPr/>
        <w:t>trading,</w:t>
      </w:r>
      <w:r>
        <w:rPr>
          <w:spacing w:val="-4"/>
        </w:rPr>
        <w:t> </w:t>
      </w:r>
      <w:r>
        <w:rPr/>
        <w:t>you</w:t>
      </w:r>
      <w:r>
        <w:rPr>
          <w:spacing w:val="-4"/>
        </w:rPr>
        <w:t> </w:t>
      </w:r>
      <w:r>
        <w:rPr/>
        <w:t>are</w:t>
      </w:r>
      <w:r>
        <w:rPr>
          <w:spacing w:val="-4"/>
        </w:rPr>
        <w:t> </w:t>
      </w:r>
      <w:r>
        <w:rPr/>
        <w:t>putting</w:t>
      </w:r>
      <w:r>
        <w:rPr>
          <w:spacing w:val="-4"/>
        </w:rPr>
        <w:t> </w:t>
      </w:r>
      <w:r>
        <w:rPr/>
        <w:t>yourself</w:t>
      </w:r>
      <w:r>
        <w:rPr>
          <w:spacing w:val="-4"/>
        </w:rPr>
        <w:t> </w:t>
      </w:r>
      <w:r>
        <w:rPr/>
        <w:t>in</w:t>
      </w:r>
      <w:r>
        <w:rPr>
          <w:spacing w:val="-4"/>
        </w:rPr>
        <w:t> </w:t>
      </w:r>
      <w:r>
        <w:rPr/>
        <w:t>a</w:t>
      </w:r>
      <w:r>
        <w:rPr>
          <w:spacing w:val="-4"/>
        </w:rPr>
        <w:t> </w:t>
      </w:r>
      <w:r>
        <w:rPr/>
        <w:t>position</w:t>
      </w:r>
      <w:r>
        <w:rPr>
          <w:spacing w:val="-4"/>
        </w:rPr>
        <w:t> </w:t>
      </w:r>
      <w:r>
        <w:rPr/>
        <w:t>to </w:t>
      </w:r>
      <w:r>
        <w:rPr>
          <w:spacing w:val="-2"/>
        </w:rPr>
        <w:t>profit.</w:t>
      </w:r>
    </w:p>
    <w:p>
      <w:pPr>
        <w:spacing w:after="0"/>
        <w:jc w:val="both"/>
        <w:sectPr>
          <w:pgSz w:w="8640" w:h="12960"/>
          <w:pgMar w:header="536" w:footer="1060" w:top="720" w:bottom="1260" w:left="580" w:right="580"/>
        </w:sectPr>
      </w:pPr>
    </w:p>
    <w:p>
      <w:pPr>
        <w:pStyle w:val="BodyText"/>
        <w:spacing w:before="4"/>
        <w:rPr>
          <w:sz w:val="17"/>
        </w:rPr>
      </w:pPr>
    </w:p>
    <w:p>
      <w:pPr>
        <w:spacing w:after="0"/>
        <w:rPr>
          <w:sz w:val="17"/>
        </w:rPr>
        <w:sectPr>
          <w:headerReference w:type="even" r:id="rId215"/>
          <w:footerReference w:type="even" r:id="rId216"/>
          <w:pgSz w:w="8640" w:h="12960"/>
          <w:pgMar w:header="0" w:footer="0" w:top="14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2"/>
        <w:spacing w:line="276" w:lineRule="auto" w:before="183"/>
        <w:ind w:left="1263" w:right="137" w:firstLine="1724"/>
        <w:jc w:val="right"/>
      </w:pPr>
      <w:r>
        <w:rPr/>
        <w:pict>
          <v:line style="position:absolute;mso-position-horizontal-relative:page;mso-position-vertical-relative:paragraph;z-index:-19582464" from="57.779999pt,103.253647pt" to="392.219999pt,103.253647pt" stroked="true" strokeweight=".75pt" strokecolor="#000000">
            <v:stroke dashstyle="solid"/>
            <w10:wrap type="none"/>
          </v:line>
        </w:pict>
      </w:r>
      <w:r>
        <w:rPr/>
        <w:t>C H A P T E R </w:t>
      </w:r>
      <w:r>
        <w:rPr>
          <w:sz w:val="180"/>
        </w:rPr>
        <w:t>7 </w:t>
      </w:r>
      <w:r>
        <w:rPr>
          <w:sz w:val="72"/>
        </w:rPr>
        <w:t>I</w:t>
      </w:r>
      <w:r>
        <w:rPr/>
        <w:t>NTRODUCING THE </w:t>
      </w:r>
      <w:r>
        <w:rPr>
          <w:spacing w:val="-5"/>
          <w:sz w:val="72"/>
        </w:rPr>
        <w:t>C</w:t>
      </w:r>
      <w:r>
        <w:rPr>
          <w:spacing w:val="-5"/>
        </w:rPr>
        <w:t>AMARILLA</w:t>
      </w:r>
      <w:r>
        <w:rPr>
          <w:spacing w:val="-18"/>
        </w:rPr>
        <w:t> </w:t>
      </w:r>
      <w:r>
        <w:rPr>
          <w:spacing w:val="-5"/>
          <w:sz w:val="72"/>
        </w:rPr>
        <w:t>E</w:t>
      </w:r>
      <w:r>
        <w:rPr>
          <w:spacing w:val="-5"/>
        </w:rPr>
        <w:t>QUATION</w:t>
      </w:r>
    </w:p>
    <w:p>
      <w:pPr>
        <w:spacing w:line="276" w:lineRule="auto" w:before="290"/>
        <w:ind w:left="1219" w:right="0" w:firstLine="0"/>
        <w:jc w:val="left"/>
        <w:rPr>
          <w:i/>
          <w:sz w:val="22"/>
        </w:rPr>
      </w:pPr>
      <w:r>
        <w:rPr>
          <w:i/>
          <w:sz w:val="22"/>
        </w:rPr>
        <w:t>“When I couldn’t play according to my system, which was based on</w:t>
      </w:r>
      <w:r>
        <w:rPr>
          <w:i/>
          <w:sz w:val="22"/>
        </w:rPr>
        <w:t> study and experience, I went in and gambled.”</w:t>
      </w:r>
    </w:p>
    <w:p>
      <w:pPr>
        <w:pStyle w:val="BodyText"/>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pPr>
    </w:p>
    <w:p>
      <w:pPr>
        <w:pStyle w:val="BodyText"/>
      </w:pPr>
    </w:p>
    <w:p>
      <w:pPr>
        <w:pStyle w:val="BodyText"/>
        <w:rPr>
          <w:sz w:val="23"/>
        </w:rPr>
      </w:pPr>
    </w:p>
    <w:p>
      <w:pPr>
        <w:pStyle w:val="BodyText"/>
        <w:ind w:left="499" w:right="134" w:firstLine="432"/>
        <w:jc w:val="both"/>
      </w:pPr>
      <w:r>
        <w:rPr/>
        <w:t>I clearly recall one particular day when a group of traders were huddled </w:t>
      </w:r>
      <w:r>
        <w:rPr>
          <w:spacing w:val="-2"/>
        </w:rPr>
        <w:t>around</w:t>
      </w:r>
      <w:r>
        <w:rPr>
          <w:spacing w:val="-12"/>
        </w:rPr>
        <w:t> </w:t>
      </w:r>
      <w:r>
        <w:rPr>
          <w:spacing w:val="-2"/>
        </w:rPr>
        <w:t>my</w:t>
      </w:r>
      <w:r>
        <w:rPr>
          <w:spacing w:val="-12"/>
        </w:rPr>
        <w:t> </w:t>
      </w:r>
      <w:r>
        <w:rPr>
          <w:spacing w:val="-2"/>
        </w:rPr>
        <w:t>computer</w:t>
      </w:r>
      <w:r>
        <w:rPr>
          <w:spacing w:val="-12"/>
        </w:rPr>
        <w:t> </w:t>
      </w:r>
      <w:r>
        <w:rPr>
          <w:spacing w:val="-2"/>
        </w:rPr>
        <w:t>at</w:t>
      </w:r>
      <w:r>
        <w:rPr>
          <w:spacing w:val="-11"/>
        </w:rPr>
        <w:t> </w:t>
      </w:r>
      <w:r>
        <w:rPr>
          <w:spacing w:val="-2"/>
        </w:rPr>
        <w:t>a</w:t>
      </w:r>
      <w:r>
        <w:rPr>
          <w:spacing w:val="-12"/>
        </w:rPr>
        <w:t> </w:t>
      </w:r>
      <w:r>
        <w:rPr>
          <w:spacing w:val="-2"/>
        </w:rPr>
        <w:t>trader</w:t>
      </w:r>
      <w:r>
        <w:rPr>
          <w:spacing w:val="-12"/>
        </w:rPr>
        <w:t> </w:t>
      </w:r>
      <w:r>
        <w:rPr>
          <w:spacing w:val="-2"/>
        </w:rPr>
        <w:t>boot</w:t>
      </w:r>
      <w:r>
        <w:rPr>
          <w:spacing w:val="-12"/>
        </w:rPr>
        <w:t> </w:t>
      </w:r>
      <w:r>
        <w:rPr>
          <w:spacing w:val="-2"/>
        </w:rPr>
        <w:t>camp</w:t>
      </w:r>
      <w:r>
        <w:rPr>
          <w:spacing w:val="-11"/>
        </w:rPr>
        <w:t> </w:t>
      </w:r>
      <w:r>
        <w:rPr>
          <w:spacing w:val="-2"/>
        </w:rPr>
        <w:t>as</w:t>
      </w:r>
      <w:r>
        <w:rPr>
          <w:spacing w:val="-12"/>
        </w:rPr>
        <w:t> </w:t>
      </w:r>
      <w:r>
        <w:rPr>
          <w:spacing w:val="-2"/>
        </w:rPr>
        <w:t>I</w:t>
      </w:r>
      <w:r>
        <w:rPr>
          <w:spacing w:val="-12"/>
        </w:rPr>
        <w:t> </w:t>
      </w:r>
      <w:r>
        <w:rPr>
          <w:spacing w:val="-2"/>
        </w:rPr>
        <w:t>taught</w:t>
      </w:r>
      <w:r>
        <w:rPr>
          <w:spacing w:val="-12"/>
        </w:rPr>
        <w:t> </w:t>
      </w:r>
      <w:r>
        <w:rPr>
          <w:spacing w:val="-2"/>
        </w:rPr>
        <w:t>the</w:t>
      </w:r>
      <w:r>
        <w:rPr>
          <w:spacing w:val="-11"/>
        </w:rPr>
        <w:t> </w:t>
      </w:r>
      <w:r>
        <w:rPr>
          <w:spacing w:val="-2"/>
        </w:rPr>
        <w:t>class.</w:t>
      </w:r>
      <w:r>
        <w:rPr>
          <w:spacing w:val="-12"/>
        </w:rPr>
        <w:t> </w:t>
      </w:r>
      <w:r>
        <w:rPr>
          <w:spacing w:val="-2"/>
        </w:rPr>
        <w:t>One</w:t>
      </w:r>
      <w:r>
        <w:rPr>
          <w:spacing w:val="-12"/>
        </w:rPr>
        <w:t> </w:t>
      </w:r>
      <w:r>
        <w:rPr>
          <w:spacing w:val="-2"/>
        </w:rPr>
        <w:t>trader</w:t>
      </w:r>
      <w:r>
        <w:rPr>
          <w:spacing w:val="-12"/>
        </w:rPr>
        <w:t> </w:t>
      </w:r>
      <w:r>
        <w:rPr>
          <w:spacing w:val="-2"/>
        </w:rPr>
        <w:t>asked </w:t>
      </w:r>
      <w:r>
        <w:rPr/>
        <w:t>me what the lines were on my chart and I told him they were the Camarilla </w:t>
      </w:r>
      <w:r>
        <w:rPr>
          <w:spacing w:val="-2"/>
        </w:rPr>
        <w:t>pivots.</w:t>
      </w:r>
    </w:p>
    <w:p>
      <w:pPr>
        <w:spacing w:after="0"/>
        <w:jc w:val="both"/>
        <w:sectPr>
          <w:headerReference w:type="default" r:id="rId217"/>
          <w:footerReference w:type="default" r:id="rId218"/>
          <w:footerReference w:type="even" r:id="rId219"/>
          <w:pgSz w:w="8640" w:h="12960"/>
          <w:pgMar w:header="0" w:footer="1060" w:top="1480" w:bottom="1260" w:left="580" w:right="580"/>
          <w:pgNumType w:start="181"/>
        </w:sectPr>
      </w:pPr>
    </w:p>
    <w:p>
      <w:pPr>
        <w:pStyle w:val="BodyText"/>
        <w:rPr>
          <w:sz w:val="20"/>
        </w:rPr>
      </w:pPr>
    </w:p>
    <w:p>
      <w:pPr>
        <w:pStyle w:val="BodyText"/>
        <w:spacing w:before="8"/>
        <w:rPr>
          <w:sz w:val="20"/>
        </w:rPr>
      </w:pPr>
    </w:p>
    <w:p>
      <w:pPr>
        <w:spacing w:line="252" w:lineRule="exact" w:before="63"/>
        <w:ind w:left="571" w:right="0" w:firstLine="0"/>
        <w:jc w:val="left"/>
        <w:rPr>
          <w:i/>
          <w:sz w:val="22"/>
        </w:rPr>
      </w:pPr>
      <w:r>
        <w:rPr>
          <w:i/>
          <w:sz w:val="22"/>
        </w:rPr>
        <w:t>“Camarilla?</w:t>
      </w:r>
      <w:r>
        <w:rPr>
          <w:i/>
          <w:spacing w:val="13"/>
          <w:sz w:val="22"/>
        </w:rPr>
        <w:t> </w:t>
      </w:r>
      <w:r>
        <w:rPr>
          <w:i/>
          <w:sz w:val="22"/>
        </w:rPr>
        <w:t>That</w:t>
      </w:r>
      <w:r>
        <w:rPr>
          <w:i/>
          <w:spacing w:val="13"/>
          <w:sz w:val="22"/>
        </w:rPr>
        <w:t> </w:t>
      </w:r>
      <w:r>
        <w:rPr>
          <w:i/>
          <w:sz w:val="22"/>
        </w:rPr>
        <w:t>sounds</w:t>
      </w:r>
      <w:r>
        <w:rPr>
          <w:i/>
          <w:spacing w:val="12"/>
          <w:sz w:val="22"/>
        </w:rPr>
        <w:t> </w:t>
      </w:r>
      <w:r>
        <w:rPr>
          <w:i/>
          <w:sz w:val="22"/>
        </w:rPr>
        <w:t>more</w:t>
      </w:r>
      <w:r>
        <w:rPr>
          <w:i/>
          <w:spacing w:val="13"/>
          <w:sz w:val="22"/>
        </w:rPr>
        <w:t> </w:t>
      </w:r>
      <w:r>
        <w:rPr>
          <w:i/>
          <w:sz w:val="22"/>
        </w:rPr>
        <w:t>like</w:t>
      </w:r>
      <w:r>
        <w:rPr>
          <w:i/>
          <w:spacing w:val="13"/>
          <w:sz w:val="22"/>
        </w:rPr>
        <w:t> </w:t>
      </w:r>
      <w:r>
        <w:rPr>
          <w:i/>
          <w:sz w:val="22"/>
        </w:rPr>
        <w:t>the</w:t>
      </w:r>
      <w:r>
        <w:rPr>
          <w:i/>
          <w:spacing w:val="14"/>
          <w:sz w:val="22"/>
        </w:rPr>
        <w:t> </w:t>
      </w:r>
      <w:r>
        <w:rPr>
          <w:i/>
          <w:sz w:val="22"/>
        </w:rPr>
        <w:t>name</w:t>
      </w:r>
      <w:r>
        <w:rPr>
          <w:i/>
          <w:spacing w:val="13"/>
          <w:sz w:val="22"/>
        </w:rPr>
        <w:t> </w:t>
      </w:r>
      <w:r>
        <w:rPr>
          <w:i/>
          <w:sz w:val="22"/>
        </w:rPr>
        <w:t>of</w:t>
      </w:r>
      <w:r>
        <w:rPr>
          <w:i/>
          <w:spacing w:val="13"/>
          <w:sz w:val="22"/>
        </w:rPr>
        <w:t> </w:t>
      </w:r>
      <w:r>
        <w:rPr>
          <w:i/>
          <w:sz w:val="22"/>
        </w:rPr>
        <w:t>an</w:t>
      </w:r>
      <w:r>
        <w:rPr>
          <w:i/>
          <w:spacing w:val="14"/>
          <w:sz w:val="22"/>
        </w:rPr>
        <w:t> </w:t>
      </w:r>
      <w:r>
        <w:rPr>
          <w:i/>
          <w:sz w:val="22"/>
        </w:rPr>
        <w:t>enchilada</w:t>
      </w:r>
      <w:r>
        <w:rPr>
          <w:i/>
          <w:spacing w:val="13"/>
          <w:sz w:val="22"/>
        </w:rPr>
        <w:t> </w:t>
      </w:r>
      <w:r>
        <w:rPr>
          <w:i/>
          <w:spacing w:val="-2"/>
          <w:sz w:val="22"/>
        </w:rPr>
        <w:t>dinner!”</w:t>
      </w:r>
    </w:p>
    <w:p>
      <w:pPr>
        <w:pStyle w:val="BodyText"/>
        <w:spacing w:line="252" w:lineRule="exact"/>
        <w:ind w:left="139"/>
      </w:pPr>
      <w:r>
        <w:rPr/>
        <w:t>Trader</w:t>
      </w:r>
      <w:r>
        <w:rPr>
          <w:spacing w:val="-6"/>
        </w:rPr>
        <w:t> </w:t>
      </w:r>
      <w:r>
        <w:rPr/>
        <w:t>Joe</w:t>
      </w:r>
      <w:r>
        <w:rPr>
          <w:spacing w:val="-6"/>
        </w:rPr>
        <w:t> </w:t>
      </w:r>
      <w:r>
        <w:rPr>
          <w:spacing w:val="-2"/>
        </w:rPr>
        <w:t>quipped.</w:t>
      </w:r>
    </w:p>
    <w:p>
      <w:pPr>
        <w:pStyle w:val="BodyText"/>
        <w:spacing w:before="10"/>
        <w:rPr>
          <w:sz w:val="21"/>
        </w:rPr>
      </w:pPr>
    </w:p>
    <w:p>
      <w:pPr>
        <w:pStyle w:val="BodyText"/>
        <w:ind w:left="139" w:right="495" w:firstLine="432"/>
        <w:jc w:val="both"/>
      </w:pPr>
      <w:r>
        <w:rPr/>
        <w:t>To borrow a line from the famous Schlotzsky’s slogan: </w:t>
      </w:r>
      <w:r>
        <w:rPr>
          <w:i/>
        </w:rPr>
        <w:t>“Funny Name.</w:t>
      </w:r>
      <w:r>
        <w:rPr>
          <w:i/>
        </w:rPr>
        <w:t> Serious Trading Strategy.” </w:t>
      </w:r>
      <w:r>
        <w:rPr/>
        <w:t>The Camarilla Equation was first discovered by successful bond trader Nick Stott in 1989. He penned an equation that led to the</w:t>
      </w:r>
      <w:r>
        <w:rPr>
          <w:spacing w:val="-3"/>
        </w:rPr>
        <w:t> </w:t>
      </w:r>
      <w:r>
        <w:rPr/>
        <w:t>brilliant,</w:t>
      </w:r>
      <w:r>
        <w:rPr>
          <w:spacing w:val="-3"/>
        </w:rPr>
        <w:t> </w:t>
      </w:r>
      <w:r>
        <w:rPr/>
        <w:t>and</w:t>
      </w:r>
      <w:r>
        <w:rPr>
          <w:spacing w:val="-3"/>
        </w:rPr>
        <w:t> </w:t>
      </w:r>
      <w:r>
        <w:rPr/>
        <w:t>oftentimes</w:t>
      </w:r>
      <w:r>
        <w:rPr>
          <w:spacing w:val="-3"/>
        </w:rPr>
        <w:t> </w:t>
      </w:r>
      <w:r>
        <w:rPr/>
        <w:t>unbelievable,</w:t>
      </w:r>
      <w:r>
        <w:rPr>
          <w:spacing w:val="-3"/>
        </w:rPr>
        <w:t> </w:t>
      </w:r>
      <w:r>
        <w:rPr/>
        <w:t>levels</w:t>
      </w:r>
      <w:r>
        <w:rPr>
          <w:spacing w:val="-2"/>
        </w:rPr>
        <w:t> </w:t>
      </w:r>
      <w:r>
        <w:rPr/>
        <w:t>that</w:t>
      </w:r>
      <w:r>
        <w:rPr>
          <w:spacing w:val="-2"/>
        </w:rPr>
        <w:t> </w:t>
      </w:r>
      <w:r>
        <w:rPr/>
        <w:t>so</w:t>
      </w:r>
      <w:r>
        <w:rPr>
          <w:spacing w:val="-2"/>
        </w:rPr>
        <w:t> </w:t>
      </w:r>
      <w:r>
        <w:rPr/>
        <w:t>many</w:t>
      </w:r>
      <w:r>
        <w:rPr>
          <w:spacing w:val="-3"/>
        </w:rPr>
        <w:t> </w:t>
      </w:r>
      <w:r>
        <w:rPr/>
        <w:t>of</w:t>
      </w:r>
      <w:r>
        <w:rPr>
          <w:spacing w:val="-3"/>
        </w:rPr>
        <w:t> </w:t>
      </w:r>
      <w:r>
        <w:rPr/>
        <w:t>us</w:t>
      </w:r>
      <w:r>
        <w:rPr>
          <w:spacing w:val="-3"/>
        </w:rPr>
        <w:t> </w:t>
      </w:r>
      <w:r>
        <w:rPr/>
        <w:t>have</w:t>
      </w:r>
      <w:r>
        <w:rPr>
          <w:spacing w:val="-3"/>
        </w:rPr>
        <w:t> </w:t>
      </w:r>
      <w:r>
        <w:rPr/>
        <w:t>used to profit in the market. As we saw with the Floor Pivots formula, there are different versions of the Camarilla Equation as well. Adding further secrecy to the equation, the creator of the formula has not disclosed the official equation to the public, although many have reverse engineered the formula for our trading pleasure. As if the equation needed more mystery, the word “camarilla” literally translates to a group of secret, private advisors in </w:t>
      </w:r>
      <w:r>
        <w:rPr>
          <w:spacing w:val="-2"/>
        </w:rPr>
        <w:t>Spanish.</w:t>
      </w:r>
    </w:p>
    <w:p>
      <w:pPr>
        <w:pStyle w:val="BodyText"/>
        <w:ind w:left="139" w:right="495" w:firstLine="432"/>
        <w:jc w:val="both"/>
      </w:pPr>
      <w:r>
        <w:rPr/>
        <w:t>You may also hear from certain Web sites that their Camarilla Equation is the only reliable</w:t>
      </w:r>
      <w:r>
        <w:rPr/>
        <w:t> equation, although they will only provide you with the levels for various tradable markets for a fee. I have not seen this equation</w:t>
      </w:r>
      <w:r>
        <w:rPr>
          <w:spacing w:val="40"/>
        </w:rPr>
        <w:t> </w:t>
      </w:r>
      <w:r>
        <w:rPr/>
        <w:t>and, therefore, cannot vouch for its accuracy in the market. In my opinion, what makes these pivot levels work so unbelievably well is the fact that traders are watching and trading by them, creating a self-fulfilling prophecy. The more traders that trade by the same equation, the more prominence these levels will carry. It is this sort of trading behavior that allows these levels to flourish. If a formula is kept secret, there are fewer traders honoring the levels, thus diminishing the formula’s effectiveness.</w:t>
      </w:r>
    </w:p>
    <w:p>
      <w:pPr>
        <w:pStyle w:val="BodyText"/>
        <w:spacing w:before="11"/>
        <w:rPr>
          <w:sz w:val="21"/>
        </w:rPr>
      </w:pPr>
    </w:p>
    <w:p>
      <w:pPr>
        <w:pStyle w:val="Heading3"/>
      </w:pPr>
      <w:r>
        <w:rPr/>
        <w:pict>
          <v:shape style="position:absolute;margin-left:36.779999pt;margin-top:18.290319pt;width:341pt;height:.1pt;mso-position-horizontal-relative:page;mso-position-vertical-relative:paragraph;z-index:-15623680;mso-wrap-distance-left:0;mso-wrap-distance-right:0" id="docshape578" coordorigin="736,366" coordsize="6820,0" path="m736,366l7555,366e" filled="false" stroked="true" strokeweight=".75pt" strokecolor="#000000">
            <v:path arrowok="t"/>
            <v:stroke dashstyle="solid"/>
            <w10:wrap type="topAndBottom"/>
          </v:shape>
        </w:pict>
      </w:r>
      <w:bookmarkStart w:name="_TOC_250033" w:id="58"/>
      <w:r>
        <w:rPr>
          <w:smallCaps/>
          <w:spacing w:val="-2"/>
        </w:rPr>
        <w:t>The</w:t>
      </w:r>
      <w:r>
        <w:rPr>
          <w:smallCaps/>
          <w:spacing w:val="-10"/>
        </w:rPr>
        <w:t> </w:t>
      </w:r>
      <w:r>
        <w:rPr>
          <w:smallCaps/>
          <w:spacing w:val="-2"/>
        </w:rPr>
        <w:t>Standard</w:t>
      </w:r>
      <w:r>
        <w:rPr>
          <w:smallCaps/>
          <w:spacing w:val="-4"/>
        </w:rPr>
        <w:t> </w:t>
      </w:r>
      <w:r>
        <w:rPr>
          <w:smallCaps/>
          <w:spacing w:val="-2"/>
        </w:rPr>
        <w:t>Camarilla</w:t>
      </w:r>
      <w:r>
        <w:rPr>
          <w:smallCaps/>
          <w:spacing w:val="-12"/>
        </w:rPr>
        <w:t> </w:t>
      </w:r>
      <w:bookmarkEnd w:id="58"/>
      <w:r>
        <w:rPr>
          <w:smallCaps/>
          <w:spacing w:val="-2"/>
        </w:rPr>
        <w:t>Equation</w:t>
      </w:r>
    </w:p>
    <w:p>
      <w:pPr>
        <w:pStyle w:val="BodyText"/>
        <w:spacing w:before="202"/>
        <w:ind w:left="139" w:right="497" w:firstLine="487"/>
        <w:jc w:val="both"/>
      </w:pPr>
      <w:r>
        <w:rPr/>
        <w:t>The equation that I will discuss is the most commonly used Camarilla Equation. This equation is widely available to all traders and I have found it to be quite powerful for all timeframes in my trading. I have followed this equation for many years and have spent every market day studying and trading by these levels. I can certainly vouch for the value of this formula as</w:t>
      </w:r>
      <w:r>
        <w:rPr>
          <w:spacing w:val="40"/>
        </w:rPr>
        <w:t> </w:t>
      </w:r>
      <w:r>
        <w:rPr/>
        <w:t>it pertains to the market.</w:t>
      </w:r>
    </w:p>
    <w:p>
      <w:pPr>
        <w:pStyle w:val="BodyText"/>
        <w:ind w:left="139" w:right="494" w:firstLine="432"/>
        <w:jc w:val="both"/>
      </w:pPr>
      <w:r>
        <w:rPr/>
        <w:t>The basic premise behind the equation is very similar to that of the</w:t>
      </w:r>
      <w:r>
        <w:rPr>
          <w:spacing w:val="80"/>
        </w:rPr>
        <w:t> </w:t>
      </w:r>
      <w:r>
        <w:rPr/>
        <w:t>Floor Pivots: all time series typically revert back to the mean. This equation takes the prior day’s high, low, and close to determine eight key levels on your charts; four support levels (L1 to L4) and four resistance levels (H1 to H4). The equation is as follows (keep in mind that RANGE is the high minus the low of the prior session):</w:t>
      </w:r>
    </w:p>
    <w:p>
      <w:pPr>
        <w:spacing w:after="0"/>
        <w:jc w:val="both"/>
        <w:sectPr>
          <w:headerReference w:type="even" r:id="rId220"/>
          <w:headerReference w:type="default" r:id="rId221"/>
          <w:pgSz w:w="8640" w:h="12960"/>
          <w:pgMar w:header="579" w:footer="1060" w:top="760" w:bottom="1260" w:left="580" w:right="580"/>
        </w:sectPr>
      </w:pPr>
    </w:p>
    <w:p>
      <w:pPr>
        <w:pStyle w:val="BodyText"/>
        <w:spacing w:after="1"/>
        <w:rPr>
          <w:sz w:val="28"/>
        </w:rPr>
      </w:pPr>
    </w:p>
    <w:p>
      <w:pPr>
        <w:pStyle w:val="BodyText"/>
        <w:ind w:left="989"/>
        <w:rPr>
          <w:sz w:val="20"/>
        </w:rPr>
      </w:pPr>
      <w:r>
        <w:rPr>
          <w:sz w:val="20"/>
        </w:rPr>
        <w:pict>
          <v:group style="width:293pt;height:18pt;mso-position-horizontal-relative:char;mso-position-vertical-relative:line" id="docshapegroup583" coordorigin="0,0" coordsize="5860,360">
            <v:rect style="position:absolute;left:19;top:20;width:5822;height:340" id="docshape584" filled="true" fillcolor="#000000" stroked="false">
              <v:fill type="solid"/>
            </v:rect>
            <v:shape style="position:absolute;left:0;top:0;width:5841;height:21" id="docshape585" coordorigin="0,0" coordsize="5841,21" path="m5840,0l19,0,0,0,0,19,0,20,19,20,19,19,5840,19,5840,0xe" filled="true" fillcolor="#3f3f3f" stroked="false">
              <v:path arrowok="t"/>
              <v:fill type="solid"/>
            </v:shape>
            <v:rect style="position:absolute;left:19;top:19;width:5822;height:2" id="docshape586" filled="true" fillcolor="#000000" stroked="false">
              <v:fill type="solid"/>
            </v:rect>
            <v:shape style="position:absolute;left:0;top:0;width:5860;height:360" id="docshape587" coordorigin="0,0" coordsize="5860,360" path="m19,20l0,20,0,360,19,360,19,20xm5860,0l5840,0,5840,19,5840,20,5840,360,5860,360,5860,20,5860,19,5860,0xe" filled="true" fillcolor="#3f3f3f" stroked="false">
              <v:path arrowok="t"/>
              <v:fill type="solid"/>
            </v:shape>
            <v:shape style="position:absolute;left:19;top:20;width:5822;height:340" type="#_x0000_t202" id="docshape588" filled="false" stroked="false">
              <v:textbox inset="0,0,0,0">
                <w:txbxContent>
                  <w:p>
                    <w:pPr>
                      <w:spacing w:before="24"/>
                      <w:ind w:left="846" w:right="846" w:firstLine="0"/>
                      <w:jc w:val="center"/>
                      <w:rPr>
                        <w:rFonts w:ascii="Verdana"/>
                        <w:sz w:val="24"/>
                      </w:rPr>
                    </w:pPr>
                    <w:r>
                      <w:rPr>
                        <w:rFonts w:ascii="Verdana"/>
                        <w:color w:val="FFFFFF"/>
                        <w:sz w:val="24"/>
                      </w:rPr>
                      <w:t>Standard</w:t>
                    </w:r>
                    <w:r>
                      <w:rPr>
                        <w:rFonts w:ascii="Verdana"/>
                        <w:color w:val="FFFFFF"/>
                        <w:spacing w:val="-15"/>
                        <w:sz w:val="24"/>
                      </w:rPr>
                      <w:t> </w:t>
                    </w:r>
                    <w:r>
                      <w:rPr>
                        <w:rFonts w:ascii="Verdana"/>
                        <w:color w:val="FFFFFF"/>
                        <w:sz w:val="24"/>
                      </w:rPr>
                      <w:t>Camarilla</w:t>
                    </w:r>
                    <w:r>
                      <w:rPr>
                        <w:rFonts w:ascii="Verdana"/>
                        <w:color w:val="FFFFFF"/>
                        <w:spacing w:val="-13"/>
                        <w:sz w:val="24"/>
                      </w:rPr>
                      <w:t> </w:t>
                    </w:r>
                    <w:r>
                      <w:rPr>
                        <w:rFonts w:ascii="Verdana"/>
                        <w:color w:val="FFFFFF"/>
                        <w:sz w:val="24"/>
                      </w:rPr>
                      <w:t>Pivot</w:t>
                    </w:r>
                    <w:r>
                      <w:rPr>
                        <w:rFonts w:ascii="Verdana"/>
                        <w:color w:val="FFFFFF"/>
                        <w:spacing w:val="-13"/>
                        <w:sz w:val="24"/>
                      </w:rPr>
                      <w:t> </w:t>
                    </w:r>
                    <w:r>
                      <w:rPr>
                        <w:rFonts w:ascii="Verdana"/>
                        <w:color w:val="FFFFFF"/>
                        <w:spacing w:val="-2"/>
                        <w:sz w:val="24"/>
                      </w:rPr>
                      <w:t>Formula</w:t>
                    </w:r>
                  </w:p>
                </w:txbxContent>
              </v:textbox>
              <w10:wrap type="none"/>
            </v:shape>
          </v:group>
        </w:pict>
      </w:r>
      <w:r>
        <w:rPr>
          <w:sz w:val="20"/>
        </w:rPr>
      </w:r>
    </w:p>
    <w:p>
      <w:pPr>
        <w:pStyle w:val="BodyText"/>
        <w:spacing w:line="314" w:lineRule="auto"/>
        <w:ind w:left="1107" w:right="3408"/>
        <w:rPr>
          <w:rFonts w:ascii="Tahoma" w:hAnsi="Tahoma"/>
        </w:rPr>
      </w:pPr>
      <w:r>
        <w:rPr/>
        <w:pict>
          <v:rect style="position:absolute;margin-left:78.959999pt;margin-top:15.204432pt;width:292.02pt;height:.48004pt;mso-position-horizontal-relative:page;mso-position-vertical-relative:paragraph;z-index:15834624" id="docshape589" filled="true" fillcolor="#000000" stroked="false">
            <v:fill type="solid"/>
            <w10:wrap type="none"/>
          </v:rect>
        </w:pict>
      </w:r>
      <w:r>
        <w:rPr/>
        <w:pict>
          <v:rect style="position:absolute;margin-left:78.959999pt;margin-top:31.884493pt;width:292.02pt;height:.47998pt;mso-position-horizontal-relative:page;mso-position-vertical-relative:paragraph;z-index:15835136" id="docshape590" filled="true" fillcolor="#000000" stroked="false">
            <v:fill type="solid"/>
            <w10:wrap type="none"/>
          </v:rect>
        </w:pict>
      </w:r>
      <w:r>
        <w:rPr/>
        <w:pict>
          <v:rect style="position:absolute;margin-left:78.959999pt;margin-top:49.884491pt;width:292.02pt;height:.47998pt;mso-position-horizontal-relative:page;mso-position-vertical-relative:paragraph;z-index:15835648" id="docshape591" filled="true" fillcolor="#000000" stroked="false">
            <v:fill type="solid"/>
            <w10:wrap type="none"/>
          </v:rect>
        </w:pict>
      </w:r>
      <w:r>
        <w:rPr/>
        <w:pict>
          <v:rect style="position:absolute;margin-left:78.959999pt;margin-top:67.884430pt;width:292.02pt;height:.48004pt;mso-position-horizontal-relative:page;mso-position-vertical-relative:paragraph;z-index:-19579392" id="docshape592" filled="true" fillcolor="#000000" stroked="false">
            <v:fill type="solid"/>
            <w10:wrap type="none"/>
          </v:rect>
        </w:pict>
      </w:r>
      <w:r>
        <w:rPr/>
        <w:pict>
          <v:rect style="position:absolute;margin-left:78.959999pt;margin-top:85.88443pt;width:292.02pt;height:.48004pt;mso-position-horizontal-relative:page;mso-position-vertical-relative:paragraph;z-index:-19578880" id="docshape593" filled="true" fillcolor="#000000" stroked="false">
            <v:fill type="solid"/>
            <w10:wrap type="none"/>
          </v:rect>
        </w:pict>
      </w:r>
      <w:r>
        <w:rPr/>
        <w:pict>
          <v:rect style="position:absolute;margin-left:78.959999pt;margin-top:103.88443pt;width:292.02pt;height:.48004pt;mso-position-horizontal-relative:page;mso-position-vertical-relative:paragraph;z-index:-19578368" id="docshape594" filled="true" fillcolor="#000000" stroked="false">
            <v:fill type="solid"/>
            <w10:wrap type="none"/>
          </v:rect>
        </w:pict>
      </w:r>
      <w:r>
        <w:rPr/>
        <w:pict>
          <v:rect style="position:absolute;margin-left:78.959999pt;margin-top:121.88446pt;width:292.02pt;height:.48001pt;mso-position-horizontal-relative:page;mso-position-vertical-relative:paragraph;z-index:-19577856" id="docshape595" filled="true" fillcolor="#000000" stroked="false">
            <v:fill type="solid"/>
            <w10:wrap type="none"/>
          </v:rect>
        </w:pict>
      </w:r>
      <w:r>
        <w:rPr/>
        <w:pict>
          <v:rect style="position:absolute;margin-left:78.239998pt;margin-top:139.944458pt;width:292.74pt;height:.48001pt;mso-position-horizontal-relative:page;mso-position-vertical-relative:paragraph;z-index:15838208" id="docshape596" filled="true" fillcolor="#000000" stroked="false">
            <v:fill type="solid"/>
            <w10:wrap type="none"/>
          </v:rect>
        </w:pict>
      </w:r>
      <w:r>
        <w:rPr>
          <w:rFonts w:ascii="Tahoma" w:hAnsi="Tahoma"/>
        </w:rPr>
        <w:t>H4 = Close + RANGE </w:t>
      </w:r>
      <w:r>
        <w:rPr>
          <w:rFonts w:ascii="Century Gothic" w:hAnsi="Century Gothic"/>
        </w:rPr>
        <w:t>× </w:t>
      </w:r>
      <w:r>
        <w:rPr>
          <w:rFonts w:ascii="Tahoma" w:hAnsi="Tahoma"/>
        </w:rPr>
        <w:t>1.1/2 H3 = Close + RANGE </w:t>
      </w:r>
      <w:r>
        <w:rPr>
          <w:rFonts w:ascii="Century Gothic" w:hAnsi="Century Gothic"/>
        </w:rPr>
        <w:t>× </w:t>
      </w:r>
      <w:r>
        <w:rPr>
          <w:rFonts w:ascii="Tahoma" w:hAnsi="Tahoma"/>
        </w:rPr>
        <w:t>1.1/4 H2 = Close + RANGE </w:t>
      </w:r>
      <w:r>
        <w:rPr>
          <w:rFonts w:ascii="Century Gothic" w:hAnsi="Century Gothic"/>
        </w:rPr>
        <w:t>× </w:t>
      </w:r>
      <w:r>
        <w:rPr>
          <w:rFonts w:ascii="Tahoma" w:hAnsi="Tahoma"/>
        </w:rPr>
        <w:t>1.1/6 H1</w:t>
      </w:r>
      <w:r>
        <w:rPr>
          <w:rFonts w:ascii="Tahoma" w:hAnsi="Tahoma"/>
          <w:spacing w:val="-7"/>
        </w:rPr>
        <w:t> </w:t>
      </w:r>
      <w:r>
        <w:rPr>
          <w:rFonts w:ascii="Tahoma" w:hAnsi="Tahoma"/>
        </w:rPr>
        <w:t>=</w:t>
      </w:r>
      <w:r>
        <w:rPr>
          <w:rFonts w:ascii="Tahoma" w:hAnsi="Tahoma"/>
          <w:spacing w:val="-7"/>
        </w:rPr>
        <w:t> </w:t>
      </w:r>
      <w:r>
        <w:rPr>
          <w:rFonts w:ascii="Tahoma" w:hAnsi="Tahoma"/>
        </w:rPr>
        <w:t>Close</w:t>
      </w:r>
      <w:r>
        <w:rPr>
          <w:rFonts w:ascii="Tahoma" w:hAnsi="Tahoma"/>
          <w:spacing w:val="-6"/>
        </w:rPr>
        <w:t> </w:t>
      </w:r>
      <w:r>
        <w:rPr>
          <w:rFonts w:ascii="Tahoma" w:hAnsi="Tahoma"/>
        </w:rPr>
        <w:t>+</w:t>
      </w:r>
      <w:r>
        <w:rPr>
          <w:rFonts w:ascii="Tahoma" w:hAnsi="Tahoma"/>
          <w:spacing w:val="-7"/>
        </w:rPr>
        <w:t> </w:t>
      </w:r>
      <w:r>
        <w:rPr>
          <w:rFonts w:ascii="Tahoma" w:hAnsi="Tahoma"/>
        </w:rPr>
        <w:t>RANGE</w:t>
      </w:r>
      <w:r>
        <w:rPr>
          <w:rFonts w:ascii="Tahoma" w:hAnsi="Tahoma"/>
          <w:spacing w:val="-8"/>
        </w:rPr>
        <w:t> </w:t>
      </w:r>
      <w:r>
        <w:rPr>
          <w:rFonts w:ascii="Century Gothic" w:hAnsi="Century Gothic"/>
        </w:rPr>
        <w:t>× </w:t>
      </w:r>
      <w:r>
        <w:rPr>
          <w:rFonts w:ascii="Tahoma" w:hAnsi="Tahoma"/>
        </w:rPr>
        <w:t>1.1/12 L1 = Close - RANGE </w:t>
      </w:r>
      <w:r>
        <w:rPr>
          <w:rFonts w:ascii="Century Gothic" w:hAnsi="Century Gothic"/>
        </w:rPr>
        <w:t>× </w:t>
      </w:r>
      <w:r>
        <w:rPr>
          <w:rFonts w:ascii="Tahoma" w:hAnsi="Tahoma"/>
        </w:rPr>
        <w:t>1.1/12 L2 = Close - RANGE </w:t>
      </w:r>
      <w:r>
        <w:rPr>
          <w:rFonts w:ascii="Century Gothic" w:hAnsi="Century Gothic"/>
        </w:rPr>
        <w:t>× </w:t>
      </w:r>
      <w:r>
        <w:rPr>
          <w:rFonts w:ascii="Tahoma" w:hAnsi="Tahoma"/>
        </w:rPr>
        <w:t>1.1/6 L3 = Close - RANGE </w:t>
      </w:r>
      <w:r>
        <w:rPr>
          <w:rFonts w:ascii="Century Gothic" w:hAnsi="Century Gothic"/>
        </w:rPr>
        <w:t>× </w:t>
      </w:r>
      <w:r>
        <w:rPr>
          <w:rFonts w:ascii="Tahoma" w:hAnsi="Tahoma"/>
        </w:rPr>
        <w:t>1.1/4 L4 = Close - RANGE </w:t>
      </w:r>
      <w:r>
        <w:rPr>
          <w:rFonts w:ascii="Century Gothic" w:hAnsi="Century Gothic"/>
        </w:rPr>
        <w:t>× </w:t>
      </w:r>
      <w:r>
        <w:rPr>
          <w:rFonts w:ascii="Tahoma" w:hAnsi="Tahoma"/>
        </w:rPr>
        <w:t>1.1/2</w:t>
      </w:r>
    </w:p>
    <w:p>
      <w:pPr>
        <w:spacing w:line="161" w:lineRule="exact" w:before="0"/>
        <w:ind w:left="931" w:right="0" w:firstLine="0"/>
        <w:jc w:val="left"/>
        <w:rPr>
          <w:sz w:val="16"/>
        </w:rPr>
      </w:pPr>
      <w:r>
        <w:rPr>
          <w:sz w:val="16"/>
        </w:rPr>
        <w:t>TABLE</w:t>
      </w:r>
      <w:r>
        <w:rPr>
          <w:spacing w:val="10"/>
          <w:sz w:val="16"/>
        </w:rPr>
        <w:t> </w:t>
      </w:r>
      <w:r>
        <w:rPr>
          <w:sz w:val="16"/>
        </w:rPr>
        <w:t>7.1:</w:t>
      </w:r>
      <w:r>
        <w:rPr>
          <w:spacing w:val="10"/>
          <w:sz w:val="16"/>
        </w:rPr>
        <w:t> </w:t>
      </w:r>
      <w:r>
        <w:rPr>
          <w:sz w:val="16"/>
        </w:rPr>
        <w:t>Standard</w:t>
      </w:r>
      <w:r>
        <w:rPr>
          <w:spacing w:val="11"/>
          <w:sz w:val="16"/>
        </w:rPr>
        <w:t> </w:t>
      </w:r>
      <w:r>
        <w:rPr>
          <w:spacing w:val="-2"/>
          <w:sz w:val="16"/>
        </w:rPr>
        <w:t>Formula</w:t>
      </w:r>
    </w:p>
    <w:p>
      <w:pPr>
        <w:pStyle w:val="BodyText"/>
        <w:spacing w:before="9"/>
        <w:rPr>
          <w:sz w:val="21"/>
        </w:rPr>
      </w:pPr>
    </w:p>
    <w:p>
      <w:pPr>
        <w:spacing w:before="0"/>
        <w:ind w:left="1989" w:right="0" w:hanging="1455"/>
        <w:jc w:val="left"/>
        <w:rPr>
          <w:i/>
          <w:sz w:val="22"/>
        </w:rPr>
      </w:pPr>
      <w:r>
        <w:rPr>
          <w:i/>
          <w:sz w:val="22"/>
        </w:rPr>
        <w:t>The</w:t>
      </w:r>
      <w:r>
        <w:rPr>
          <w:i/>
          <w:spacing w:val="-4"/>
          <w:sz w:val="22"/>
        </w:rPr>
        <w:t> </w:t>
      </w:r>
      <w:r>
        <w:rPr>
          <w:i/>
          <w:sz w:val="22"/>
        </w:rPr>
        <w:t>Camarilla</w:t>
      </w:r>
      <w:r>
        <w:rPr>
          <w:i/>
          <w:spacing w:val="-4"/>
          <w:sz w:val="22"/>
        </w:rPr>
        <w:t> </w:t>
      </w:r>
      <w:r>
        <w:rPr>
          <w:i/>
          <w:sz w:val="22"/>
        </w:rPr>
        <w:t>Equation</w:t>
      </w:r>
      <w:r>
        <w:rPr>
          <w:i/>
          <w:spacing w:val="-5"/>
          <w:sz w:val="22"/>
        </w:rPr>
        <w:t> </w:t>
      </w:r>
      <w:r>
        <w:rPr>
          <w:i/>
          <w:sz w:val="22"/>
        </w:rPr>
        <w:t>offers</w:t>
      </w:r>
      <w:r>
        <w:rPr>
          <w:i/>
          <w:spacing w:val="-4"/>
          <w:sz w:val="22"/>
        </w:rPr>
        <w:t> </w:t>
      </w:r>
      <w:r>
        <w:rPr>
          <w:i/>
          <w:sz w:val="22"/>
        </w:rPr>
        <w:t>a</w:t>
      </w:r>
      <w:r>
        <w:rPr>
          <w:i/>
          <w:spacing w:val="-4"/>
          <w:sz w:val="22"/>
        </w:rPr>
        <w:t> </w:t>
      </w:r>
      <w:r>
        <w:rPr>
          <w:i/>
          <w:sz w:val="22"/>
        </w:rPr>
        <w:t>series</w:t>
      </w:r>
      <w:r>
        <w:rPr>
          <w:i/>
          <w:spacing w:val="-3"/>
          <w:sz w:val="22"/>
        </w:rPr>
        <w:t> </w:t>
      </w:r>
      <w:r>
        <w:rPr>
          <w:i/>
          <w:sz w:val="22"/>
        </w:rPr>
        <w:t>of</w:t>
      </w:r>
      <w:r>
        <w:rPr>
          <w:i/>
          <w:spacing w:val="-4"/>
          <w:sz w:val="22"/>
        </w:rPr>
        <w:t> </w:t>
      </w:r>
      <w:r>
        <w:rPr>
          <w:i/>
          <w:sz w:val="22"/>
        </w:rPr>
        <w:t>support</w:t>
      </w:r>
      <w:r>
        <w:rPr>
          <w:i/>
          <w:spacing w:val="-4"/>
          <w:sz w:val="22"/>
        </w:rPr>
        <w:t> </w:t>
      </w:r>
      <w:r>
        <w:rPr>
          <w:i/>
          <w:sz w:val="22"/>
        </w:rPr>
        <w:t>and</w:t>
      </w:r>
      <w:r>
        <w:rPr>
          <w:i/>
          <w:spacing w:val="-4"/>
          <w:sz w:val="22"/>
        </w:rPr>
        <w:t> </w:t>
      </w:r>
      <w:r>
        <w:rPr>
          <w:i/>
          <w:sz w:val="22"/>
        </w:rPr>
        <w:t>resistance</w:t>
      </w:r>
      <w:r>
        <w:rPr>
          <w:i/>
          <w:spacing w:val="-4"/>
          <w:sz w:val="22"/>
        </w:rPr>
        <w:t> </w:t>
      </w:r>
      <w:r>
        <w:rPr>
          <w:i/>
          <w:sz w:val="22"/>
        </w:rPr>
        <w:t>levels,</w:t>
      </w:r>
      <w:r>
        <w:rPr>
          <w:i/>
          <w:spacing w:val="-4"/>
          <w:sz w:val="22"/>
        </w:rPr>
        <w:t> </w:t>
      </w:r>
      <w:r>
        <w:rPr>
          <w:i/>
          <w:sz w:val="22"/>
        </w:rPr>
        <w:t>with</w:t>
      </w:r>
      <w:r>
        <w:rPr>
          <w:i/>
          <w:sz w:val="22"/>
        </w:rPr>
        <w:t> each level carrying a specific call to action.</w:t>
      </w:r>
    </w:p>
    <w:p>
      <w:pPr>
        <w:pStyle w:val="BodyText"/>
        <w:spacing w:before="9"/>
        <w:rPr>
          <w:i/>
          <w:sz w:val="21"/>
        </w:rPr>
      </w:pPr>
    </w:p>
    <w:p>
      <w:pPr>
        <w:pStyle w:val="BodyText"/>
        <w:ind w:left="500" w:right="134" w:firstLine="432"/>
        <w:jc w:val="both"/>
      </w:pPr>
      <w:r>
        <w:rPr/>
        <w:t>The Camarilla Equation offers a powerful method of trading the market because the call to action is always the same. The equation forces you to recruit your inner discipline to trade on the right side of probability. Traders take similar positions at each level, thus creating a powerful form of self- fulfilling prophecy. Moreover, the pivot levels in the indicator are usually color-coded to remind you which actions to take when certain pivot levels</w:t>
      </w:r>
      <w:r>
        <w:rPr>
          <w:spacing w:val="80"/>
        </w:rPr>
        <w:t> </w:t>
      </w:r>
      <w:r>
        <w:rPr/>
        <w:t>are tested. For example, the H3 and L4 pivot levels are typically colored red because these are the zones where you should be looking to sell the market. Likewise, H4 and L3 are typically colored green to indicate long action levels. Figure 7.1 shows each Camarilla level, including the first and second layers of the formula.</w:t>
      </w:r>
    </w:p>
    <w:p>
      <w:pPr>
        <w:spacing w:after="0"/>
        <w:jc w:val="both"/>
        <w:sectPr>
          <w:footerReference w:type="default" r:id="rId222"/>
          <w:footerReference w:type="even" r:id="rId223"/>
          <w:pgSz w:w="8640" w:h="12960"/>
          <w:pgMar w:footer="1060" w:header="536" w:top="720" w:bottom="1260" w:left="580" w:right="580"/>
          <w:pgNumType w:start="183"/>
        </w:sectPr>
      </w:pPr>
    </w:p>
    <w:p>
      <w:pPr>
        <w:pStyle w:val="BodyText"/>
        <w:spacing w:before="2"/>
        <w:rPr>
          <w:sz w:val="24"/>
        </w:rPr>
      </w:pPr>
    </w:p>
    <w:p>
      <w:pPr>
        <w:pStyle w:val="BodyText"/>
        <w:ind w:left="672"/>
        <w:rPr>
          <w:sz w:val="20"/>
        </w:rPr>
      </w:pPr>
      <w:r>
        <w:rPr>
          <w:sz w:val="20"/>
        </w:rPr>
        <w:pict>
          <v:group style="width:288.75pt;height:205.8pt;mso-position-horizontal-relative:char;mso-position-vertical-relative:line" id="docshapegroup597" coordorigin="0,0" coordsize="5775,4116">
            <v:rect style="position:absolute;left:8;top:7;width:5759;height:4101" id="docshape598" filled="false" stroked="true" strokeweight=".75pt" strokecolor="#000000">
              <v:stroke dashstyle="solid"/>
            </v:rect>
            <v:line style="position:absolute" from="1871,724" to="4371,724" stroked="true" strokeweight="1.5pt" strokecolor="#000000">
              <v:stroke dashstyle="solid"/>
            </v:line>
            <v:line style="position:absolute" from="1871,1228" to="4371,1228" stroked="true" strokeweight="1.5pt" strokecolor="#000000">
              <v:stroke dashstyle="solid"/>
            </v:line>
            <v:line style="position:absolute" from="1871,3899" to="4371,3899" stroked="true" strokeweight="1.5pt" strokecolor="#000000">
              <v:stroke dashstyle="solid"/>
            </v:line>
            <v:line style="position:absolute" from="1871,3357" to="4371,3357" stroked="true" strokeweight="1.5pt" strokecolor="#000000">
              <v:stroke dashstyle="solid"/>
            </v:line>
            <v:line style="position:absolute" from="1871,1617" to="4371,1617" stroked="true" strokeweight=".75pt" strokecolor="#000000">
              <v:stroke dashstyle="solid"/>
            </v:line>
            <v:line style="position:absolute" from="1871,1997" to="4371,1997" stroked="true" strokeweight=".75pt" strokecolor="#000000">
              <v:stroke dashstyle="solid"/>
            </v:line>
            <v:line style="position:absolute" from="1871,3016" to="4371,3016" stroked="true" strokeweight=".75pt" strokecolor="#000000">
              <v:stroke dashstyle="solid"/>
            </v:line>
            <v:line style="position:absolute" from="1871,2676" to="4371,2676" stroked="true" strokeweight=".75pt" strokecolor="#000000">
              <v:stroke dashstyle="solid"/>
            </v:line>
            <v:shape style="position:absolute;left:1401;top:2610;width:229;height:1421" type="#_x0000_t202" id="docshape599" filled="false" stroked="false">
              <v:textbox inset="0,0,0,0">
                <w:txbxContent>
                  <w:p>
                    <w:pPr>
                      <w:spacing w:line="199" w:lineRule="exact" w:before="0"/>
                      <w:ind w:left="0" w:right="0" w:firstLine="0"/>
                      <w:jc w:val="left"/>
                      <w:rPr>
                        <w:rFonts w:ascii="Tahoma"/>
                        <w:sz w:val="20"/>
                      </w:rPr>
                    </w:pPr>
                    <w:r>
                      <w:rPr>
                        <w:rFonts w:ascii="Tahoma"/>
                        <w:spacing w:val="-5"/>
                        <w:sz w:val="20"/>
                      </w:rPr>
                      <w:t>L1</w:t>
                    </w:r>
                  </w:p>
                  <w:p>
                    <w:pPr>
                      <w:spacing w:line="338" w:lineRule="auto" w:before="99"/>
                      <w:ind w:left="0" w:right="10" w:firstLine="0"/>
                      <w:jc w:val="left"/>
                      <w:rPr>
                        <w:rFonts w:ascii="Tahoma"/>
                        <w:sz w:val="20"/>
                      </w:rPr>
                    </w:pPr>
                    <w:r>
                      <w:rPr>
                        <w:rFonts w:ascii="Tahoma"/>
                        <w:spacing w:val="-6"/>
                        <w:sz w:val="20"/>
                      </w:rPr>
                      <w:t>L2 </w:t>
                    </w:r>
                    <w:r>
                      <w:rPr>
                        <w:rFonts w:ascii="Tahoma"/>
                        <w:spacing w:val="-5"/>
                        <w:sz w:val="20"/>
                      </w:rPr>
                      <w:t>L3</w:t>
                    </w:r>
                  </w:p>
                  <w:p>
                    <w:pPr>
                      <w:spacing w:line="240" w:lineRule="auto" w:before="6"/>
                      <w:rPr>
                        <w:rFonts w:ascii="Tahoma"/>
                        <w:sz w:val="16"/>
                      </w:rPr>
                    </w:pPr>
                  </w:p>
                  <w:p>
                    <w:pPr>
                      <w:spacing w:before="0"/>
                      <w:ind w:left="0" w:right="0" w:firstLine="0"/>
                      <w:jc w:val="left"/>
                      <w:rPr>
                        <w:rFonts w:ascii="Tahoma"/>
                        <w:sz w:val="20"/>
                      </w:rPr>
                    </w:pPr>
                    <w:r>
                      <w:rPr>
                        <w:rFonts w:ascii="Tahoma"/>
                        <w:spacing w:val="-5"/>
                        <w:sz w:val="20"/>
                      </w:rPr>
                      <w:t>L4</w:t>
                    </w:r>
                  </w:p>
                </w:txbxContent>
              </v:textbox>
              <w10:wrap type="none"/>
            </v:shape>
            <v:shape style="position:absolute;left:1401;top:658;width:265;height:1467" type="#_x0000_t202" id="docshape600" filled="false" stroked="false">
              <v:textbox inset="0,0,0,0">
                <w:txbxContent>
                  <w:p>
                    <w:pPr>
                      <w:spacing w:line="199" w:lineRule="exact" w:before="0"/>
                      <w:ind w:left="0" w:right="0" w:firstLine="0"/>
                      <w:jc w:val="left"/>
                      <w:rPr>
                        <w:rFonts w:ascii="Tahoma"/>
                        <w:sz w:val="20"/>
                      </w:rPr>
                    </w:pPr>
                    <w:r>
                      <w:rPr>
                        <w:rFonts w:ascii="Tahoma"/>
                        <w:spacing w:val="-5"/>
                        <w:sz w:val="20"/>
                      </w:rPr>
                      <w:t>H4</w:t>
                    </w:r>
                  </w:p>
                  <w:p>
                    <w:pPr>
                      <w:spacing w:line="240" w:lineRule="auto" w:before="1"/>
                      <w:rPr>
                        <w:rFonts w:ascii="Tahoma"/>
                        <w:sz w:val="21"/>
                      </w:rPr>
                    </w:pPr>
                  </w:p>
                  <w:p>
                    <w:pPr>
                      <w:spacing w:before="1"/>
                      <w:ind w:left="0" w:right="0" w:firstLine="0"/>
                      <w:jc w:val="left"/>
                      <w:rPr>
                        <w:rFonts w:ascii="Tahoma"/>
                        <w:sz w:val="20"/>
                      </w:rPr>
                    </w:pPr>
                    <w:r>
                      <w:rPr>
                        <w:rFonts w:ascii="Tahoma"/>
                        <w:spacing w:val="-5"/>
                        <w:sz w:val="20"/>
                      </w:rPr>
                      <w:t>H3</w:t>
                    </w:r>
                  </w:p>
                  <w:p>
                    <w:pPr>
                      <w:spacing w:line="360" w:lineRule="atLeast" w:before="44"/>
                      <w:ind w:left="0" w:right="10" w:firstLine="0"/>
                      <w:jc w:val="left"/>
                      <w:rPr>
                        <w:rFonts w:ascii="Tahoma"/>
                        <w:sz w:val="20"/>
                      </w:rPr>
                    </w:pPr>
                    <w:r>
                      <w:rPr>
                        <w:rFonts w:ascii="Tahoma"/>
                        <w:spacing w:val="-6"/>
                        <w:sz w:val="20"/>
                      </w:rPr>
                      <w:t>H2 </w:t>
                    </w:r>
                    <w:r>
                      <w:rPr>
                        <w:rFonts w:ascii="Tahoma"/>
                        <w:spacing w:val="-5"/>
                        <w:sz w:val="20"/>
                      </w:rPr>
                      <w:t>H1</w:t>
                    </w:r>
                  </w:p>
                </w:txbxContent>
              </v:textbox>
              <w10:wrap type="none"/>
            </v:shape>
            <v:shape style="position:absolute;left:8;top:9;width:5759;height:543" type="#_x0000_t202" id="docshape601" filled="true" fillcolor="#000000" stroked="true" strokeweight=".81pt" strokecolor="#000000">
              <v:textbox inset="0,0,0,0">
                <w:txbxContent>
                  <w:p>
                    <w:pPr>
                      <w:spacing w:before="71"/>
                      <w:ind w:left="1040" w:right="0" w:firstLine="0"/>
                      <w:jc w:val="left"/>
                      <w:rPr>
                        <w:rFonts w:ascii="Verdana"/>
                        <w:color w:val="000000"/>
                        <w:sz w:val="28"/>
                      </w:rPr>
                    </w:pPr>
                    <w:r>
                      <w:rPr>
                        <w:rFonts w:ascii="Verdana"/>
                        <w:color w:val="FFFFFF"/>
                        <w:sz w:val="28"/>
                      </w:rPr>
                      <w:t>Standard</w:t>
                    </w:r>
                    <w:r>
                      <w:rPr>
                        <w:rFonts w:ascii="Verdana"/>
                        <w:color w:val="FFFFFF"/>
                        <w:spacing w:val="-24"/>
                        <w:sz w:val="28"/>
                      </w:rPr>
                      <w:t> </w:t>
                    </w:r>
                    <w:r>
                      <w:rPr>
                        <w:rFonts w:ascii="Verdana"/>
                        <w:color w:val="FFFFFF"/>
                        <w:sz w:val="28"/>
                      </w:rPr>
                      <w:t>Camarilla</w:t>
                    </w:r>
                    <w:r>
                      <w:rPr>
                        <w:rFonts w:ascii="Verdana"/>
                        <w:color w:val="FFFFFF"/>
                        <w:spacing w:val="-23"/>
                        <w:sz w:val="28"/>
                      </w:rPr>
                      <w:t> </w:t>
                    </w:r>
                    <w:r>
                      <w:rPr>
                        <w:rFonts w:ascii="Verdana"/>
                        <w:color w:val="FFFFFF"/>
                        <w:spacing w:val="-2"/>
                        <w:sz w:val="28"/>
                      </w:rPr>
                      <w:t>Levels</w:t>
                    </w:r>
                  </w:p>
                </w:txbxContent>
              </v:textbox>
              <v:fill type="solid"/>
              <v:stroke dashstyle="solid"/>
              <w10:wrap type="none"/>
            </v:shape>
          </v:group>
        </w:pict>
      </w:r>
      <w:r>
        <w:rPr>
          <w:sz w:val="20"/>
        </w:rPr>
      </w:r>
    </w:p>
    <w:p>
      <w:pPr>
        <w:spacing w:line="157" w:lineRule="exact" w:before="0"/>
        <w:ind w:left="629" w:right="0" w:firstLine="0"/>
        <w:jc w:val="left"/>
        <w:rPr>
          <w:sz w:val="16"/>
        </w:rPr>
      </w:pPr>
      <w:r>
        <w:rPr>
          <w:sz w:val="16"/>
        </w:rPr>
        <w:t>FIGURE</w:t>
      </w:r>
      <w:r>
        <w:rPr>
          <w:spacing w:val="6"/>
          <w:sz w:val="16"/>
        </w:rPr>
        <w:t> </w:t>
      </w:r>
      <w:r>
        <w:rPr>
          <w:sz w:val="16"/>
        </w:rPr>
        <w:t>7.1:</w:t>
      </w:r>
      <w:r>
        <w:rPr>
          <w:spacing w:val="7"/>
          <w:sz w:val="16"/>
        </w:rPr>
        <w:t> </w:t>
      </w:r>
      <w:r>
        <w:rPr>
          <w:sz w:val="16"/>
        </w:rPr>
        <w:t>The</w:t>
      </w:r>
      <w:r>
        <w:rPr>
          <w:spacing w:val="8"/>
          <w:sz w:val="16"/>
        </w:rPr>
        <w:t> </w:t>
      </w:r>
      <w:r>
        <w:rPr>
          <w:sz w:val="16"/>
        </w:rPr>
        <w:t>Standard</w:t>
      </w:r>
      <w:r>
        <w:rPr>
          <w:spacing w:val="6"/>
          <w:sz w:val="16"/>
        </w:rPr>
        <w:t> </w:t>
      </w:r>
      <w:r>
        <w:rPr>
          <w:sz w:val="16"/>
        </w:rPr>
        <w:t>Camarilla</w:t>
      </w:r>
      <w:r>
        <w:rPr>
          <w:spacing w:val="6"/>
          <w:sz w:val="16"/>
        </w:rPr>
        <w:t> </w:t>
      </w:r>
      <w:r>
        <w:rPr>
          <w:spacing w:val="-2"/>
          <w:sz w:val="16"/>
        </w:rPr>
        <w:t>levels</w:t>
      </w:r>
    </w:p>
    <w:p>
      <w:pPr>
        <w:pStyle w:val="BodyText"/>
        <w:spacing w:before="1"/>
      </w:pPr>
    </w:p>
    <w:p>
      <w:pPr>
        <w:pStyle w:val="BodyText"/>
        <w:ind w:left="139" w:right="494" w:firstLine="432"/>
        <w:jc w:val="both"/>
      </w:pPr>
      <w:r>
        <w:rPr/>
        <w:t>Traditionally, the most important levels are the third layer of support</w:t>
      </w:r>
      <w:r>
        <w:rPr>
          <w:spacing w:val="40"/>
        </w:rPr>
        <w:t> </w:t>
      </w:r>
      <w:r>
        <w:rPr/>
        <w:t>and resistance (L3 and H3). Once the market reaches these levels, you typically see a reversal back toward the mean. Therefore, you are typically looking to sell the market at H3 resistance, and buy the market when price tests L3 support. Once price pushes too far in one direction, responsive market participants enter the market in order to push price back toward perceived value. In essence, the third layer of the Camarilla Equation is visually displaying price levels on the chart where responsive market participants are likely to enter the market in order to push price back toward an area of prior value. This is the reason the third layer of the indicator can have such an impact on price on any given day, especially when the market displays certain market tendencies.</w:t>
      </w:r>
    </w:p>
    <w:p>
      <w:pPr>
        <w:pStyle w:val="BodyText"/>
        <w:ind w:left="139" w:right="497" w:firstLine="432"/>
        <w:jc w:val="both"/>
      </w:pPr>
      <w:r>
        <w:rPr/>
        <w:t>The first and second layers of the indicator (L1, L2, H1, and H2) are typically</w:t>
      </w:r>
      <w:r>
        <w:rPr>
          <w:spacing w:val="-3"/>
        </w:rPr>
        <w:t> </w:t>
      </w:r>
      <w:r>
        <w:rPr/>
        <w:t>ignored</w:t>
      </w:r>
      <w:r>
        <w:rPr>
          <w:spacing w:val="-4"/>
        </w:rPr>
        <w:t> </w:t>
      </w:r>
      <w:r>
        <w:rPr/>
        <w:t>and</w:t>
      </w:r>
      <w:r>
        <w:rPr>
          <w:spacing w:val="-3"/>
        </w:rPr>
        <w:t> </w:t>
      </w:r>
      <w:r>
        <w:rPr/>
        <w:t>generally</w:t>
      </w:r>
      <w:r>
        <w:rPr>
          <w:spacing w:val="-3"/>
        </w:rPr>
        <w:t> </w:t>
      </w:r>
      <w:r>
        <w:rPr/>
        <w:t>not</w:t>
      </w:r>
      <w:r>
        <w:rPr>
          <w:spacing w:val="-3"/>
        </w:rPr>
        <w:t> </w:t>
      </w:r>
      <w:r>
        <w:rPr/>
        <w:t>even</w:t>
      </w:r>
      <w:r>
        <w:rPr>
          <w:spacing w:val="-5"/>
        </w:rPr>
        <w:t> </w:t>
      </w:r>
      <w:r>
        <w:rPr/>
        <w:t>plotted.</w:t>
      </w:r>
      <w:r>
        <w:rPr>
          <w:spacing w:val="-3"/>
        </w:rPr>
        <w:t> </w:t>
      </w:r>
      <w:r>
        <w:rPr/>
        <w:t>However,</w:t>
      </w:r>
      <w:r>
        <w:rPr>
          <w:spacing w:val="-4"/>
        </w:rPr>
        <w:t> </w:t>
      </w:r>
      <w:r>
        <w:rPr/>
        <w:t>I</w:t>
      </w:r>
      <w:r>
        <w:rPr>
          <w:spacing w:val="-4"/>
        </w:rPr>
        <w:t> </w:t>
      </w:r>
      <w:r>
        <w:rPr/>
        <w:t>will</w:t>
      </w:r>
      <w:r>
        <w:rPr>
          <w:spacing w:val="-4"/>
        </w:rPr>
        <w:t> </w:t>
      </w:r>
      <w:r>
        <w:rPr/>
        <w:t>discuss</w:t>
      </w:r>
      <w:r>
        <w:rPr>
          <w:spacing w:val="-3"/>
        </w:rPr>
        <w:t> </w:t>
      </w:r>
      <w:r>
        <w:rPr/>
        <w:t>how and when to use these levels in Chapter 9. On the other hand, the fourth layer of support and resistance (L4 and H4) is very important. This layer is seen as the last line of support or resistance and is watched very closely for a breakout or reversal. Traditionally, traders of this system will watch the fourth layer of the indicator for a breakout. Therefore, H4 resistance is usually colored green to denote a bullish breakout, while L4 is colored red to represent a bearish breakout. While the third layer of the indicator visually represents where responsive market participants are likely to enter the</w:t>
      </w:r>
      <w:r>
        <w:rPr>
          <w:spacing w:val="40"/>
        </w:rPr>
        <w:t> </w:t>
      </w:r>
      <w:r>
        <w:rPr/>
        <w:t>market,</w:t>
      </w:r>
      <w:r>
        <w:rPr/>
        <w:t> the fourth layer illustrates price levels where initiative market participants</w:t>
      </w:r>
      <w:r>
        <w:rPr>
          <w:spacing w:val="64"/>
        </w:rPr>
        <w:t> </w:t>
      </w:r>
      <w:r>
        <w:rPr/>
        <w:t>are</w:t>
      </w:r>
      <w:r>
        <w:rPr>
          <w:spacing w:val="62"/>
        </w:rPr>
        <w:t> </w:t>
      </w:r>
      <w:r>
        <w:rPr/>
        <w:t>likely</w:t>
      </w:r>
      <w:r>
        <w:rPr>
          <w:spacing w:val="62"/>
        </w:rPr>
        <w:t> </w:t>
      </w:r>
      <w:r>
        <w:rPr/>
        <w:t>to</w:t>
      </w:r>
      <w:r>
        <w:rPr>
          <w:spacing w:val="62"/>
        </w:rPr>
        <w:t> </w:t>
      </w:r>
      <w:r>
        <w:rPr/>
        <w:t>act.</w:t>
      </w:r>
      <w:r>
        <w:rPr>
          <w:spacing w:val="62"/>
        </w:rPr>
        <w:t> </w:t>
      </w:r>
      <w:r>
        <w:rPr/>
        <w:t>Since</w:t>
      </w:r>
      <w:r>
        <w:rPr>
          <w:spacing w:val="62"/>
        </w:rPr>
        <w:t> </w:t>
      </w:r>
      <w:r>
        <w:rPr/>
        <w:t>the</w:t>
      </w:r>
      <w:r>
        <w:rPr>
          <w:spacing w:val="62"/>
        </w:rPr>
        <w:t> </w:t>
      </w:r>
      <w:r>
        <w:rPr/>
        <w:t>fourth</w:t>
      </w:r>
      <w:r>
        <w:rPr>
          <w:spacing w:val="62"/>
        </w:rPr>
        <w:t> </w:t>
      </w:r>
      <w:r>
        <w:rPr/>
        <w:t>layer</w:t>
      </w:r>
      <w:r>
        <w:rPr>
          <w:spacing w:val="62"/>
        </w:rPr>
        <w:t> </w:t>
      </w:r>
      <w:r>
        <w:rPr/>
        <w:t>of</w:t>
      </w:r>
      <w:r>
        <w:rPr>
          <w:spacing w:val="63"/>
        </w:rPr>
        <w:t> </w:t>
      </w:r>
      <w:r>
        <w:rPr/>
        <w:t>the</w:t>
      </w:r>
      <w:r>
        <w:rPr>
          <w:spacing w:val="62"/>
        </w:rPr>
        <w:t> </w:t>
      </w:r>
      <w:r>
        <w:rPr/>
        <w:t>indicator</w:t>
      </w:r>
      <w:r>
        <w:rPr>
          <w:spacing w:val="62"/>
        </w:rPr>
        <w:t> </w:t>
      </w:r>
      <w:r>
        <w:rPr>
          <w:spacing w:val="-5"/>
        </w:rPr>
        <w:t>is</w:t>
      </w:r>
    </w:p>
    <w:p>
      <w:pPr>
        <w:spacing w:after="0"/>
        <w:jc w:val="both"/>
        <w:sectPr>
          <w:pgSz w:w="8640" w:h="12960"/>
          <w:pgMar w:header="579" w:footer="997" w:top="760" w:bottom="1180" w:left="580" w:right="580"/>
        </w:sectPr>
      </w:pPr>
    </w:p>
    <w:p>
      <w:pPr>
        <w:pStyle w:val="BodyText"/>
        <w:spacing w:before="3"/>
      </w:pPr>
    </w:p>
    <w:p>
      <w:pPr>
        <w:pStyle w:val="BodyText"/>
        <w:spacing w:before="64"/>
        <w:ind w:left="500" w:right="134"/>
        <w:jc w:val="both"/>
      </w:pPr>
      <w:r>
        <w:rPr/>
        <w:t>typically seen as the last line of support or resistance, it makes sense that a break would likely lead to range extension via initiative buying or selling pressure. Therefore, breaks through these levels usually lead to trending moves in the direction of the break. In addition to watching the fourth layer</w:t>
      </w:r>
      <w:r>
        <w:rPr>
          <w:spacing w:val="40"/>
        </w:rPr>
        <w:t> </w:t>
      </w:r>
      <w:r>
        <w:rPr/>
        <w:t>as a breakout zone, I have also found this layer to be as prone to reversals as the third layer, thus allowing me to play it as I would L3 and H3. Therefore,</w:t>
      </w:r>
      <w:r>
        <w:rPr>
          <w:spacing w:val="40"/>
        </w:rPr>
        <w:t> </w:t>
      </w:r>
      <w:r>
        <w:rPr/>
        <w:t>it could be said that the fourth layer of the indicator offers the most</w:t>
      </w:r>
      <w:r>
        <w:rPr>
          <w:spacing w:val="40"/>
        </w:rPr>
        <w:t> </w:t>
      </w:r>
      <w:r>
        <w:rPr>
          <w:spacing w:val="-2"/>
        </w:rPr>
        <w:t>versatility.</w:t>
      </w:r>
    </w:p>
    <w:p>
      <w:pPr>
        <w:pStyle w:val="BodyText"/>
        <w:spacing w:before="10"/>
        <w:rPr>
          <w:sz w:val="21"/>
        </w:rPr>
      </w:pPr>
    </w:p>
    <w:p>
      <w:pPr>
        <w:pStyle w:val="Heading3"/>
        <w:ind w:left="500"/>
        <w:jc w:val="both"/>
      </w:pPr>
      <w:r>
        <w:rPr/>
        <w:pict>
          <v:shape style="position:absolute;margin-left:54.779999pt;margin-top:18.290298pt;width:341pt;height:.1pt;mso-position-horizontal-relative:page;mso-position-vertical-relative:paragraph;z-index:-15618048;mso-wrap-distance-left:0;mso-wrap-distance-right:0" id="docshape602" coordorigin="1096,366" coordsize="6820,0" path="m1096,366l7915,366e" filled="false" stroked="true" strokeweight=".75pt" strokecolor="#000000">
            <v:path arrowok="t"/>
            <v:stroke dashstyle="solid"/>
            <w10:wrap type="topAndBottom"/>
          </v:shape>
        </w:pict>
      </w:r>
      <w:bookmarkStart w:name="_TOC_250032" w:id="59"/>
      <w:r>
        <w:rPr>
          <w:smallCaps/>
          <w:spacing w:val="-2"/>
        </w:rPr>
        <w:t>The</w:t>
      </w:r>
      <w:r>
        <w:rPr>
          <w:smallCaps/>
          <w:spacing w:val="-12"/>
        </w:rPr>
        <w:t> </w:t>
      </w:r>
      <w:r>
        <w:rPr>
          <w:smallCaps/>
          <w:spacing w:val="-2"/>
        </w:rPr>
        <w:t>Expanded</w:t>
      </w:r>
      <w:r>
        <w:rPr>
          <w:smallCaps/>
          <w:spacing w:val="-6"/>
        </w:rPr>
        <w:t> </w:t>
      </w:r>
      <w:r>
        <w:rPr>
          <w:smallCaps/>
          <w:spacing w:val="-2"/>
        </w:rPr>
        <w:t>Camarilla</w:t>
      </w:r>
      <w:r>
        <w:rPr>
          <w:smallCaps/>
          <w:spacing w:val="-12"/>
        </w:rPr>
        <w:t> </w:t>
      </w:r>
      <w:bookmarkEnd w:id="59"/>
      <w:r>
        <w:rPr>
          <w:smallCaps/>
          <w:spacing w:val="-2"/>
        </w:rPr>
        <w:t>Equation</w:t>
      </w:r>
    </w:p>
    <w:p>
      <w:pPr>
        <w:pStyle w:val="BodyText"/>
        <w:spacing w:before="203"/>
        <w:ind w:left="500" w:right="136" w:firstLine="432"/>
        <w:jc w:val="both"/>
      </w:pPr>
      <w:r>
        <w:rPr/>
        <w:t>As with the Floor Pivots, I also like to include an extra layer to the Camarilla Equation. The fifth layer (L5 and H5) of the equation generally serves as a target should a breakout through L4 or H4 occur. Many traders I’ve talked to love this aspect of the indicator, but I cannot take credit for discovering the formula, as it was already widely available. In keeping with the color-coded theme of the indicator, I typically keep H5 and L5 as blue or black lines so they are not easily confused with any other Cam level. The formula for the expanded Camarilla Equation is as follows:</w:t>
      </w:r>
    </w:p>
    <w:p>
      <w:pPr>
        <w:pStyle w:val="BodyText"/>
        <w:spacing w:before="1"/>
        <w:rPr>
          <w:sz w:val="20"/>
        </w:rPr>
      </w:pPr>
      <w:r>
        <w:rPr/>
        <w:pict>
          <v:group style="position:absolute;margin-left:78.480003pt;margin-top:12.783574pt;width:293pt;height:18pt;mso-position-horizontal-relative:page;mso-position-vertical-relative:paragraph;z-index:-15617536;mso-wrap-distance-left:0;mso-wrap-distance-right:0" id="docshapegroup603" coordorigin="1570,256" coordsize="5860,360">
            <v:rect style="position:absolute;left:1588;top:276;width:5822;height:340" id="docshape604" filled="true" fillcolor="#000000" stroked="false">
              <v:fill type="solid"/>
            </v:rect>
            <v:shape style="position:absolute;left:1569;top:255;width:5841;height:21" id="docshape605" coordorigin="1570,256" coordsize="5841,21" path="m7410,256l1589,256,1570,256,1570,275,1570,276,1589,276,1589,275,7410,275,7410,256xe" filled="true" fillcolor="#3f3f3f" stroked="false">
              <v:path arrowok="t"/>
              <v:fill type="solid"/>
            </v:shape>
            <v:rect style="position:absolute;left:1588;top:274;width:5822;height:2" id="docshape606" filled="true" fillcolor="#000000" stroked="false">
              <v:fill type="solid"/>
            </v:rect>
            <v:shape style="position:absolute;left:1569;top:255;width:5860;height:360" id="docshape607" coordorigin="1570,256" coordsize="5860,360" path="m1589,276l1570,276,1570,616,1589,616,1589,276xm7429,256l7410,256,7410,275,7410,276,7410,616,7429,616,7429,276,7429,275,7429,256xe" filled="true" fillcolor="#3f3f3f" stroked="false">
              <v:path arrowok="t"/>
              <v:fill type="solid"/>
            </v:shape>
            <v:shape style="position:absolute;left:1588;top:276;width:5822;height:340" type="#_x0000_t202" id="docshape608" filled="false" stroked="false">
              <v:textbox inset="0,0,0,0">
                <w:txbxContent>
                  <w:p>
                    <w:pPr>
                      <w:spacing w:before="24"/>
                      <w:ind w:left="846" w:right="846" w:firstLine="0"/>
                      <w:jc w:val="center"/>
                      <w:rPr>
                        <w:rFonts w:ascii="Verdana"/>
                        <w:sz w:val="24"/>
                      </w:rPr>
                    </w:pPr>
                    <w:r>
                      <w:rPr>
                        <w:rFonts w:ascii="Verdana"/>
                        <w:color w:val="FFFFFF"/>
                        <w:sz w:val="24"/>
                      </w:rPr>
                      <w:t>Expanded</w:t>
                    </w:r>
                    <w:r>
                      <w:rPr>
                        <w:rFonts w:ascii="Verdana"/>
                        <w:color w:val="FFFFFF"/>
                        <w:spacing w:val="-14"/>
                        <w:sz w:val="24"/>
                      </w:rPr>
                      <w:t> </w:t>
                    </w:r>
                    <w:r>
                      <w:rPr>
                        <w:rFonts w:ascii="Verdana"/>
                        <w:color w:val="FFFFFF"/>
                        <w:sz w:val="24"/>
                      </w:rPr>
                      <w:t>Camarilla</w:t>
                    </w:r>
                    <w:r>
                      <w:rPr>
                        <w:rFonts w:ascii="Verdana"/>
                        <w:color w:val="FFFFFF"/>
                        <w:spacing w:val="-13"/>
                        <w:sz w:val="24"/>
                      </w:rPr>
                      <w:t> </w:t>
                    </w:r>
                    <w:r>
                      <w:rPr>
                        <w:rFonts w:ascii="Verdana"/>
                        <w:color w:val="FFFFFF"/>
                        <w:sz w:val="24"/>
                      </w:rPr>
                      <w:t>Pivot</w:t>
                    </w:r>
                    <w:r>
                      <w:rPr>
                        <w:rFonts w:ascii="Verdana"/>
                        <w:color w:val="FFFFFF"/>
                        <w:spacing w:val="-13"/>
                        <w:sz w:val="24"/>
                      </w:rPr>
                      <w:t> </w:t>
                    </w:r>
                    <w:r>
                      <w:rPr>
                        <w:rFonts w:ascii="Verdana"/>
                        <w:color w:val="FFFFFF"/>
                        <w:spacing w:val="-2"/>
                        <w:sz w:val="24"/>
                      </w:rPr>
                      <w:t>Formula</w:t>
                    </w:r>
                  </w:p>
                </w:txbxContent>
              </v:textbox>
              <w10:wrap type="none"/>
            </v:shape>
            <w10:wrap type="topAndBottom"/>
          </v:group>
        </w:pict>
      </w:r>
    </w:p>
    <w:p>
      <w:pPr>
        <w:pStyle w:val="BodyText"/>
        <w:spacing w:before="20" w:after="34"/>
        <w:ind w:left="1107"/>
        <w:rPr>
          <w:rFonts w:ascii="Tahoma" w:hAnsi="Tahoma"/>
        </w:rPr>
      </w:pPr>
      <w:r>
        <w:rPr>
          <w:rFonts w:ascii="Tahoma" w:hAnsi="Tahoma"/>
        </w:rPr>
        <w:t>H5</w:t>
      </w:r>
      <w:r>
        <w:rPr>
          <w:rFonts w:ascii="Tahoma" w:hAnsi="Tahoma"/>
          <w:spacing w:val="-7"/>
        </w:rPr>
        <w:t> </w:t>
      </w:r>
      <w:r>
        <w:rPr>
          <w:rFonts w:ascii="Tahoma" w:hAnsi="Tahoma"/>
        </w:rPr>
        <w:t>=</w:t>
      </w:r>
      <w:r>
        <w:rPr>
          <w:rFonts w:ascii="Tahoma" w:hAnsi="Tahoma"/>
          <w:spacing w:val="-6"/>
        </w:rPr>
        <w:t> </w:t>
      </w:r>
      <w:r>
        <w:rPr>
          <w:rFonts w:ascii="Tahoma" w:hAnsi="Tahoma"/>
        </w:rPr>
        <w:t>(High/Low)</w:t>
      </w:r>
      <w:r>
        <w:rPr>
          <w:rFonts w:ascii="Tahoma" w:hAnsi="Tahoma"/>
          <w:spacing w:val="-6"/>
        </w:rPr>
        <w:t> </w:t>
      </w:r>
      <w:r>
        <w:rPr>
          <w:rFonts w:ascii="Century Gothic" w:hAnsi="Century Gothic"/>
        </w:rPr>
        <w:t>×</w:t>
      </w:r>
      <w:r>
        <w:rPr>
          <w:rFonts w:ascii="Century Gothic" w:hAnsi="Century Gothic"/>
          <w:spacing w:val="3"/>
        </w:rPr>
        <w:t> </w:t>
      </w:r>
      <w:r>
        <w:rPr>
          <w:rFonts w:ascii="Tahoma" w:hAnsi="Tahoma"/>
          <w:spacing w:val="-4"/>
        </w:rPr>
        <w:t>Close</w:t>
      </w:r>
    </w:p>
    <w:p>
      <w:pPr>
        <w:pStyle w:val="BodyText"/>
        <w:spacing w:line="20" w:lineRule="exact"/>
        <w:ind w:left="999"/>
        <w:rPr>
          <w:rFonts w:ascii="Tahoma"/>
          <w:sz w:val="2"/>
        </w:rPr>
      </w:pPr>
      <w:r>
        <w:rPr>
          <w:rFonts w:ascii="Tahoma"/>
          <w:sz w:val="2"/>
        </w:rPr>
        <w:pict>
          <v:group style="width:292.05pt;height:.5pt;mso-position-horizontal-relative:char;mso-position-vertical-relative:line" id="docshapegroup609" coordorigin="0,0" coordsize="5841,10">
            <v:rect style="position:absolute;left:0;top:0;width:5841;height:10" id="docshape610" filled="true" fillcolor="#000000" stroked="false">
              <v:fill type="solid"/>
            </v:rect>
          </v:group>
        </w:pict>
      </w:r>
      <w:r>
        <w:rPr>
          <w:rFonts w:ascii="Tahoma"/>
          <w:sz w:val="2"/>
        </w:rPr>
      </w:r>
    </w:p>
    <w:p>
      <w:pPr>
        <w:pStyle w:val="BodyText"/>
        <w:spacing w:line="314" w:lineRule="auto" w:before="10"/>
        <w:ind w:left="1107" w:right="3408"/>
        <w:rPr>
          <w:rFonts w:ascii="Tahoma" w:hAnsi="Tahoma"/>
        </w:rPr>
      </w:pPr>
      <w:r>
        <w:rPr/>
        <w:pict>
          <v:rect style="position:absolute;margin-left:78.959999pt;margin-top:15.644348pt;width:292.02pt;height:.48001pt;mso-position-horizontal-relative:page;mso-position-vertical-relative:paragraph;z-index:15841280" id="docshape611" filled="true" fillcolor="#000000" stroked="false">
            <v:fill type="solid"/>
            <w10:wrap type="none"/>
          </v:rect>
        </w:pict>
      </w:r>
      <w:r>
        <w:rPr/>
        <w:pict>
          <v:rect style="position:absolute;margin-left:78.959999pt;margin-top:32.384377pt;width:292.02pt;height:.47998pt;mso-position-horizontal-relative:page;mso-position-vertical-relative:paragraph;z-index:15841792" id="docshape612" filled="true" fillcolor="#000000" stroked="false">
            <v:fill type="solid"/>
            <w10:wrap type="none"/>
          </v:rect>
        </w:pict>
      </w:r>
      <w:r>
        <w:rPr/>
        <w:pict>
          <v:rect style="position:absolute;margin-left:78.959999pt;margin-top:50.384357pt;width:292.02pt;height:.48pt;mso-position-horizontal-relative:page;mso-position-vertical-relative:paragraph;z-index:-19573248" id="docshape613" filled="true" fillcolor="#000000" stroked="false">
            <v:fill type="solid"/>
            <w10:wrap type="none"/>
          </v:rect>
        </w:pict>
      </w:r>
      <w:r>
        <w:rPr/>
        <w:pict>
          <v:rect style="position:absolute;margin-left:78.959999pt;margin-top:68.384361pt;width:292.02pt;height:.48pt;mso-position-horizontal-relative:page;mso-position-vertical-relative:paragraph;z-index:-19572736" id="docshape614" filled="true" fillcolor="#000000" stroked="false">
            <v:fill type="solid"/>
            <w10:wrap type="none"/>
          </v:rect>
        </w:pict>
      </w:r>
      <w:r>
        <w:rPr/>
        <w:pict>
          <v:rect style="position:absolute;margin-left:78.959999pt;margin-top:86.384361pt;width:292.02pt;height:.48pt;mso-position-horizontal-relative:page;mso-position-vertical-relative:paragraph;z-index:-19572224" id="docshape615" filled="true" fillcolor="#000000" stroked="false">
            <v:fill type="solid"/>
            <w10:wrap type="none"/>
          </v:rect>
        </w:pict>
      </w:r>
      <w:r>
        <w:rPr/>
        <w:pict>
          <v:rect style="position:absolute;margin-left:78.959999pt;margin-top:104.384361pt;width:292.02pt;height:.48pt;mso-position-horizontal-relative:page;mso-position-vertical-relative:paragraph;z-index:-19571712" id="docshape616" filled="true" fillcolor="#000000" stroked="false">
            <v:fill type="solid"/>
            <w10:wrap type="none"/>
          </v:rect>
        </w:pict>
      </w:r>
      <w:r>
        <w:rPr/>
        <w:pict>
          <v:rect style="position:absolute;margin-left:78.959999pt;margin-top:122.384361pt;width:292.02pt;height:.48pt;mso-position-horizontal-relative:page;mso-position-vertical-relative:paragraph;z-index:-19571200" id="docshape617" filled="true" fillcolor="#000000" stroked="false">
            <v:fill type="solid"/>
            <w10:wrap type="none"/>
          </v:rect>
        </w:pict>
      </w:r>
      <w:r>
        <w:rPr/>
        <w:pict>
          <v:rect style="position:absolute;margin-left:78.959999pt;margin-top:140.384354pt;width:292.02pt;height:.48pt;mso-position-horizontal-relative:page;mso-position-vertical-relative:paragraph;z-index:15844864" id="docshape618" filled="true" fillcolor="#000000" stroked="false">
            <v:fill type="solid"/>
            <w10:wrap type="none"/>
          </v:rect>
        </w:pict>
      </w:r>
      <w:r>
        <w:rPr>
          <w:rFonts w:ascii="Tahoma" w:hAnsi="Tahoma"/>
        </w:rPr>
        <w:t>H4 = Close + RANGE </w:t>
      </w:r>
      <w:r>
        <w:rPr>
          <w:rFonts w:ascii="Century Gothic" w:hAnsi="Century Gothic"/>
        </w:rPr>
        <w:t>× </w:t>
      </w:r>
      <w:r>
        <w:rPr>
          <w:rFonts w:ascii="Tahoma" w:hAnsi="Tahoma"/>
        </w:rPr>
        <w:t>1.1/2 H3 = Close + RANGE </w:t>
      </w:r>
      <w:r>
        <w:rPr>
          <w:rFonts w:ascii="Century Gothic" w:hAnsi="Century Gothic"/>
        </w:rPr>
        <w:t>× </w:t>
      </w:r>
      <w:r>
        <w:rPr>
          <w:rFonts w:ascii="Tahoma" w:hAnsi="Tahoma"/>
        </w:rPr>
        <w:t>1.1/4 H2 = Close + RANGE </w:t>
      </w:r>
      <w:r>
        <w:rPr>
          <w:rFonts w:ascii="Century Gothic" w:hAnsi="Century Gothic"/>
        </w:rPr>
        <w:t>× </w:t>
      </w:r>
      <w:r>
        <w:rPr>
          <w:rFonts w:ascii="Tahoma" w:hAnsi="Tahoma"/>
        </w:rPr>
        <w:t>1.1/6 H1</w:t>
      </w:r>
      <w:r>
        <w:rPr>
          <w:rFonts w:ascii="Tahoma" w:hAnsi="Tahoma"/>
          <w:spacing w:val="-7"/>
        </w:rPr>
        <w:t> </w:t>
      </w:r>
      <w:r>
        <w:rPr>
          <w:rFonts w:ascii="Tahoma" w:hAnsi="Tahoma"/>
        </w:rPr>
        <w:t>=</w:t>
      </w:r>
      <w:r>
        <w:rPr>
          <w:rFonts w:ascii="Tahoma" w:hAnsi="Tahoma"/>
          <w:spacing w:val="-7"/>
        </w:rPr>
        <w:t> </w:t>
      </w:r>
      <w:r>
        <w:rPr>
          <w:rFonts w:ascii="Tahoma" w:hAnsi="Tahoma"/>
        </w:rPr>
        <w:t>Close</w:t>
      </w:r>
      <w:r>
        <w:rPr>
          <w:rFonts w:ascii="Tahoma" w:hAnsi="Tahoma"/>
          <w:spacing w:val="-6"/>
        </w:rPr>
        <w:t> </w:t>
      </w:r>
      <w:r>
        <w:rPr>
          <w:rFonts w:ascii="Tahoma" w:hAnsi="Tahoma"/>
        </w:rPr>
        <w:t>+</w:t>
      </w:r>
      <w:r>
        <w:rPr>
          <w:rFonts w:ascii="Tahoma" w:hAnsi="Tahoma"/>
          <w:spacing w:val="-7"/>
        </w:rPr>
        <w:t> </w:t>
      </w:r>
      <w:r>
        <w:rPr>
          <w:rFonts w:ascii="Tahoma" w:hAnsi="Tahoma"/>
        </w:rPr>
        <w:t>RANGE</w:t>
      </w:r>
      <w:r>
        <w:rPr>
          <w:rFonts w:ascii="Tahoma" w:hAnsi="Tahoma"/>
          <w:spacing w:val="-8"/>
        </w:rPr>
        <w:t> </w:t>
      </w:r>
      <w:r>
        <w:rPr>
          <w:rFonts w:ascii="Century Gothic" w:hAnsi="Century Gothic"/>
        </w:rPr>
        <w:t>× </w:t>
      </w:r>
      <w:r>
        <w:rPr>
          <w:rFonts w:ascii="Tahoma" w:hAnsi="Tahoma"/>
        </w:rPr>
        <w:t>1.1/12 L1 = Close - RANGE </w:t>
      </w:r>
      <w:r>
        <w:rPr>
          <w:rFonts w:ascii="Century Gothic" w:hAnsi="Century Gothic"/>
        </w:rPr>
        <w:t>× </w:t>
      </w:r>
      <w:r>
        <w:rPr>
          <w:rFonts w:ascii="Tahoma" w:hAnsi="Tahoma"/>
        </w:rPr>
        <w:t>1.1/12 L2 = Close - RANGE </w:t>
      </w:r>
      <w:r>
        <w:rPr>
          <w:rFonts w:ascii="Century Gothic" w:hAnsi="Century Gothic"/>
        </w:rPr>
        <w:t>× </w:t>
      </w:r>
      <w:r>
        <w:rPr>
          <w:rFonts w:ascii="Tahoma" w:hAnsi="Tahoma"/>
        </w:rPr>
        <w:t>1.1/6 L3 = Close - RANGE </w:t>
      </w:r>
      <w:r>
        <w:rPr>
          <w:rFonts w:ascii="Century Gothic" w:hAnsi="Century Gothic"/>
        </w:rPr>
        <w:t>× </w:t>
      </w:r>
      <w:r>
        <w:rPr>
          <w:rFonts w:ascii="Tahoma" w:hAnsi="Tahoma"/>
        </w:rPr>
        <w:t>1.1/4 L4 = Close - RANGE </w:t>
      </w:r>
      <w:r>
        <w:rPr>
          <w:rFonts w:ascii="Century Gothic" w:hAnsi="Century Gothic"/>
        </w:rPr>
        <w:t>× </w:t>
      </w:r>
      <w:r>
        <w:rPr>
          <w:rFonts w:ascii="Tahoma" w:hAnsi="Tahoma"/>
        </w:rPr>
        <w:t>1.1/2</w:t>
      </w:r>
    </w:p>
    <w:p>
      <w:pPr>
        <w:pStyle w:val="BodyText"/>
        <w:spacing w:before="22"/>
        <w:ind w:left="1107"/>
        <w:rPr>
          <w:rFonts w:ascii="Tahoma"/>
        </w:rPr>
      </w:pPr>
      <w:r>
        <w:rPr/>
        <w:pict>
          <v:rect style="position:absolute;margin-left:78.239998pt;margin-top:16.545378pt;width:292.74pt;height:.48pt;mso-position-horizontal-relative:page;mso-position-vertical-relative:paragraph;z-index:-15616512;mso-wrap-distance-left:0;mso-wrap-distance-right:0" id="docshape619" filled="true" fillcolor="#000000" stroked="false">
            <v:fill type="solid"/>
            <w10:wrap type="topAndBottom"/>
          </v:rect>
        </w:pict>
      </w:r>
      <w:r>
        <w:rPr>
          <w:rFonts w:ascii="Tahoma"/>
        </w:rPr>
        <w:t>L5</w:t>
      </w:r>
      <w:r>
        <w:rPr>
          <w:rFonts w:ascii="Tahoma"/>
          <w:spacing w:val="-4"/>
        </w:rPr>
        <w:t> </w:t>
      </w:r>
      <w:r>
        <w:rPr>
          <w:rFonts w:ascii="Tahoma"/>
        </w:rPr>
        <w:t>=</w:t>
      </w:r>
      <w:r>
        <w:rPr>
          <w:rFonts w:ascii="Tahoma"/>
          <w:spacing w:val="-3"/>
        </w:rPr>
        <w:t> </w:t>
      </w:r>
      <w:r>
        <w:rPr>
          <w:rFonts w:ascii="Tahoma"/>
        </w:rPr>
        <w:t>Close</w:t>
      </w:r>
      <w:r>
        <w:rPr>
          <w:rFonts w:ascii="Tahoma"/>
          <w:spacing w:val="-2"/>
        </w:rPr>
        <w:t> </w:t>
      </w:r>
      <w:r>
        <w:rPr>
          <w:rFonts w:ascii="Tahoma"/>
        </w:rPr>
        <w:t>-</w:t>
      </w:r>
      <w:r>
        <w:rPr>
          <w:rFonts w:ascii="Tahoma"/>
          <w:spacing w:val="-2"/>
        </w:rPr>
        <w:t> </w:t>
      </w:r>
      <w:r>
        <w:rPr>
          <w:rFonts w:ascii="Tahoma"/>
        </w:rPr>
        <w:t>(H5</w:t>
      </w:r>
      <w:r>
        <w:rPr>
          <w:rFonts w:ascii="Tahoma"/>
          <w:spacing w:val="-4"/>
        </w:rPr>
        <w:t> </w:t>
      </w:r>
      <w:r>
        <w:rPr>
          <w:rFonts w:ascii="Tahoma"/>
        </w:rPr>
        <w:t>-</w:t>
      </w:r>
      <w:r>
        <w:rPr>
          <w:rFonts w:ascii="Tahoma"/>
          <w:spacing w:val="-2"/>
        </w:rPr>
        <w:t> Close)</w:t>
      </w:r>
    </w:p>
    <w:p>
      <w:pPr>
        <w:spacing w:before="0"/>
        <w:ind w:left="989" w:right="0" w:firstLine="0"/>
        <w:jc w:val="left"/>
        <w:rPr>
          <w:sz w:val="16"/>
        </w:rPr>
      </w:pPr>
      <w:r>
        <w:rPr>
          <w:sz w:val="16"/>
        </w:rPr>
        <w:t>TABLE</w:t>
      </w:r>
      <w:r>
        <w:rPr>
          <w:spacing w:val="10"/>
          <w:sz w:val="16"/>
        </w:rPr>
        <w:t> </w:t>
      </w:r>
      <w:r>
        <w:rPr>
          <w:sz w:val="16"/>
        </w:rPr>
        <w:t>7.2:</w:t>
      </w:r>
      <w:r>
        <w:rPr>
          <w:spacing w:val="10"/>
          <w:sz w:val="16"/>
        </w:rPr>
        <w:t> </w:t>
      </w:r>
      <w:r>
        <w:rPr>
          <w:sz w:val="16"/>
        </w:rPr>
        <w:t>Expanded</w:t>
      </w:r>
      <w:r>
        <w:rPr>
          <w:spacing w:val="11"/>
          <w:sz w:val="16"/>
        </w:rPr>
        <w:t> </w:t>
      </w:r>
      <w:r>
        <w:rPr>
          <w:spacing w:val="-2"/>
          <w:sz w:val="16"/>
        </w:rPr>
        <w:t>Formula</w:t>
      </w:r>
    </w:p>
    <w:p>
      <w:pPr>
        <w:spacing w:after="0"/>
        <w:jc w:val="left"/>
        <w:rPr>
          <w:sz w:val="16"/>
        </w:rPr>
        <w:sectPr>
          <w:pgSz w:w="8640" w:h="12960"/>
          <w:pgMar w:header="536" w:footer="1060" w:top="720" w:bottom="1260" w:left="580" w:right="580"/>
        </w:sectPr>
      </w:pPr>
    </w:p>
    <w:p>
      <w:pPr>
        <w:pStyle w:val="BodyText"/>
        <w:spacing w:before="2" w:after="1"/>
        <w:rPr>
          <w:sz w:val="23"/>
        </w:rPr>
      </w:pPr>
      <w:r>
        <w:rPr/>
        <w:pict>
          <v:line style="position:absolute;mso-position-horizontal-relative:page;mso-position-vertical-relative:page;z-index:-19570176" from="199.199997pt,93.360001pt" to="324.179997pt,93.360001pt" stroked="true" strokeweight="1.5pt" strokecolor="#000000">
            <v:stroke dashstyle="solid"/>
            <w10:wrap type="none"/>
          </v:line>
        </w:pict>
      </w:r>
      <w:r>
        <w:rPr/>
        <w:pict>
          <v:line style="position:absolute;mso-position-horizontal-relative:page;mso-position-vertical-relative:page;z-index:-19569152" from="199.199997pt,131.699997pt" to="324.179997pt,131.699997pt" stroked="true" strokeweight="1.5pt" strokecolor="#000000">
            <v:stroke dashstyle="solid"/>
            <w10:wrap type="none"/>
          </v:line>
        </w:pict>
      </w:r>
      <w:r>
        <w:rPr/>
        <w:pict>
          <v:line style="position:absolute;mso-position-horizontal-relative:page;mso-position-vertical-relative:page;z-index:-19568640" from="199.199997pt,154.199997pt" to="324.179997pt,154.199997pt" stroked="true" strokeweight="1.5pt" strokecolor="#000000">
            <v:stroke dashstyle="solid"/>
            <w10:wrap type="none"/>
          </v:line>
        </w:pict>
      </w: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7"/>
        <w:gridCol w:w="3669"/>
      </w:tblGrid>
      <w:tr>
        <w:trPr>
          <w:trHeight w:val="498" w:hRule="atLeast"/>
        </w:trPr>
        <w:tc>
          <w:tcPr>
            <w:tcW w:w="5786" w:type="dxa"/>
            <w:gridSpan w:val="2"/>
            <w:tcBorders>
              <w:left w:val="single" w:sz="8" w:space="0" w:color="000000"/>
              <w:bottom w:val="single" w:sz="6" w:space="0" w:color="000000"/>
              <w:right w:val="single" w:sz="8" w:space="0" w:color="000000"/>
            </w:tcBorders>
            <w:shd w:val="clear" w:color="auto" w:fill="000000"/>
          </w:tcPr>
          <w:p>
            <w:pPr>
              <w:pStyle w:val="TableParagraph"/>
              <w:spacing w:before="91"/>
              <w:ind w:left="1009"/>
              <w:rPr>
                <w:rFonts w:ascii="Verdana"/>
                <w:sz w:val="28"/>
              </w:rPr>
            </w:pPr>
            <w:r>
              <w:rPr>
                <w:rFonts w:ascii="Verdana"/>
                <w:color w:val="FFFFFF"/>
                <w:sz w:val="28"/>
              </w:rPr>
              <w:t>Expanded</w:t>
            </w:r>
            <w:r>
              <w:rPr>
                <w:rFonts w:ascii="Verdana"/>
                <w:color w:val="FFFFFF"/>
                <w:spacing w:val="-16"/>
                <w:sz w:val="28"/>
              </w:rPr>
              <w:t> </w:t>
            </w:r>
            <w:r>
              <w:rPr>
                <w:rFonts w:ascii="Verdana"/>
                <w:color w:val="FFFFFF"/>
                <w:sz w:val="28"/>
              </w:rPr>
              <w:t>Camarilla</w:t>
            </w:r>
            <w:r>
              <w:rPr>
                <w:rFonts w:ascii="Verdana"/>
                <w:color w:val="FFFFFF"/>
                <w:spacing w:val="-17"/>
                <w:sz w:val="28"/>
              </w:rPr>
              <w:t> </w:t>
            </w:r>
            <w:r>
              <w:rPr>
                <w:rFonts w:ascii="Verdana"/>
                <w:color w:val="FFFFFF"/>
                <w:spacing w:val="-2"/>
                <w:sz w:val="28"/>
              </w:rPr>
              <w:t>Levels</w:t>
            </w:r>
          </w:p>
        </w:tc>
      </w:tr>
      <w:tr>
        <w:trPr>
          <w:trHeight w:val="710" w:hRule="atLeast"/>
        </w:trPr>
        <w:tc>
          <w:tcPr>
            <w:tcW w:w="2117" w:type="dxa"/>
            <w:tcBorders>
              <w:top w:val="single" w:sz="6" w:space="0" w:color="000000"/>
              <w:left w:val="single" w:sz="6" w:space="0" w:color="000000"/>
            </w:tcBorders>
          </w:tcPr>
          <w:p>
            <w:pPr>
              <w:pStyle w:val="TableParagraph"/>
              <w:spacing w:before="4"/>
              <w:rPr>
                <w:rFonts w:ascii="Times New Roman"/>
                <w:sz w:val="17"/>
              </w:rPr>
            </w:pPr>
          </w:p>
          <w:p>
            <w:pPr>
              <w:pStyle w:val="TableParagraph"/>
              <w:ind w:right="85"/>
              <w:jc w:val="right"/>
              <w:rPr>
                <w:sz w:val="20"/>
              </w:rPr>
            </w:pPr>
            <w:r>
              <w:rPr>
                <w:sz w:val="20"/>
              </w:rPr>
              <w:t>Breakout</w:t>
            </w:r>
            <w:r>
              <w:rPr>
                <w:spacing w:val="-4"/>
                <w:sz w:val="20"/>
              </w:rPr>
              <w:t> </w:t>
            </w:r>
            <w:r>
              <w:rPr>
                <w:spacing w:val="-2"/>
                <w:sz w:val="20"/>
              </w:rPr>
              <w:t>Target</w:t>
            </w:r>
          </w:p>
        </w:tc>
        <w:tc>
          <w:tcPr>
            <w:tcW w:w="3669" w:type="dxa"/>
            <w:tcBorders>
              <w:top w:val="single" w:sz="6" w:space="0" w:color="000000"/>
              <w:right w:val="single" w:sz="6" w:space="0" w:color="000000"/>
            </w:tcBorders>
          </w:tcPr>
          <w:p>
            <w:pPr>
              <w:pStyle w:val="TableParagraph"/>
              <w:spacing w:before="4"/>
              <w:rPr>
                <w:rFonts w:ascii="Times New Roman"/>
                <w:sz w:val="17"/>
              </w:rPr>
            </w:pPr>
          </w:p>
          <w:p>
            <w:pPr>
              <w:pStyle w:val="TableParagraph"/>
              <w:ind w:left="101"/>
              <w:rPr>
                <w:sz w:val="20"/>
              </w:rPr>
            </w:pPr>
            <w:r>
              <w:rPr>
                <w:spacing w:val="-5"/>
                <w:sz w:val="20"/>
              </w:rPr>
              <w:t>H5</w:t>
            </w:r>
          </w:p>
        </w:tc>
      </w:tr>
      <w:tr>
        <w:trPr>
          <w:trHeight w:val="600" w:hRule="atLeast"/>
        </w:trPr>
        <w:tc>
          <w:tcPr>
            <w:tcW w:w="2117" w:type="dxa"/>
            <w:tcBorders>
              <w:left w:val="single" w:sz="6" w:space="0" w:color="000000"/>
            </w:tcBorders>
          </w:tcPr>
          <w:p>
            <w:pPr>
              <w:pStyle w:val="TableParagraph"/>
              <w:spacing w:before="6"/>
              <w:rPr>
                <w:rFonts w:ascii="Times New Roman"/>
                <w:sz w:val="21"/>
              </w:rPr>
            </w:pPr>
          </w:p>
          <w:p>
            <w:pPr>
              <w:pStyle w:val="TableParagraph"/>
              <w:ind w:right="84"/>
              <w:jc w:val="right"/>
              <w:rPr>
                <w:sz w:val="20"/>
              </w:rPr>
            </w:pPr>
            <w:r>
              <w:rPr>
                <w:sz w:val="20"/>
              </w:rPr>
              <w:t>Bullish </w:t>
            </w:r>
            <w:r>
              <w:rPr>
                <w:spacing w:val="-2"/>
                <w:sz w:val="20"/>
              </w:rPr>
              <w:t>Breakout</w:t>
            </w:r>
          </w:p>
        </w:tc>
        <w:tc>
          <w:tcPr>
            <w:tcW w:w="3669" w:type="dxa"/>
            <w:tcBorders>
              <w:right w:val="single" w:sz="6" w:space="0" w:color="000000"/>
            </w:tcBorders>
          </w:tcPr>
          <w:p>
            <w:pPr>
              <w:pStyle w:val="TableParagraph"/>
              <w:spacing w:before="6"/>
              <w:rPr>
                <w:rFonts w:ascii="Times New Roman"/>
                <w:sz w:val="21"/>
              </w:rPr>
            </w:pPr>
          </w:p>
          <w:p>
            <w:pPr>
              <w:pStyle w:val="TableParagraph"/>
              <w:ind w:left="101"/>
              <w:rPr>
                <w:sz w:val="20"/>
              </w:rPr>
            </w:pPr>
            <w:r>
              <w:rPr>
                <w:spacing w:val="-5"/>
                <w:sz w:val="20"/>
              </w:rPr>
              <w:t>H4</w:t>
            </w:r>
          </w:p>
        </w:tc>
      </w:tr>
      <w:tr>
        <w:trPr>
          <w:trHeight w:val="615" w:hRule="atLeast"/>
        </w:trPr>
        <w:tc>
          <w:tcPr>
            <w:tcW w:w="2117" w:type="dxa"/>
            <w:tcBorders>
              <w:left w:val="single" w:sz="6" w:space="0" w:color="000000"/>
            </w:tcBorders>
          </w:tcPr>
          <w:p>
            <w:pPr>
              <w:pStyle w:val="TableParagraph"/>
              <w:spacing w:before="90"/>
              <w:ind w:right="84"/>
              <w:jc w:val="right"/>
              <w:rPr>
                <w:sz w:val="20"/>
              </w:rPr>
            </w:pPr>
            <w:r>
              <w:rPr>
                <w:sz w:val="20"/>
              </w:rPr>
              <w:t>Sell</w:t>
            </w:r>
            <w:r>
              <w:rPr>
                <w:spacing w:val="-4"/>
                <w:sz w:val="20"/>
              </w:rPr>
              <w:t> </w:t>
            </w:r>
            <w:r>
              <w:rPr>
                <w:spacing w:val="-2"/>
                <w:sz w:val="20"/>
              </w:rPr>
              <w:t>Reversal</w:t>
            </w:r>
          </w:p>
        </w:tc>
        <w:tc>
          <w:tcPr>
            <w:tcW w:w="3669" w:type="dxa"/>
            <w:tcBorders>
              <w:right w:val="single" w:sz="6" w:space="0" w:color="000000"/>
            </w:tcBorders>
          </w:tcPr>
          <w:p>
            <w:pPr>
              <w:pStyle w:val="TableParagraph"/>
              <w:spacing w:before="90"/>
              <w:ind w:left="101"/>
              <w:rPr>
                <w:sz w:val="20"/>
              </w:rPr>
            </w:pPr>
            <w:r>
              <w:rPr>
                <w:spacing w:val="-5"/>
                <w:sz w:val="20"/>
              </w:rPr>
              <w:t>H3</w:t>
            </w:r>
          </w:p>
        </w:tc>
      </w:tr>
      <w:tr>
        <w:trPr>
          <w:trHeight w:val="608" w:hRule="atLeast"/>
        </w:trPr>
        <w:tc>
          <w:tcPr>
            <w:tcW w:w="2117" w:type="dxa"/>
            <w:tcBorders>
              <w:left w:val="single" w:sz="6" w:space="0" w:color="000000"/>
            </w:tcBorders>
          </w:tcPr>
          <w:p>
            <w:pPr>
              <w:pStyle w:val="TableParagraph"/>
              <w:spacing w:before="9"/>
              <w:rPr>
                <w:rFonts w:ascii="Times New Roman"/>
                <w:sz w:val="22"/>
              </w:rPr>
            </w:pPr>
          </w:p>
          <w:p>
            <w:pPr>
              <w:pStyle w:val="TableParagraph"/>
              <w:ind w:right="83"/>
              <w:jc w:val="right"/>
              <w:rPr>
                <w:sz w:val="20"/>
              </w:rPr>
            </w:pPr>
            <w:r>
              <w:rPr>
                <w:sz w:val="20"/>
              </w:rPr>
              <w:t>Buy</w:t>
            </w:r>
            <w:r>
              <w:rPr>
                <w:spacing w:val="-4"/>
                <w:sz w:val="20"/>
              </w:rPr>
              <w:t> </w:t>
            </w:r>
            <w:r>
              <w:rPr>
                <w:spacing w:val="-2"/>
                <w:sz w:val="20"/>
              </w:rPr>
              <w:t>Reversal</w:t>
            </w:r>
          </w:p>
        </w:tc>
        <w:tc>
          <w:tcPr>
            <w:tcW w:w="3669" w:type="dxa"/>
            <w:tcBorders>
              <w:right w:val="single" w:sz="6" w:space="0" w:color="000000"/>
            </w:tcBorders>
          </w:tcPr>
          <w:p>
            <w:pPr>
              <w:pStyle w:val="TableParagraph"/>
              <w:spacing w:before="9"/>
              <w:rPr>
                <w:rFonts w:ascii="Times New Roman"/>
                <w:sz w:val="22"/>
              </w:rPr>
            </w:pPr>
          </w:p>
          <w:p>
            <w:pPr>
              <w:pStyle w:val="TableParagraph"/>
              <w:ind w:left="101"/>
              <w:rPr>
                <w:sz w:val="20"/>
              </w:rPr>
            </w:pPr>
            <w:r>
              <w:rPr>
                <w:spacing w:val="-5"/>
                <w:sz w:val="20"/>
              </w:rPr>
              <w:t>L3</w:t>
            </w:r>
          </w:p>
        </w:tc>
      </w:tr>
      <w:tr>
        <w:trPr>
          <w:trHeight w:val="586" w:hRule="atLeast"/>
        </w:trPr>
        <w:tc>
          <w:tcPr>
            <w:tcW w:w="2117" w:type="dxa"/>
            <w:tcBorders>
              <w:left w:val="single" w:sz="6" w:space="0" w:color="000000"/>
            </w:tcBorders>
          </w:tcPr>
          <w:p>
            <w:pPr>
              <w:pStyle w:val="TableParagraph"/>
              <w:spacing w:before="82"/>
              <w:ind w:right="84"/>
              <w:jc w:val="right"/>
              <w:rPr>
                <w:sz w:val="20"/>
              </w:rPr>
            </w:pPr>
            <w:r>
              <w:rPr>
                <w:sz w:val="20"/>
              </w:rPr>
              <w:t>Bearish</w:t>
            </w:r>
            <w:r>
              <w:rPr>
                <w:spacing w:val="-2"/>
                <w:sz w:val="20"/>
              </w:rPr>
              <w:t> Breakout</w:t>
            </w:r>
          </w:p>
        </w:tc>
        <w:tc>
          <w:tcPr>
            <w:tcW w:w="3669" w:type="dxa"/>
            <w:tcBorders>
              <w:right w:val="single" w:sz="6" w:space="0" w:color="000000"/>
            </w:tcBorders>
          </w:tcPr>
          <w:p>
            <w:pPr>
              <w:pStyle w:val="TableParagraph"/>
              <w:spacing w:before="82"/>
              <w:ind w:left="101"/>
              <w:rPr>
                <w:sz w:val="20"/>
              </w:rPr>
            </w:pPr>
            <w:r>
              <w:rPr>
                <w:spacing w:val="-5"/>
                <w:sz w:val="20"/>
              </w:rPr>
              <w:t>L4</w:t>
            </w:r>
          </w:p>
        </w:tc>
      </w:tr>
      <w:tr>
        <w:trPr>
          <w:trHeight w:val="602" w:hRule="atLeast"/>
        </w:trPr>
        <w:tc>
          <w:tcPr>
            <w:tcW w:w="2117" w:type="dxa"/>
            <w:tcBorders>
              <w:left w:val="single" w:sz="6" w:space="0" w:color="000000"/>
              <w:bottom w:val="single" w:sz="6" w:space="0" w:color="000000"/>
            </w:tcBorders>
          </w:tcPr>
          <w:p>
            <w:pPr>
              <w:pStyle w:val="TableParagraph"/>
              <w:spacing w:before="10"/>
              <w:rPr>
                <w:rFonts w:ascii="Times New Roman"/>
                <w:sz w:val="20"/>
              </w:rPr>
            </w:pPr>
          </w:p>
          <w:p>
            <w:pPr>
              <w:pStyle w:val="TableParagraph"/>
              <w:ind w:right="83"/>
              <w:jc w:val="right"/>
              <w:rPr>
                <w:sz w:val="20"/>
              </w:rPr>
            </w:pPr>
            <w:r>
              <w:rPr>
                <w:sz w:val="20"/>
              </w:rPr>
              <w:t>Breakout</w:t>
            </w:r>
            <w:r>
              <w:rPr>
                <w:spacing w:val="-4"/>
                <w:sz w:val="20"/>
              </w:rPr>
              <w:t> </w:t>
            </w:r>
            <w:r>
              <w:rPr>
                <w:spacing w:val="-2"/>
                <w:sz w:val="20"/>
              </w:rPr>
              <w:t>Target</w:t>
            </w:r>
          </w:p>
        </w:tc>
        <w:tc>
          <w:tcPr>
            <w:tcW w:w="3669" w:type="dxa"/>
            <w:tcBorders>
              <w:bottom w:val="single" w:sz="6" w:space="0" w:color="000000"/>
              <w:right w:val="single" w:sz="6" w:space="0" w:color="000000"/>
            </w:tcBorders>
          </w:tcPr>
          <w:p>
            <w:pPr>
              <w:pStyle w:val="TableParagraph"/>
              <w:spacing w:before="9"/>
              <w:rPr>
                <w:rFonts w:ascii="Times New Roman"/>
                <w:sz w:val="21"/>
              </w:rPr>
            </w:pPr>
          </w:p>
          <w:p>
            <w:pPr>
              <w:pStyle w:val="TableParagraph"/>
              <w:ind w:left="101"/>
              <w:rPr>
                <w:sz w:val="20"/>
              </w:rPr>
            </w:pPr>
            <w:r>
              <w:rPr>
                <w:spacing w:val="-5"/>
                <w:sz w:val="20"/>
              </w:rPr>
              <w:t>L5</w:t>
            </w:r>
          </w:p>
        </w:tc>
      </w:tr>
    </w:tbl>
    <w:p>
      <w:pPr>
        <w:spacing w:before="20"/>
        <w:ind w:left="629" w:right="0" w:firstLine="0"/>
        <w:jc w:val="left"/>
        <w:rPr>
          <w:sz w:val="16"/>
        </w:rPr>
      </w:pPr>
      <w:r>
        <w:rPr/>
        <w:pict>
          <v:line style="position:absolute;mso-position-horizontal-relative:page;mso-position-vertical-relative:paragraph;z-index:-19569664" from="199.199997pt,-12.711238pt" to="324.179997pt,-12.711238pt" stroked="true" strokeweight="1.5pt" strokecolor="#000000">
            <v:stroke dashstyle="solid"/>
            <w10:wrap type="none"/>
          </v:line>
        </w:pict>
      </w:r>
      <w:r>
        <w:rPr/>
        <w:pict>
          <v:line style="position:absolute;mso-position-horizontal-relative:page;mso-position-vertical-relative:paragraph;z-index:-19568128" from="199.199997pt,-50.571239pt" to="324.179997pt,-50.571239pt" stroked="true" strokeweight="1.5pt" strokecolor="#000000">
            <v:stroke dashstyle="solid"/>
            <w10:wrap type="none"/>
          </v:line>
        </w:pict>
      </w:r>
      <w:r>
        <w:rPr/>
        <w:pict>
          <v:line style="position:absolute;mso-position-horizontal-relative:page;mso-position-vertical-relative:paragraph;z-index:-19567616" from="199.199997pt,-71.09124pt" to="324.179997pt,-71.09124pt" stroked="true" strokeweight="1.5pt" strokecolor="#000000">
            <v:stroke dashstyle="solid"/>
            <w10:wrap type="none"/>
          </v:line>
        </w:pict>
      </w:r>
      <w:r>
        <w:rPr>
          <w:sz w:val="16"/>
        </w:rPr>
        <w:t>FIGURE</w:t>
      </w:r>
      <w:r>
        <w:rPr>
          <w:spacing w:val="-1"/>
          <w:sz w:val="16"/>
        </w:rPr>
        <w:t> </w:t>
      </w:r>
      <w:r>
        <w:rPr>
          <w:sz w:val="16"/>
        </w:rPr>
        <w:t>7.2:</w:t>
      </w:r>
      <w:r>
        <w:rPr>
          <w:spacing w:val="1"/>
          <w:sz w:val="16"/>
        </w:rPr>
        <w:t> </w:t>
      </w:r>
      <w:r>
        <w:rPr>
          <w:sz w:val="16"/>
        </w:rPr>
        <w:t>The</w:t>
      </w:r>
      <w:r>
        <w:rPr>
          <w:spacing w:val="1"/>
          <w:sz w:val="16"/>
        </w:rPr>
        <w:t> </w:t>
      </w:r>
      <w:r>
        <w:rPr>
          <w:sz w:val="16"/>
        </w:rPr>
        <w:t>Expanded Camarilla levels, with first and second layers </w:t>
      </w:r>
      <w:r>
        <w:rPr>
          <w:spacing w:val="-2"/>
          <w:sz w:val="16"/>
        </w:rPr>
        <w:t>ignored</w:t>
      </w:r>
    </w:p>
    <w:p>
      <w:pPr>
        <w:pStyle w:val="BodyText"/>
        <w:spacing w:before="2"/>
      </w:pPr>
    </w:p>
    <w:p>
      <w:pPr>
        <w:pStyle w:val="BodyText"/>
        <w:ind w:left="140" w:right="495" w:firstLine="432"/>
        <w:jc w:val="both"/>
      </w:pPr>
      <w:r>
        <w:rPr/>
        <w:t>Figure 7.2 illustrates the expanded Camarilla levels, which I will</w:t>
      </w:r>
      <w:r>
        <w:rPr>
          <w:spacing w:val="-1"/>
        </w:rPr>
        <w:t> </w:t>
      </w:r>
      <w:r>
        <w:rPr/>
        <w:t>use the remainder of the book. This graphic shows each key Camarilla level and also includes the actions to be taken at each pivot. Remember, the third layer of the indicator is where the market is likely to reverse due to responsive</w:t>
      </w:r>
      <w:r>
        <w:rPr>
          <w:spacing w:val="40"/>
        </w:rPr>
        <w:t> </w:t>
      </w:r>
      <w:r>
        <w:rPr/>
        <w:t>parties, the fourth layer is where breakouts are likely to occur due to</w:t>
      </w:r>
      <w:r>
        <w:rPr>
          <w:spacing w:val="80"/>
        </w:rPr>
        <w:t> </w:t>
      </w:r>
      <w:r>
        <w:rPr/>
        <w:t>initiative parties, and the fifth layer serves as a target should a break occur through the fourth layer.</w:t>
      </w:r>
    </w:p>
    <w:p>
      <w:pPr>
        <w:pStyle w:val="BodyText"/>
        <w:ind w:left="140" w:right="496" w:firstLine="432"/>
        <w:jc w:val="both"/>
      </w:pPr>
      <w:r>
        <w:rPr/>
        <w:t>Let’s take a brief look at the pivots in Figure 7.3, which is a five-minute chart of Heating Oil futures. Only the third layer of the pivots is visible in</w:t>
      </w:r>
      <w:r>
        <w:rPr>
          <w:spacing w:val="40"/>
        </w:rPr>
        <w:t> </w:t>
      </w:r>
      <w:r>
        <w:rPr/>
        <w:t>this chart. However, this layer is typically the most watched and most important layer of the equation. Notice how Heating Oil reacted cleanly off L3 and H3 throughout the day, making three great passes between the levels. Traders were clearly honed in to the reversal zones highlighted by this equation, which proved highly profitable on this day. As with the Floor</w:t>
      </w:r>
      <w:r>
        <w:rPr>
          <w:spacing w:val="40"/>
        </w:rPr>
        <w:t> </w:t>
      </w:r>
      <w:r>
        <w:rPr/>
        <w:t>Pivots in our prior chapters, the reactions at these key pivot levels can be simply amazing. In a time when the market can be all over the map in terms of volatility, these levels can provide a sense of calm while navigating the high seas of the market.</w:t>
      </w:r>
    </w:p>
    <w:p>
      <w:pPr>
        <w:spacing w:after="0"/>
        <w:jc w:val="both"/>
        <w:sectPr>
          <w:pgSz w:w="8640" w:h="12960"/>
          <w:pgMar w:header="579" w:footer="997"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97" cy="3094672"/>
            <wp:effectExtent l="0" t="0" r="0" b="0"/>
            <wp:docPr id="209" name="image106.png"/>
            <wp:cNvGraphicFramePr>
              <a:graphicFrameLocks noChangeAspect="1"/>
            </wp:cNvGraphicFramePr>
            <a:graphic>
              <a:graphicData uri="http://schemas.openxmlformats.org/drawingml/2006/picture">
                <pic:pic>
                  <pic:nvPicPr>
                    <pic:cNvPr id="210" name="image106.png"/>
                    <pic:cNvPicPr/>
                  </pic:nvPicPr>
                  <pic:blipFill>
                    <a:blip r:embed="rId224" cstate="print"/>
                    <a:stretch>
                      <a:fillRect/>
                    </a:stretch>
                  </pic:blipFill>
                  <pic:spPr>
                    <a:xfrm>
                      <a:off x="0" y="0"/>
                      <a:ext cx="4304897" cy="3094672"/>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7.3:</w:t>
      </w:r>
      <w:r>
        <w:rPr>
          <w:spacing w:val="4"/>
          <w:sz w:val="16"/>
        </w:rPr>
        <w:t> </w:t>
      </w:r>
      <w:r>
        <w:rPr>
          <w:sz w:val="16"/>
        </w:rPr>
        <w:t>Heating</w:t>
      </w:r>
      <w:r>
        <w:rPr>
          <w:spacing w:val="2"/>
          <w:sz w:val="16"/>
        </w:rPr>
        <w:t> </w:t>
      </w:r>
      <w:r>
        <w:rPr>
          <w:sz w:val="16"/>
        </w:rPr>
        <w:t>Oil</w:t>
      </w:r>
      <w:r>
        <w:rPr>
          <w:spacing w:val="2"/>
          <w:sz w:val="16"/>
        </w:rPr>
        <w:t> </w:t>
      </w:r>
      <w:r>
        <w:rPr>
          <w:sz w:val="16"/>
        </w:rPr>
        <w:t>reacts</w:t>
      </w:r>
      <w:r>
        <w:rPr>
          <w:spacing w:val="3"/>
          <w:sz w:val="16"/>
        </w:rPr>
        <w:t> </w:t>
      </w:r>
      <w:r>
        <w:rPr>
          <w:sz w:val="16"/>
        </w:rPr>
        <w:t>to</w:t>
      </w:r>
      <w:r>
        <w:rPr>
          <w:spacing w:val="2"/>
          <w:sz w:val="16"/>
        </w:rPr>
        <w:t> </w:t>
      </w:r>
      <w:r>
        <w:rPr>
          <w:sz w:val="16"/>
        </w:rPr>
        <w:t>Camarilla</w:t>
      </w:r>
      <w:r>
        <w:rPr>
          <w:spacing w:val="2"/>
          <w:sz w:val="16"/>
        </w:rPr>
        <w:t> </w:t>
      </w:r>
      <w:r>
        <w:rPr>
          <w:sz w:val="16"/>
        </w:rPr>
        <w:t>pivot</w:t>
      </w:r>
      <w:r>
        <w:rPr>
          <w:spacing w:val="2"/>
          <w:sz w:val="16"/>
        </w:rPr>
        <w:t> </w:t>
      </w:r>
      <w:r>
        <w:rPr>
          <w:spacing w:val="-2"/>
          <w:sz w:val="16"/>
        </w:rPr>
        <w:t>levels</w:t>
      </w:r>
    </w:p>
    <w:p>
      <w:pPr>
        <w:pStyle w:val="BodyText"/>
        <w:spacing w:before="1"/>
      </w:pPr>
    </w:p>
    <w:p>
      <w:pPr>
        <w:pStyle w:val="Heading3"/>
        <w:spacing w:before="1"/>
        <w:ind w:left="500"/>
      </w:pPr>
      <w:r>
        <w:rPr/>
        <w:pict>
          <v:shape style="position:absolute;margin-left:53.82pt;margin-top:17.260326pt;width:340.95pt;height:.1pt;mso-position-horizontal-relative:page;mso-position-vertical-relative:paragraph;z-index:-15608832;mso-wrap-distance-left:0;mso-wrap-distance-right:0" id="docshape620" coordorigin="1076,345" coordsize="6819,0" path="m1076,345l7895,345e" filled="false" stroked="true" strokeweight=".75pt" strokecolor="#000000">
            <v:path arrowok="t"/>
            <v:stroke dashstyle="solid"/>
            <w10:wrap type="topAndBottom"/>
          </v:shape>
        </w:pict>
      </w:r>
      <w:bookmarkStart w:name="_TOC_250031" w:id="60"/>
      <w:r>
        <w:rPr>
          <w:smallCaps/>
          <w:spacing w:val="-2"/>
        </w:rPr>
        <w:t>The</w:t>
      </w:r>
      <w:r>
        <w:rPr>
          <w:smallCaps/>
          <w:spacing w:val="-8"/>
        </w:rPr>
        <w:t> </w:t>
      </w:r>
      <w:r>
        <w:rPr>
          <w:smallCaps/>
          <w:spacing w:val="-2"/>
        </w:rPr>
        <w:t>Standard</w:t>
      </w:r>
      <w:r>
        <w:rPr>
          <w:smallCaps/>
          <w:spacing w:val="-7"/>
        </w:rPr>
        <w:t> </w:t>
      </w:r>
      <w:r>
        <w:rPr>
          <w:smallCaps/>
          <w:spacing w:val="-2"/>
        </w:rPr>
        <w:t>Third</w:t>
      </w:r>
      <w:r>
        <w:rPr>
          <w:smallCaps/>
          <w:spacing w:val="-7"/>
        </w:rPr>
        <w:t> </w:t>
      </w:r>
      <w:r>
        <w:rPr>
          <w:smallCaps/>
          <w:spacing w:val="-2"/>
        </w:rPr>
        <w:t>Layer</w:t>
      </w:r>
      <w:r>
        <w:rPr>
          <w:smallCaps/>
          <w:spacing w:val="-7"/>
        </w:rPr>
        <w:t> </w:t>
      </w:r>
      <w:bookmarkEnd w:id="60"/>
      <w:r>
        <w:rPr>
          <w:smallCaps/>
          <w:spacing w:val="-2"/>
        </w:rPr>
        <w:t>Reversal</w:t>
      </w:r>
    </w:p>
    <w:p>
      <w:pPr>
        <w:pStyle w:val="BodyText"/>
        <w:spacing w:before="224"/>
        <w:ind w:left="500" w:right="135" w:firstLine="432"/>
        <w:jc w:val="both"/>
      </w:pPr>
      <w:r>
        <w:rPr/>
        <w:t>The Camarilla Equation is like a built-in trading system, complete with entries, stops, and targets all built into one indicator. In this section, I will break down the conventional methods of using the Camarilla Equation in your trading. In Chapter 9, I will discuss more advanced trading techniques using this indicator. First, however, we need a Camarilla primer.</w:t>
      </w:r>
    </w:p>
    <w:p>
      <w:pPr>
        <w:pStyle w:val="BodyText"/>
        <w:ind w:left="500" w:right="135" w:firstLine="432"/>
        <w:jc w:val="both"/>
      </w:pPr>
      <w:r>
        <w:rPr/>
        <w:t>There are two basic setups that the Camarilla Equation offers: two reversal</w:t>
      </w:r>
      <w:r>
        <w:rPr>
          <w:spacing w:val="-2"/>
        </w:rPr>
        <w:t> </w:t>
      </w:r>
      <w:r>
        <w:rPr/>
        <w:t>plays,</w:t>
      </w:r>
      <w:r>
        <w:rPr>
          <w:spacing w:val="-2"/>
        </w:rPr>
        <w:t> </w:t>
      </w:r>
      <w:r>
        <w:rPr/>
        <w:t>and</w:t>
      </w:r>
      <w:r>
        <w:rPr>
          <w:spacing w:val="-2"/>
        </w:rPr>
        <w:t> </w:t>
      </w:r>
      <w:r>
        <w:rPr/>
        <w:t>two</w:t>
      </w:r>
      <w:r>
        <w:rPr>
          <w:spacing w:val="-2"/>
        </w:rPr>
        <w:t> </w:t>
      </w:r>
      <w:r>
        <w:rPr/>
        <w:t>breakout</w:t>
      </w:r>
      <w:r>
        <w:rPr>
          <w:spacing w:val="-2"/>
        </w:rPr>
        <w:t> </w:t>
      </w:r>
      <w:r>
        <w:rPr/>
        <w:t>plays.</w:t>
      </w:r>
      <w:r>
        <w:rPr>
          <w:spacing w:val="-4"/>
        </w:rPr>
        <w:t> </w:t>
      </w:r>
      <w:r>
        <w:rPr/>
        <w:t>The</w:t>
      </w:r>
      <w:r>
        <w:rPr>
          <w:spacing w:val="-2"/>
        </w:rPr>
        <w:t> </w:t>
      </w:r>
      <w:r>
        <w:rPr/>
        <w:t>first</w:t>
      </w:r>
      <w:r>
        <w:rPr>
          <w:spacing w:val="-2"/>
        </w:rPr>
        <w:t> </w:t>
      </w:r>
      <w:r>
        <w:rPr/>
        <w:t>setup</w:t>
      </w:r>
      <w:r>
        <w:rPr>
          <w:spacing w:val="-2"/>
        </w:rPr>
        <w:t> </w:t>
      </w:r>
      <w:r>
        <w:rPr/>
        <w:t>I</w:t>
      </w:r>
      <w:r>
        <w:rPr>
          <w:spacing w:val="-2"/>
        </w:rPr>
        <w:t> </w:t>
      </w:r>
      <w:r>
        <w:rPr/>
        <w:t>will</w:t>
      </w:r>
      <w:r>
        <w:rPr>
          <w:spacing w:val="-2"/>
        </w:rPr>
        <w:t> </w:t>
      </w:r>
      <w:r>
        <w:rPr/>
        <w:t>discuss</w:t>
      </w:r>
      <w:r>
        <w:rPr>
          <w:spacing w:val="-2"/>
        </w:rPr>
        <w:t> </w:t>
      </w:r>
      <w:r>
        <w:rPr/>
        <w:t>is</w:t>
      </w:r>
      <w:r>
        <w:rPr>
          <w:spacing w:val="-2"/>
        </w:rPr>
        <w:t> </w:t>
      </w:r>
      <w:r>
        <w:rPr/>
        <w:t>the </w:t>
      </w:r>
      <w:r>
        <w:rPr>
          <w:i/>
        </w:rPr>
        <w:t>H3</w:t>
      </w:r>
      <w:r>
        <w:rPr>
          <w:i/>
        </w:rPr>
        <w:t> Reversal </w:t>
      </w:r>
      <w:r>
        <w:rPr/>
        <w:t>trade, illustrated in Figure 7.4. This trade occurs when the market advances to the red H3 pivot level and begins to lose momentum. At this point, responsive sellers are likely to enter the market and push price back toward perceived value, essentially forcing price to revert back toward the mean. As such, any signs of weakness at H3 should be viewed as a selling opportunity, as this is the first major level of resistance identified by the indicator. According to traditional Camarilla strategy, any short position taken at the H3 pivot level should carry a stop loss at, or just above, the H4 pivot level. Along the same lines, your target should be set to the green L3 pivot level, which is the first major level of support identified by the </w:t>
      </w:r>
      <w:r>
        <w:rPr>
          <w:spacing w:val="-2"/>
        </w:rPr>
        <w:t>indicator.</w:t>
      </w:r>
    </w:p>
    <w:p>
      <w:pPr>
        <w:spacing w:after="0"/>
        <w:jc w:val="both"/>
        <w:sectPr>
          <w:pgSz w:w="8640" w:h="12960"/>
          <w:pgMar w:header="536" w:footer="1060" w:top="720" w:bottom="1260" w:left="580" w:right="580"/>
        </w:sectPr>
      </w:pPr>
    </w:p>
    <w:p>
      <w:pPr>
        <w:pStyle w:val="BodyText"/>
        <w:spacing w:before="8"/>
      </w:pPr>
      <w:r>
        <w:rPr/>
        <w:pict>
          <v:line style="position:absolute;mso-position-horizontal-relative:page;mso-position-vertical-relative:page;z-index:-19566592" from="174.119995pt,97.860001pt" to="299.099995pt,97.920001pt" stroked="true" strokeweight="1.5pt" strokecolor="#000000">
            <v:stroke dashstyle="solid"/>
            <w10:wrap type="none"/>
          </v:line>
        </w:pict>
      </w:r>
      <w:r>
        <w:rPr/>
        <w:pict>
          <v:rect style="position:absolute;margin-left:185.339996pt;margin-top:136.199997pt;width:7.14pt;height:27.18pt;mso-position-horizontal-relative:page;mso-position-vertical-relative:page;z-index:-19565056" id="docshape621" filled="false" stroked="true" strokeweight=".75pt" strokecolor="#000000">
            <v:stroke dashstyle="solid"/>
            <w10:wrap type="none"/>
          </v:rect>
        </w:pict>
      </w:r>
    </w:p>
    <w:tbl>
      <w:tblPr>
        <w:tblW w:w="0" w:type="auto"/>
        <w:jc w:val="left"/>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1"/>
        <w:gridCol w:w="1290"/>
        <w:gridCol w:w="2437"/>
      </w:tblGrid>
      <w:tr>
        <w:trPr>
          <w:trHeight w:val="586" w:hRule="atLeast"/>
        </w:trPr>
        <w:tc>
          <w:tcPr>
            <w:tcW w:w="2031" w:type="dxa"/>
            <w:tcBorders>
              <w:left w:val="single" w:sz="8" w:space="0" w:color="000000"/>
            </w:tcBorders>
            <w:shd w:val="clear" w:color="auto" w:fill="000000"/>
          </w:tcPr>
          <w:p>
            <w:pPr>
              <w:pStyle w:val="TableParagraph"/>
              <w:spacing w:before="103"/>
              <w:ind w:right="26"/>
              <w:jc w:val="right"/>
              <w:rPr>
                <w:rFonts w:ascii="Verdana"/>
                <w:sz w:val="28"/>
              </w:rPr>
            </w:pPr>
            <w:r>
              <w:rPr>
                <w:rFonts w:ascii="Verdana"/>
                <w:color w:val="FFFFFF"/>
                <w:spacing w:val="-5"/>
                <w:sz w:val="28"/>
              </w:rPr>
              <w:t>H3</w:t>
            </w:r>
          </w:p>
        </w:tc>
        <w:tc>
          <w:tcPr>
            <w:tcW w:w="1290" w:type="dxa"/>
            <w:shd w:val="clear" w:color="auto" w:fill="000000"/>
          </w:tcPr>
          <w:p>
            <w:pPr>
              <w:pStyle w:val="TableParagraph"/>
              <w:spacing w:before="103"/>
              <w:ind w:left="43"/>
              <w:rPr>
                <w:rFonts w:ascii="Verdana"/>
                <w:sz w:val="28"/>
              </w:rPr>
            </w:pPr>
            <w:r>
              <w:rPr>
                <w:rFonts w:ascii="Verdana"/>
                <w:color w:val="FFFFFF"/>
                <w:spacing w:val="-2"/>
                <w:sz w:val="28"/>
              </w:rPr>
              <w:t>Reversal</w:t>
            </w:r>
          </w:p>
        </w:tc>
        <w:tc>
          <w:tcPr>
            <w:tcW w:w="2437" w:type="dxa"/>
            <w:tcBorders>
              <w:right w:val="single" w:sz="8" w:space="0" w:color="000000"/>
            </w:tcBorders>
            <w:shd w:val="clear" w:color="auto" w:fill="000000"/>
          </w:tcPr>
          <w:p>
            <w:pPr>
              <w:pStyle w:val="TableParagraph"/>
              <w:spacing w:before="103"/>
              <w:ind w:left="39"/>
              <w:rPr>
                <w:rFonts w:ascii="Verdana"/>
                <w:sz w:val="28"/>
              </w:rPr>
            </w:pPr>
            <w:r>
              <w:rPr>
                <w:rFonts w:ascii="Verdana"/>
                <w:color w:val="FFFFFF"/>
                <w:spacing w:val="-2"/>
                <w:sz w:val="28"/>
              </w:rPr>
              <w:t>Trade</w:t>
            </w:r>
          </w:p>
        </w:tc>
      </w:tr>
      <w:tr>
        <w:trPr>
          <w:trHeight w:val="601" w:hRule="atLeast"/>
        </w:trPr>
        <w:tc>
          <w:tcPr>
            <w:tcW w:w="5758" w:type="dxa"/>
            <w:gridSpan w:val="3"/>
            <w:tcBorders>
              <w:left w:val="single" w:sz="6" w:space="0" w:color="000000"/>
              <w:right w:val="single" w:sz="6" w:space="0" w:color="000000"/>
            </w:tcBorders>
          </w:tcPr>
          <w:p>
            <w:pPr>
              <w:pStyle w:val="TableParagraph"/>
              <w:spacing w:before="6"/>
              <w:rPr>
                <w:rFonts w:ascii="Times New Roman"/>
                <w:sz w:val="18"/>
              </w:rPr>
            </w:pPr>
          </w:p>
          <w:p>
            <w:pPr>
              <w:pStyle w:val="TableParagraph"/>
              <w:tabs>
                <w:tab w:pos="1751" w:val="left" w:leader="none"/>
              </w:tabs>
              <w:ind w:left="803"/>
              <w:rPr>
                <w:sz w:val="20"/>
              </w:rPr>
            </w:pPr>
            <w:r>
              <w:rPr>
                <w:position w:val="1"/>
                <w:sz w:val="20"/>
              </w:rPr>
              <w:t>Stop</w:t>
            </w:r>
            <w:r>
              <w:rPr>
                <w:spacing w:val="-4"/>
                <w:position w:val="1"/>
                <w:sz w:val="20"/>
              </w:rPr>
              <w:t> </w:t>
            </w:r>
            <w:r>
              <w:rPr>
                <w:spacing w:val="-10"/>
                <w:position w:val="1"/>
                <w:sz w:val="20"/>
              </w:rPr>
              <w:t>@</w:t>
            </w:r>
            <w:r>
              <w:rPr>
                <w:position w:val="1"/>
                <w:sz w:val="20"/>
              </w:rPr>
              <w:tab/>
            </w:r>
            <w:r>
              <w:rPr>
                <w:spacing w:val="-7"/>
                <w:sz w:val="20"/>
              </w:rPr>
              <w:t>H4</w:t>
            </w:r>
          </w:p>
        </w:tc>
      </w:tr>
      <w:tr>
        <w:trPr>
          <w:trHeight w:val="1304" w:hRule="atLeast"/>
        </w:trPr>
        <w:tc>
          <w:tcPr>
            <w:tcW w:w="5758" w:type="dxa"/>
            <w:gridSpan w:val="3"/>
            <w:tcBorders>
              <w:left w:val="single" w:sz="6" w:space="0" w:color="000000"/>
              <w:right w:val="single" w:sz="6" w:space="0" w:color="000000"/>
            </w:tcBorders>
          </w:tcPr>
          <w:p>
            <w:pPr>
              <w:pStyle w:val="TableParagraph"/>
              <w:tabs>
                <w:tab w:pos="1751" w:val="left" w:leader="none"/>
              </w:tabs>
              <w:spacing w:before="110"/>
              <w:ind w:left="742"/>
              <w:rPr>
                <w:sz w:val="20"/>
              </w:rPr>
            </w:pPr>
            <w:r>
              <w:rPr>
                <w:position w:val="1"/>
                <w:sz w:val="20"/>
              </w:rPr>
              <w:t>Entry</w:t>
            </w:r>
            <w:r>
              <w:rPr>
                <w:spacing w:val="-5"/>
                <w:position w:val="1"/>
                <w:sz w:val="20"/>
              </w:rPr>
              <w:t> </w:t>
            </w:r>
            <w:r>
              <w:rPr>
                <w:spacing w:val="-10"/>
                <w:position w:val="1"/>
                <w:sz w:val="20"/>
              </w:rPr>
              <w:t>@</w:t>
            </w:r>
            <w:r>
              <w:rPr>
                <w:position w:val="1"/>
                <w:sz w:val="20"/>
              </w:rPr>
              <w:tab/>
            </w:r>
            <w:r>
              <w:rPr>
                <w:spacing w:val="-5"/>
                <w:sz w:val="20"/>
              </w:rPr>
              <w:t>H3</w:t>
            </w:r>
          </w:p>
        </w:tc>
      </w:tr>
      <w:tr>
        <w:trPr>
          <w:trHeight w:val="1326" w:hRule="atLeast"/>
        </w:trPr>
        <w:tc>
          <w:tcPr>
            <w:tcW w:w="5758" w:type="dxa"/>
            <w:gridSpan w:val="3"/>
            <w:tcBorders>
              <w:left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9"/>
              </w:rPr>
            </w:pPr>
          </w:p>
          <w:p>
            <w:pPr>
              <w:pStyle w:val="TableParagraph"/>
              <w:tabs>
                <w:tab w:pos="1751" w:val="left" w:leader="none"/>
              </w:tabs>
              <w:ind w:left="645"/>
              <w:rPr>
                <w:sz w:val="20"/>
              </w:rPr>
            </w:pPr>
            <w:r>
              <w:rPr>
                <w:sz w:val="20"/>
              </w:rPr>
              <w:t>Target</w:t>
            </w:r>
            <w:r>
              <w:rPr>
                <w:spacing w:val="-5"/>
                <w:sz w:val="20"/>
              </w:rPr>
              <w:t> </w:t>
            </w:r>
            <w:r>
              <w:rPr>
                <w:spacing w:val="-10"/>
                <w:sz w:val="20"/>
              </w:rPr>
              <w:t>@</w:t>
            </w:r>
            <w:r>
              <w:rPr>
                <w:sz w:val="20"/>
              </w:rPr>
              <w:tab/>
            </w:r>
            <w:r>
              <w:rPr>
                <w:spacing w:val="-5"/>
                <w:sz w:val="20"/>
              </w:rPr>
              <w:t>L3</w:t>
            </w:r>
          </w:p>
        </w:tc>
      </w:tr>
      <w:tr>
        <w:trPr>
          <w:trHeight w:val="502" w:hRule="atLeast"/>
        </w:trPr>
        <w:tc>
          <w:tcPr>
            <w:tcW w:w="5758" w:type="dxa"/>
            <w:gridSpan w:val="3"/>
            <w:tcBorders>
              <w:left w:val="single" w:sz="6" w:space="0" w:color="000000"/>
              <w:bottom w:val="single" w:sz="6" w:space="0" w:color="000000"/>
              <w:right w:val="single" w:sz="6" w:space="0" w:color="000000"/>
            </w:tcBorders>
          </w:tcPr>
          <w:p>
            <w:pPr>
              <w:pStyle w:val="TableParagraph"/>
              <w:spacing w:before="141"/>
              <w:ind w:left="1751"/>
              <w:rPr>
                <w:sz w:val="20"/>
              </w:rPr>
            </w:pPr>
            <w:r>
              <w:rPr>
                <w:spacing w:val="-5"/>
                <w:sz w:val="20"/>
              </w:rPr>
              <w:t>L4</w:t>
            </w:r>
          </w:p>
        </w:tc>
      </w:tr>
    </w:tbl>
    <w:p>
      <w:pPr>
        <w:spacing w:before="16"/>
        <w:ind w:left="644" w:right="0" w:firstLine="0"/>
        <w:jc w:val="left"/>
        <w:rPr>
          <w:sz w:val="16"/>
        </w:rPr>
      </w:pPr>
      <w:r>
        <w:rPr/>
        <w:pict>
          <v:line style="position:absolute;mso-position-horizontal-relative:page;mso-position-vertical-relative:paragraph;z-index:-19566080" from="174.119995pt,-12.131239pt" to="299.099995pt,-12.131239pt" stroked="true" strokeweight="1.5pt" strokecolor="#000000">
            <v:stroke dashstyle="solid"/>
            <w10:wrap type="none"/>
          </v:line>
        </w:pict>
      </w:r>
      <w:r>
        <w:rPr/>
        <w:pict>
          <v:group style="position:absolute;margin-left:174.119995pt;margin-top:-154.991241pt;width:125pt;height:120.4pt;mso-position-horizontal-relative:page;mso-position-vertical-relative:paragraph;z-index:-19565568" id="docshapegroup622" coordorigin="3482,-3100" coordsize="2500,2408">
            <v:line style="position:absolute" from="3482,-785" to="5982,-785" stroked="true" strokeweight="1.5pt" strokecolor="#000000">
              <v:stroke dashstyle="solid"/>
            </v:line>
            <v:rect style="position:absolute;left:5088;top:-1227;width:143;height:312" id="docshape623" filled="false" stroked="true" strokeweight=".75pt" strokecolor="#000000">
              <v:stroke dashstyle="solid"/>
            </v:rect>
            <v:line style="position:absolute" from="5167,-700" to="5168,-909" stroked="true" strokeweight=".75pt" strokecolor="#000000">
              <v:stroke dashstyle="solid"/>
            </v:line>
            <v:rect style="position:absolute;left:4855;top:-1149;width:143;height:236" id="docshape624" filled="true" fillcolor="#000000" stroked="false">
              <v:fill type="solid"/>
            </v:rect>
            <v:rect style="position:absolute;left:4648;top:-1771;width:143;height:545" id="docshape625" filled="true" fillcolor="#000000" stroked="false">
              <v:fill type="solid"/>
            </v:rect>
            <v:shape style="position:absolute;left:4648;top:-1771;width:350;height:856" id="docshape626" coordorigin="4649,-1770" coordsize="350,856" path="m4792,-1770l4649,-1770,4649,-1227,4792,-1227,4792,-1770xm4998,-1149l4855,-1149,4855,-915,4998,-915,4998,-1149xe" filled="false" stroked="true" strokeweight=".75pt" strokecolor="#000000">
              <v:path arrowok="t"/>
              <v:stroke dashstyle="solid"/>
            </v:shape>
            <v:line style="position:absolute" from="3482,-2914" to="5982,-2914" stroked="true" strokeweight="1.5pt" strokecolor="#000000">
              <v:stroke dashstyle="solid"/>
            </v:line>
            <v:rect style="position:absolute;left:3946;top:-2748;width:143;height:268" id="docshape627" filled="true" fillcolor="#000000" stroked="false">
              <v:fill type="solid"/>
            </v:rect>
            <v:rect style="position:absolute;left:3946;top:-2748;width:143;height:268" id="docshape628" filled="false" stroked="true" strokeweight=".75pt" strokecolor="#000000">
              <v:stroke dashstyle="solid"/>
            </v:rect>
            <v:line style="position:absolute" from="4019,-2747" to="4019,-3100" stroked="true" strokeweight=".75pt" strokecolor="#000000">
              <v:stroke dashstyle="solid"/>
            </v:line>
            <v:rect style="position:absolute;left:4186;top:-2492;width:143;height:269" id="docshape629" filled="true" fillcolor="#000000" stroked="false">
              <v:fill type="solid"/>
            </v:rect>
            <v:rect style="position:absolute;left:4408;top:-2314;width:143;height:544" id="docshape630" filled="true" fillcolor="#000000" stroked="false">
              <v:fill type="solid"/>
            </v:rect>
            <v:shape style="position:absolute;left:4186;top:-2492;width:365;height:722" id="docshape631" coordorigin="4187,-2491" coordsize="365,722" path="m4552,-2314l4409,-2314,4409,-1770,4552,-1770,4552,-2314xm4330,-2491l4187,-2491,4187,-2223,4330,-2223,4330,-2491xe" filled="false" stroked="true" strokeweight=".75pt" strokecolor="#000000">
              <v:path arrowok="t"/>
              <v:stroke dashstyle="solid"/>
            </v:shape>
            <v:line style="position:absolute" from="4259,-2491" to="4259,-2844" stroked="true" strokeweight=".75pt" strokecolor="#000000">
              <v:stroke dashstyle="solid"/>
            </v:line>
            <v:line style="position:absolute" from="4928,-1149" to="4928,-1359" stroked="true" strokeweight=".75pt" strokecolor="#000000">
              <v:stroke dashstyle="solid"/>
            </v:line>
            <v:line style="position:absolute" from="4927,-737" to="4928,-946" stroked="true" strokeweight=".75pt" strokecolor="#000000">
              <v:stroke dashstyle="solid"/>
            </v:line>
            <w10:wrap type="none"/>
          </v:group>
        </w:pict>
      </w:r>
      <w:r>
        <w:rPr>
          <w:sz w:val="16"/>
        </w:rPr>
        <w:t>FIGURE</w:t>
      </w:r>
      <w:r>
        <w:rPr>
          <w:spacing w:val="7"/>
          <w:sz w:val="16"/>
        </w:rPr>
        <w:t> </w:t>
      </w:r>
      <w:r>
        <w:rPr>
          <w:sz w:val="16"/>
        </w:rPr>
        <w:t>7.4:</w:t>
      </w:r>
      <w:r>
        <w:rPr>
          <w:spacing w:val="9"/>
          <w:sz w:val="16"/>
        </w:rPr>
        <w:t> </w:t>
      </w:r>
      <w:r>
        <w:rPr>
          <w:sz w:val="16"/>
        </w:rPr>
        <w:t>H3</w:t>
      </w:r>
      <w:r>
        <w:rPr>
          <w:spacing w:val="9"/>
          <w:sz w:val="16"/>
        </w:rPr>
        <w:t> </w:t>
      </w:r>
      <w:r>
        <w:rPr>
          <w:sz w:val="16"/>
        </w:rPr>
        <w:t>reversal</w:t>
      </w:r>
      <w:r>
        <w:rPr>
          <w:spacing w:val="8"/>
          <w:sz w:val="16"/>
        </w:rPr>
        <w:t> </w:t>
      </w:r>
      <w:r>
        <w:rPr>
          <w:spacing w:val="-2"/>
          <w:sz w:val="16"/>
        </w:rPr>
        <w:t>trade</w:t>
      </w:r>
    </w:p>
    <w:p>
      <w:pPr>
        <w:pStyle w:val="BodyText"/>
        <w:spacing w:before="1"/>
      </w:pPr>
    </w:p>
    <w:p>
      <w:pPr>
        <w:pStyle w:val="BodyText"/>
        <w:spacing w:before="1"/>
        <w:ind w:left="139" w:right="494" w:firstLine="432"/>
        <w:jc w:val="both"/>
      </w:pPr>
      <w:r>
        <w:rPr/>
        <w:t>While this is a simplified example of entering and exiting a trade, actual entries</w:t>
      </w:r>
      <w:r>
        <w:rPr>
          <w:spacing w:val="-3"/>
        </w:rPr>
        <w:t> </w:t>
      </w:r>
      <w:r>
        <w:rPr/>
        <w:t>can</w:t>
      </w:r>
      <w:r>
        <w:rPr>
          <w:spacing w:val="-3"/>
        </w:rPr>
        <w:t> </w:t>
      </w:r>
      <w:r>
        <w:rPr/>
        <w:t>be</w:t>
      </w:r>
      <w:r>
        <w:rPr>
          <w:spacing w:val="-2"/>
        </w:rPr>
        <w:t> </w:t>
      </w:r>
      <w:r>
        <w:rPr/>
        <w:t>much</w:t>
      </w:r>
      <w:r>
        <w:rPr>
          <w:spacing w:val="-2"/>
        </w:rPr>
        <w:t> </w:t>
      </w:r>
      <w:r>
        <w:rPr/>
        <w:t>more</w:t>
      </w:r>
      <w:r>
        <w:rPr>
          <w:spacing w:val="-2"/>
        </w:rPr>
        <w:t> </w:t>
      </w:r>
      <w:r>
        <w:rPr/>
        <w:t>complicated</w:t>
      </w:r>
      <w:r>
        <w:rPr>
          <w:spacing w:val="-3"/>
        </w:rPr>
        <w:t> </w:t>
      </w:r>
      <w:r>
        <w:rPr/>
        <w:t>at</w:t>
      </w:r>
      <w:r>
        <w:rPr>
          <w:spacing w:val="-2"/>
        </w:rPr>
        <w:t> </w:t>
      </w:r>
      <w:r>
        <w:rPr/>
        <w:t>times.</w:t>
      </w:r>
      <w:r>
        <w:rPr>
          <w:spacing w:val="-3"/>
        </w:rPr>
        <w:t> </w:t>
      </w:r>
      <w:r>
        <w:rPr/>
        <w:t>Specific</w:t>
      </w:r>
      <w:r>
        <w:rPr>
          <w:spacing w:val="-3"/>
        </w:rPr>
        <w:t> </w:t>
      </w:r>
      <w:r>
        <w:rPr/>
        <w:t>entry</w:t>
      </w:r>
      <w:r>
        <w:rPr>
          <w:spacing w:val="-3"/>
        </w:rPr>
        <w:t> </w:t>
      </w:r>
      <w:r>
        <w:rPr/>
        <w:t>methodologies can vary from trader to trader. In the illustration, you see the first candle that reaches and extends beyond H3 is a bearish candle, as evidenced by the wick at the top of the candlestick. This candle opened and closed below H3, but</w:t>
      </w:r>
      <w:r>
        <w:rPr>
          <w:spacing w:val="40"/>
        </w:rPr>
        <w:t> </w:t>
      </w:r>
      <w:r>
        <w:rPr/>
        <w:t>the wick extended beyond the pivot level, leaving a bearish shadow. As we learned in Chapter 2, this type of bearish reversal wick is the first indication of weakness at this level. Some traders may want to enter this trade based on this criterion alone.</w:t>
      </w:r>
    </w:p>
    <w:p>
      <w:pPr>
        <w:pStyle w:val="BodyText"/>
        <w:ind w:left="139" w:right="496" w:firstLine="432"/>
        <w:jc w:val="both"/>
      </w:pPr>
      <w:r>
        <w:rPr/>
        <w:t>However, some traders want to see a bit more confirmation at this pivot level. For example, does H3 coincide with visual price resistance in the</w:t>
      </w:r>
      <w:r>
        <w:rPr>
          <w:spacing w:val="40"/>
        </w:rPr>
        <w:t> </w:t>
      </w:r>
      <w:r>
        <w:rPr/>
        <w:t>chart? Has price been in a downtrend the last few days? Have any key candlestick setups formed at this pivot level? These are all prudent questions to ask when trading any set of pivots. A basic, yet powerful, form of confirmation is to see how the following bar reacts after the initial test at H3 occurs. If the following bar’s high falls below H3 and its close is below the prior bar’s close, you have all the confirmation needed to fire off a short trade. Your entry would occur at the close of the confirmation bar, or at the open of the following bar. You would then look to offset the trade once your target is reached at L3 support, as illustrated in Figure 7.4. I typically allow any of the major candlestick setups discussed in Chapter 2 to trigger my entries at a key Camarilla pivot level.</w:t>
      </w:r>
    </w:p>
    <w:p>
      <w:pPr>
        <w:spacing w:after="0"/>
        <w:jc w:val="both"/>
        <w:sectPr>
          <w:pgSz w:w="8640" w:h="12960"/>
          <w:pgMar w:header="579" w:footer="997" w:top="760" w:bottom="1260" w:left="580" w:right="580"/>
        </w:sectPr>
      </w:pPr>
    </w:p>
    <w:p>
      <w:pPr>
        <w:pStyle w:val="BodyText"/>
        <w:spacing w:before="3"/>
      </w:pPr>
    </w:p>
    <w:p>
      <w:pPr>
        <w:pStyle w:val="BodyText"/>
        <w:spacing w:before="64"/>
        <w:ind w:left="500" w:right="137" w:firstLine="432"/>
        <w:jc w:val="both"/>
      </w:pPr>
      <w:r>
        <w:rPr/>
        <w:t>Let’s take a look at an example. Figure 7.5 is a fifteen-minute chart of Natural Gas futures. Natural Gas opened the day with modest strength, but sheepishly rose to test H3 resistance in the first forty-five minutes of the day. The third candlestick of the day was our first indication that a downside reversal would occur off the H3 pivot level, as a clear doji had formed.</w:t>
      </w:r>
      <w:r>
        <w:rPr>
          <w:spacing w:val="40"/>
        </w:rPr>
        <w:t> </w:t>
      </w:r>
      <w:r>
        <w:rPr/>
        <w:t>Notice how the doji candlestick rose above H3 resistance, but reversed and eventually closed beneath this pivot. The following candle’s open and high both fell below H3 resistance, with the close of the bar falling below the low of the doji candle, thus confirming the H3 reversal trade. This sequence of events triggered a short entry off H3 resistance, with our target set to L3 and stops set at the H4 pivot level. As you can tell, the trade worked out in textbook fashion, as Natural Gas reached the L3 target a few hours later.</w:t>
      </w:r>
    </w:p>
    <w:p>
      <w:pPr>
        <w:pStyle w:val="BodyText"/>
        <w:spacing w:before="2"/>
        <w:rPr>
          <w:sz w:val="20"/>
        </w:rPr>
      </w:pPr>
      <w:r>
        <w:rPr/>
        <w:drawing>
          <wp:anchor distT="0" distB="0" distL="0" distR="0" allowOverlap="1" layoutInCell="1" locked="0" behindDoc="0" simplePos="0" relativeHeight="239">
            <wp:simplePos x="0" y="0"/>
            <wp:positionH relativeFrom="page">
              <wp:posOffset>685800</wp:posOffset>
            </wp:positionH>
            <wp:positionV relativeFrom="paragraph">
              <wp:posOffset>162792</wp:posOffset>
            </wp:positionV>
            <wp:extent cx="4343034" cy="3129057"/>
            <wp:effectExtent l="0" t="0" r="0" b="0"/>
            <wp:wrapTopAndBottom/>
            <wp:docPr id="211" name="image107.png"/>
            <wp:cNvGraphicFramePr>
              <a:graphicFrameLocks noChangeAspect="1"/>
            </wp:cNvGraphicFramePr>
            <a:graphic>
              <a:graphicData uri="http://schemas.openxmlformats.org/drawingml/2006/picture">
                <pic:pic>
                  <pic:nvPicPr>
                    <pic:cNvPr id="212" name="image107.png"/>
                    <pic:cNvPicPr/>
                  </pic:nvPicPr>
                  <pic:blipFill>
                    <a:blip r:embed="rId225" cstate="print"/>
                    <a:stretch>
                      <a:fillRect/>
                    </a:stretch>
                  </pic:blipFill>
                  <pic:spPr>
                    <a:xfrm>
                      <a:off x="0" y="0"/>
                      <a:ext cx="4343034" cy="3129057"/>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7.5:</w:t>
      </w:r>
      <w:r>
        <w:rPr>
          <w:spacing w:val="2"/>
          <w:sz w:val="16"/>
        </w:rPr>
        <w:t> </w:t>
      </w:r>
      <w:r>
        <w:rPr>
          <w:sz w:val="16"/>
        </w:rPr>
        <w:t>The</w:t>
      </w:r>
      <w:r>
        <w:rPr>
          <w:spacing w:val="3"/>
          <w:sz w:val="16"/>
        </w:rPr>
        <w:t> </w:t>
      </w:r>
      <w:r>
        <w:rPr>
          <w:sz w:val="16"/>
        </w:rPr>
        <w:t>H3</w:t>
      </w:r>
      <w:r>
        <w:rPr>
          <w:spacing w:val="1"/>
          <w:sz w:val="16"/>
        </w:rPr>
        <w:t> </w:t>
      </w:r>
      <w:r>
        <w:rPr>
          <w:sz w:val="16"/>
        </w:rPr>
        <w:t>reversal</w:t>
      </w:r>
      <w:r>
        <w:rPr>
          <w:spacing w:val="2"/>
          <w:sz w:val="16"/>
        </w:rPr>
        <w:t> </w:t>
      </w:r>
      <w:r>
        <w:rPr>
          <w:sz w:val="16"/>
        </w:rPr>
        <w:t>trade</w:t>
      </w:r>
      <w:r>
        <w:rPr>
          <w:spacing w:val="2"/>
          <w:sz w:val="16"/>
        </w:rPr>
        <w:t> </w:t>
      </w:r>
      <w:r>
        <w:rPr>
          <w:sz w:val="16"/>
        </w:rPr>
        <w:t>in</w:t>
      </w:r>
      <w:r>
        <w:rPr>
          <w:spacing w:val="2"/>
          <w:sz w:val="16"/>
        </w:rPr>
        <w:t> </w:t>
      </w:r>
      <w:r>
        <w:rPr>
          <w:sz w:val="16"/>
        </w:rPr>
        <w:t>Natural</w:t>
      </w:r>
      <w:r>
        <w:rPr>
          <w:spacing w:val="1"/>
          <w:sz w:val="16"/>
        </w:rPr>
        <w:t> </w:t>
      </w:r>
      <w:r>
        <w:rPr>
          <w:sz w:val="16"/>
        </w:rPr>
        <w:t>Gas</w:t>
      </w:r>
      <w:r>
        <w:rPr>
          <w:spacing w:val="2"/>
          <w:sz w:val="16"/>
        </w:rPr>
        <w:t> </w:t>
      </w:r>
      <w:r>
        <w:rPr>
          <w:spacing w:val="-2"/>
          <w:sz w:val="16"/>
        </w:rPr>
        <w:t>futures</w:t>
      </w:r>
    </w:p>
    <w:p>
      <w:pPr>
        <w:pStyle w:val="BodyText"/>
        <w:spacing w:before="8"/>
        <w:rPr>
          <w:sz w:val="21"/>
        </w:rPr>
      </w:pPr>
    </w:p>
    <w:p>
      <w:pPr>
        <w:pStyle w:val="BodyText"/>
        <w:ind w:left="500" w:right="134" w:firstLine="431"/>
        <w:jc w:val="both"/>
      </w:pPr>
      <w:r>
        <w:rPr/>
        <w:t>The second version of the third layer reversal play is the </w:t>
      </w:r>
      <w:r>
        <w:rPr>
          <w:i/>
        </w:rPr>
        <w:t>L3 Reversal</w:t>
      </w:r>
      <w:r>
        <w:rPr>
          <w:i/>
        </w:rPr>
        <w:t> </w:t>
      </w:r>
      <w:r>
        <w:rPr/>
        <w:t>trade,</w:t>
      </w:r>
      <w:r>
        <w:rPr/>
        <w:t> which is basically an inverted version of the H3 reversal trade. The</w:t>
      </w:r>
      <w:r>
        <w:rPr>
          <w:spacing w:val="40"/>
        </w:rPr>
        <w:t> </w:t>
      </w:r>
      <w:r>
        <w:rPr/>
        <w:t>goal of this trade is to buy at L3 support with targets set to H3 resistance. Traditionally, stops would be held at, or just below, the L4 support level, as illustrated in Figure 7.6. Remember, if price drops to the L3 pivot level and begins to see initial signs of strength, responsive buyers are likely beginning to</w:t>
      </w:r>
      <w:r>
        <w:rPr>
          <w:spacing w:val="-2"/>
        </w:rPr>
        <w:t> </w:t>
      </w:r>
      <w:r>
        <w:rPr/>
        <w:t>enter</w:t>
      </w:r>
      <w:r>
        <w:rPr>
          <w:spacing w:val="-1"/>
        </w:rPr>
        <w:t> </w:t>
      </w:r>
      <w:r>
        <w:rPr/>
        <w:t>the market</w:t>
      </w:r>
      <w:r>
        <w:rPr>
          <w:spacing w:val="-1"/>
        </w:rPr>
        <w:t> </w:t>
      </w:r>
      <w:r>
        <w:rPr/>
        <w:t>with</w:t>
      </w:r>
      <w:r>
        <w:rPr>
          <w:spacing w:val="-1"/>
        </w:rPr>
        <w:t> </w:t>
      </w:r>
      <w:r>
        <w:rPr/>
        <w:t>the</w:t>
      </w:r>
      <w:r>
        <w:rPr>
          <w:spacing w:val="-1"/>
        </w:rPr>
        <w:t> </w:t>
      </w:r>
      <w:r>
        <w:rPr/>
        <w:t>intent</w:t>
      </w:r>
      <w:r>
        <w:rPr>
          <w:spacing w:val="-1"/>
        </w:rPr>
        <w:t> </w:t>
      </w:r>
      <w:r>
        <w:rPr/>
        <w:t>of</w:t>
      </w:r>
      <w:r>
        <w:rPr>
          <w:spacing w:val="-1"/>
        </w:rPr>
        <w:t> </w:t>
      </w:r>
      <w:r>
        <w:rPr/>
        <w:t>pushing</w:t>
      </w:r>
      <w:r>
        <w:rPr>
          <w:spacing w:val="-1"/>
        </w:rPr>
        <w:t> </w:t>
      </w:r>
      <w:r>
        <w:rPr/>
        <w:t>price</w:t>
      </w:r>
      <w:r>
        <w:rPr>
          <w:spacing w:val="-2"/>
        </w:rPr>
        <w:t> </w:t>
      </w:r>
      <w:r>
        <w:rPr/>
        <w:t>back</w:t>
      </w:r>
      <w:r>
        <w:rPr>
          <w:spacing w:val="-1"/>
        </w:rPr>
        <w:t> </w:t>
      </w:r>
      <w:r>
        <w:rPr/>
        <w:t>toward</w:t>
      </w:r>
      <w:r>
        <w:rPr>
          <w:spacing w:val="-1"/>
        </w:rPr>
        <w:t> </w:t>
      </w:r>
      <w:r>
        <w:rPr/>
        <w:t>higher</w:t>
      </w:r>
      <w:r>
        <w:rPr>
          <w:spacing w:val="-1"/>
        </w:rPr>
        <w:t> </w:t>
      </w:r>
      <w:r>
        <w:rPr>
          <w:spacing w:val="-2"/>
        </w:rPr>
        <w:t>value.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jc w:val="both"/>
      </w:pPr>
      <w:r>
        <w:rPr/>
        <w:pict>
          <v:line style="position:absolute;mso-position-horizontal-relative:page;mso-position-vertical-relative:paragraph;z-index:-19563520" from="177.240005pt,142.709412pt" to="302.220005pt,142.769412pt" stroked="true" strokeweight="1.5pt" strokecolor="#000000">
            <v:stroke dashstyle="solid"/>
            <w10:wrap type="none"/>
          </v:line>
        </w:pict>
      </w:r>
      <w:r>
        <w:rPr/>
        <w:pict>
          <v:group style="position:absolute;margin-left:177.240005pt;margin-top:162.61441pt;width:125pt;height:117.4pt;mso-position-horizontal-relative:page;mso-position-vertical-relative:paragraph;z-index:-19562496" id="docshapegroup632" coordorigin="3545,3252" coordsize="2500,2348">
            <v:line style="position:absolute" from="3545,5487" to="6044,5487" stroked="true" strokeweight="1.5pt" strokecolor="#000000">
              <v:stroke dashstyle="solid"/>
            </v:line>
            <v:line style="position:absolute" from="4322,5413" to="4322,5059" stroked="true" strokeweight=".75pt" strokecolor="#000000">
              <v:stroke dashstyle="solid"/>
            </v:line>
            <v:shape style="position:absolute;left:4250;top:4301;width:365;height:758" id="docshape633" coordorigin="4250,4301" coordsize="365,758" path="m4615,4301l4472,4301,4472,4845,4615,4845,4615,4301xm4393,4791l4250,4791,4250,5059,4393,5059,4393,4791xe" filled="false" stroked="true" strokeweight=".75pt" strokecolor="#000000">
              <v:path arrowok="t"/>
              <v:stroke dashstyle="solid"/>
            </v:shape>
            <v:line style="position:absolute" from="3545,3358" to="6044,3358" stroked="true" strokeweight="1.5pt" strokecolor="#000000">
              <v:stroke dashstyle="solid"/>
            </v:line>
            <v:rect style="position:absolute;left:5151;top:3469;width:143;height:312" id="docshape634" filled="true" fillcolor="#000000" stroked="false">
              <v:fill type="solid"/>
            </v:rect>
            <v:rect style="position:absolute;left:5150;top:3468;width:144;height:312" id="docshape635" filled="false" stroked="true" strokeweight=".75pt" strokecolor="#000000">
              <v:stroke dashstyle="solid"/>
            </v:rect>
            <v:line style="position:absolute" from="5222,3469" to="5224,3260" stroked="true" strokeweight=".75pt" strokecolor="#000000">
              <v:stroke dashstyle="solid"/>
            </v:line>
            <v:line style="position:absolute" from="4990,3469" to="4991,3260" stroked="true" strokeweight=".75pt" strokecolor="#000000">
              <v:stroke dashstyle="solid"/>
            </v:line>
            <v:line style="position:absolute" from="4988,3881" to="4990,3704" stroked="true" strokeweight=".75pt" strokecolor="#000000">
              <v:stroke dashstyle="solid"/>
            </v:line>
            <v:shape style="position:absolute;left:4712;top:3468;width:348;height:833" id="docshape636" coordorigin="4712,3469" coordsize="348,833" path="m4855,3757l4712,3757,4712,4301,4855,4301,4855,3757xm5060,3469l4916,3469,4916,3704,5060,3704,5060,3469xe" filled="false" stroked="true" strokeweight=".75pt" strokecolor="#000000">
              <v:path arrowok="t"/>
              <v:stroke dashstyle="solid"/>
            </v:shape>
            <v:line style="position:absolute" from="4082,5600" to="4082,5247" stroked="true" strokeweight=".75pt" strokecolor="#000000">
              <v:stroke dashstyle="solid"/>
            </v:line>
            <v:rect style="position:absolute;left:4010;top:4979;width:143;height:268" id="docshape637" filled="false" stroked="true" strokeweight=".75pt" strokecolor="#000000">
              <v:stroke dashstyle="solid"/>
            </v:rect>
            <w10:wrap type="none"/>
          </v:group>
        </w:pict>
      </w:r>
      <w:r>
        <w:rPr/>
        <w:t>That is, responsive buyers are seeing value at lower prices and are looking to capitalize on this bargain opportunity. As with the H3 reversal trade, a method for confirming the reversal would be to look to the bar that follows the initial test at L3 support. If this bar closes above the prior bar’s close and its low is above the L3 pivot level, there’s enough confirmation to fire off a long signal. Again, any of the major candlestick setups discussed in Chapter</w:t>
      </w:r>
      <w:r>
        <w:rPr>
          <w:spacing w:val="40"/>
        </w:rPr>
        <w:t> </w:t>
      </w:r>
      <w:r>
        <w:rPr/>
        <w:t>2 are great triggers for the L3 reversal trade as well.</w:t>
      </w:r>
    </w:p>
    <w:p>
      <w:pPr>
        <w:pStyle w:val="BodyText"/>
        <w:spacing w:before="7"/>
        <w:rPr>
          <w:sz w:val="21"/>
        </w:rPr>
      </w:pPr>
    </w:p>
    <w:tbl>
      <w:tblPr>
        <w:tblW w:w="0" w:type="auto"/>
        <w:jc w:val="left"/>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8"/>
        <w:gridCol w:w="1607"/>
        <w:gridCol w:w="2465"/>
      </w:tblGrid>
      <w:tr>
        <w:trPr>
          <w:trHeight w:val="563" w:hRule="atLeast"/>
        </w:trPr>
        <w:tc>
          <w:tcPr>
            <w:tcW w:w="3295" w:type="dxa"/>
            <w:gridSpan w:val="2"/>
            <w:tcBorders>
              <w:left w:val="single" w:sz="8" w:space="0" w:color="000000"/>
            </w:tcBorders>
            <w:shd w:val="clear" w:color="auto" w:fill="000000"/>
          </w:tcPr>
          <w:p>
            <w:pPr>
              <w:pStyle w:val="TableParagraph"/>
              <w:spacing w:before="96"/>
              <w:ind w:left="1616"/>
              <w:rPr>
                <w:rFonts w:ascii="Verdana"/>
                <w:sz w:val="28"/>
              </w:rPr>
            </w:pPr>
            <w:r>
              <w:rPr>
                <w:rFonts w:ascii="Verdana"/>
                <w:color w:val="FFFFFF"/>
                <w:sz w:val="28"/>
              </w:rPr>
              <w:t>L3</w:t>
            </w:r>
            <w:r>
              <w:rPr>
                <w:rFonts w:ascii="Verdana"/>
                <w:color w:val="FFFFFF"/>
                <w:spacing w:val="-13"/>
                <w:sz w:val="28"/>
              </w:rPr>
              <w:t> </w:t>
            </w:r>
            <w:r>
              <w:rPr>
                <w:rFonts w:ascii="Verdana"/>
                <w:color w:val="FFFFFF"/>
                <w:spacing w:val="-2"/>
                <w:sz w:val="28"/>
              </w:rPr>
              <w:t>Reversal</w:t>
            </w:r>
          </w:p>
        </w:tc>
        <w:tc>
          <w:tcPr>
            <w:tcW w:w="2465" w:type="dxa"/>
            <w:tcBorders>
              <w:right w:val="single" w:sz="8" w:space="0" w:color="000000"/>
            </w:tcBorders>
            <w:shd w:val="clear" w:color="auto" w:fill="000000"/>
          </w:tcPr>
          <w:p>
            <w:pPr>
              <w:pStyle w:val="TableParagraph"/>
              <w:spacing w:before="96"/>
              <w:ind w:left="38"/>
              <w:rPr>
                <w:rFonts w:ascii="Verdana"/>
                <w:sz w:val="28"/>
              </w:rPr>
            </w:pPr>
            <w:r>
              <w:rPr>
                <w:rFonts w:ascii="Verdana"/>
                <w:color w:val="FFFFFF"/>
                <w:spacing w:val="-2"/>
                <w:sz w:val="28"/>
              </w:rPr>
              <w:t>Trade</w:t>
            </w:r>
          </w:p>
        </w:tc>
      </w:tr>
      <w:tr>
        <w:trPr>
          <w:trHeight w:val="493" w:hRule="atLeast"/>
        </w:trPr>
        <w:tc>
          <w:tcPr>
            <w:tcW w:w="1688" w:type="dxa"/>
            <w:tcBorders>
              <w:left w:val="single" w:sz="6" w:space="0" w:color="000000"/>
            </w:tcBorders>
          </w:tcPr>
          <w:p>
            <w:pPr>
              <w:pStyle w:val="TableParagraph"/>
              <w:rPr>
                <w:rFonts w:ascii="Times New Roman"/>
                <w:sz w:val="20"/>
              </w:rPr>
            </w:pPr>
          </w:p>
        </w:tc>
        <w:tc>
          <w:tcPr>
            <w:tcW w:w="4072" w:type="dxa"/>
            <w:gridSpan w:val="2"/>
            <w:tcBorders>
              <w:right w:val="single" w:sz="6" w:space="0" w:color="000000"/>
            </w:tcBorders>
          </w:tcPr>
          <w:p>
            <w:pPr>
              <w:pStyle w:val="TableParagraph"/>
              <w:spacing w:before="102"/>
              <w:ind w:left="127"/>
              <w:rPr>
                <w:sz w:val="20"/>
              </w:rPr>
            </w:pPr>
            <w:r>
              <w:rPr>
                <w:spacing w:val="-5"/>
                <w:sz w:val="20"/>
              </w:rPr>
              <w:t>H4</w:t>
            </w:r>
          </w:p>
        </w:tc>
      </w:tr>
      <w:tr>
        <w:trPr>
          <w:trHeight w:val="1305" w:hRule="atLeast"/>
        </w:trPr>
        <w:tc>
          <w:tcPr>
            <w:tcW w:w="1688" w:type="dxa"/>
            <w:tcBorders>
              <w:left w:val="single" w:sz="6" w:space="0" w:color="000000"/>
            </w:tcBorders>
          </w:tcPr>
          <w:p>
            <w:pPr>
              <w:pStyle w:val="TableParagraph"/>
              <w:spacing w:before="105"/>
              <w:ind w:right="109"/>
              <w:jc w:val="right"/>
              <w:rPr>
                <w:sz w:val="20"/>
              </w:rPr>
            </w:pPr>
            <w:r>
              <w:rPr>
                <w:sz w:val="20"/>
              </w:rPr>
              <w:t>Target</w:t>
            </w:r>
            <w:r>
              <w:rPr>
                <w:spacing w:val="-5"/>
                <w:sz w:val="20"/>
              </w:rPr>
              <w:t> </w:t>
            </w:r>
            <w:r>
              <w:rPr>
                <w:spacing w:val="-10"/>
                <w:sz w:val="20"/>
              </w:rPr>
              <w:t>@</w:t>
            </w:r>
          </w:p>
        </w:tc>
        <w:tc>
          <w:tcPr>
            <w:tcW w:w="4072" w:type="dxa"/>
            <w:gridSpan w:val="2"/>
            <w:tcBorders>
              <w:right w:val="single" w:sz="6" w:space="0" w:color="000000"/>
            </w:tcBorders>
          </w:tcPr>
          <w:p>
            <w:pPr>
              <w:pStyle w:val="TableParagraph"/>
              <w:spacing w:before="105"/>
              <w:ind w:left="127"/>
              <w:rPr>
                <w:sz w:val="20"/>
              </w:rPr>
            </w:pPr>
            <w:r>
              <w:rPr>
                <w:spacing w:val="-5"/>
                <w:sz w:val="20"/>
              </w:rPr>
              <w:t>H3</w:t>
            </w:r>
          </w:p>
        </w:tc>
      </w:tr>
      <w:tr>
        <w:trPr>
          <w:trHeight w:val="1333" w:hRule="atLeast"/>
        </w:trPr>
        <w:tc>
          <w:tcPr>
            <w:tcW w:w="1688" w:type="dxa"/>
            <w:tcBorders>
              <w:lef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19"/>
              </w:rPr>
            </w:pPr>
          </w:p>
          <w:p>
            <w:pPr>
              <w:pStyle w:val="TableParagraph"/>
              <w:ind w:right="109"/>
              <w:jc w:val="right"/>
              <w:rPr>
                <w:sz w:val="20"/>
              </w:rPr>
            </w:pPr>
            <w:r>
              <w:rPr>
                <w:sz w:val="20"/>
              </w:rPr>
              <w:t>Entry</w:t>
            </w:r>
            <w:r>
              <w:rPr>
                <w:spacing w:val="-5"/>
                <w:sz w:val="20"/>
              </w:rPr>
              <w:t> </w:t>
            </w:r>
            <w:r>
              <w:rPr>
                <w:spacing w:val="-10"/>
                <w:sz w:val="20"/>
              </w:rPr>
              <w:t>@</w:t>
            </w:r>
          </w:p>
        </w:tc>
        <w:tc>
          <w:tcPr>
            <w:tcW w:w="4072" w:type="dxa"/>
            <w:gridSpan w:val="2"/>
            <w:tcBorders>
              <w:right w:val="single" w:sz="6" w:space="0" w:color="000000"/>
            </w:tcBorders>
          </w:tcPr>
          <w:p>
            <w:pPr>
              <w:pStyle w:val="TableParagraph"/>
              <w:spacing w:before="3"/>
              <w:rPr>
                <w:rFonts w:ascii="Times New Roman"/>
                <w:sz w:val="25"/>
              </w:rPr>
            </w:pPr>
          </w:p>
          <w:p>
            <w:pPr>
              <w:pStyle w:val="TableParagraph"/>
              <w:ind w:left="813"/>
              <w:rPr>
                <w:rFonts w:ascii="Times New Roman"/>
                <w:sz w:val="20"/>
              </w:rPr>
            </w:pPr>
            <w:r>
              <w:rPr>
                <w:rFonts w:ascii="Times New Roman"/>
                <w:sz w:val="20"/>
              </w:rPr>
              <w:pict>
                <v:group style="width:7.9pt;height:27.95pt;mso-position-horizontal-relative:char;mso-position-vertical-relative:line" id="docshapegroup638" coordorigin="0,0" coordsize="158,559">
                  <v:rect style="position:absolute;left:7;top:7;width:143;height:544" id="docshape639" filled="true" fillcolor="#000000" stroked="false">
                    <v:fill type="solid"/>
                  </v:rect>
                  <v:rect style="position:absolute;left:7;top:7;width:143;height:544" id="docshape640" filled="false" stroked="true" strokeweight=".75pt" strokecolor="#000000">
                    <v:stroke dashstyle="solid"/>
                  </v:rect>
                </v:group>
              </w:pict>
            </w:r>
            <w:r>
              <w:rPr>
                <w:rFonts w:ascii="Times New Roman"/>
                <w:sz w:val="20"/>
              </w:rPr>
            </w:r>
          </w:p>
          <w:p>
            <w:pPr>
              <w:pStyle w:val="TableParagraph"/>
              <w:spacing w:before="34"/>
              <w:ind w:left="127"/>
              <w:rPr>
                <w:sz w:val="20"/>
              </w:rPr>
            </w:pPr>
            <w:r>
              <w:rPr>
                <w:spacing w:val="-5"/>
                <w:sz w:val="20"/>
              </w:rPr>
              <w:t>L3</w:t>
            </w:r>
          </w:p>
        </w:tc>
      </w:tr>
      <w:tr>
        <w:trPr>
          <w:trHeight w:val="458" w:hRule="atLeast"/>
        </w:trPr>
        <w:tc>
          <w:tcPr>
            <w:tcW w:w="1688" w:type="dxa"/>
            <w:tcBorders>
              <w:left w:val="single" w:sz="6" w:space="0" w:color="000000"/>
              <w:bottom w:val="single" w:sz="6" w:space="0" w:color="000000"/>
            </w:tcBorders>
          </w:tcPr>
          <w:p>
            <w:pPr>
              <w:pStyle w:val="TableParagraph"/>
              <w:spacing w:before="130"/>
              <w:ind w:right="109"/>
              <w:jc w:val="right"/>
              <w:rPr>
                <w:sz w:val="20"/>
              </w:rPr>
            </w:pPr>
            <w:r>
              <w:rPr>
                <w:sz w:val="20"/>
              </w:rPr>
              <w:t>Stop</w:t>
            </w:r>
            <w:r>
              <w:rPr>
                <w:spacing w:val="-4"/>
                <w:sz w:val="20"/>
              </w:rPr>
              <w:t> </w:t>
            </w:r>
            <w:r>
              <w:rPr>
                <w:spacing w:val="-10"/>
                <w:sz w:val="20"/>
              </w:rPr>
              <w:t>@</w:t>
            </w:r>
          </w:p>
        </w:tc>
        <w:tc>
          <w:tcPr>
            <w:tcW w:w="4072" w:type="dxa"/>
            <w:gridSpan w:val="2"/>
            <w:tcBorders>
              <w:bottom w:val="single" w:sz="6" w:space="0" w:color="000000"/>
              <w:right w:val="single" w:sz="6" w:space="0" w:color="000000"/>
            </w:tcBorders>
          </w:tcPr>
          <w:p>
            <w:pPr>
              <w:pStyle w:val="TableParagraph"/>
              <w:spacing w:before="130"/>
              <w:ind w:left="126"/>
              <w:rPr>
                <w:sz w:val="20"/>
              </w:rPr>
            </w:pPr>
            <w:r>
              <w:rPr>
                <w:spacing w:val="-5"/>
                <w:sz w:val="20"/>
              </w:rPr>
              <w:t>L4</w:t>
            </w:r>
          </w:p>
        </w:tc>
      </w:tr>
    </w:tbl>
    <w:p>
      <w:pPr>
        <w:spacing w:before="5"/>
        <w:ind w:left="644" w:right="0" w:firstLine="0"/>
        <w:jc w:val="left"/>
        <w:rPr>
          <w:sz w:val="16"/>
        </w:rPr>
      </w:pPr>
      <w:r>
        <w:rPr/>
        <w:pict>
          <v:line style="position:absolute;mso-position-horizontal-relative:page;mso-position-vertical-relative:paragraph;z-index:-19563008" from="177.240005pt,-11.061246pt" to="302.220005pt,-11.001246pt" stroked="true" strokeweight="1.5pt" strokecolor="#000000">
            <v:stroke dashstyle="solid"/>
            <w10:wrap type="none"/>
          </v:line>
        </w:pict>
      </w:r>
      <w:r>
        <w:rPr>
          <w:sz w:val="16"/>
        </w:rPr>
        <w:t>FIGURE</w:t>
      </w:r>
      <w:r>
        <w:rPr>
          <w:spacing w:val="9"/>
          <w:sz w:val="16"/>
        </w:rPr>
        <w:t> </w:t>
      </w:r>
      <w:r>
        <w:rPr>
          <w:sz w:val="16"/>
        </w:rPr>
        <w:t>7.6:</w:t>
      </w:r>
      <w:r>
        <w:rPr>
          <w:spacing w:val="10"/>
          <w:sz w:val="16"/>
        </w:rPr>
        <w:t> </w:t>
      </w:r>
      <w:r>
        <w:rPr>
          <w:sz w:val="16"/>
        </w:rPr>
        <w:t>L3</w:t>
      </w:r>
      <w:r>
        <w:rPr>
          <w:spacing w:val="10"/>
          <w:sz w:val="16"/>
        </w:rPr>
        <w:t> </w:t>
      </w:r>
      <w:r>
        <w:rPr>
          <w:sz w:val="16"/>
        </w:rPr>
        <w:t>reversal</w:t>
      </w:r>
      <w:r>
        <w:rPr>
          <w:spacing w:val="9"/>
          <w:sz w:val="16"/>
        </w:rPr>
        <w:t> </w:t>
      </w:r>
      <w:r>
        <w:rPr>
          <w:spacing w:val="-2"/>
          <w:sz w:val="16"/>
        </w:rPr>
        <w:t>trade</w:t>
      </w:r>
    </w:p>
    <w:p>
      <w:pPr>
        <w:pStyle w:val="BodyText"/>
        <w:spacing w:before="1"/>
      </w:pPr>
    </w:p>
    <w:p>
      <w:pPr>
        <w:pStyle w:val="BodyText"/>
        <w:spacing w:before="1"/>
        <w:ind w:left="140" w:right="495" w:firstLine="432"/>
        <w:jc w:val="both"/>
      </w:pPr>
      <w:r>
        <w:rPr/>
        <w:t>Let’s look at an example. Figure 7.7 is a fifteen-minute chart of Applied Materials, Inc. (ticker: AMAT). The stock opened the day with early weakness and quietly tested L3 support within the first thirty minutes of the day. After testing L3 support, AMAT formed a moderately bullish reversal wick at this level. The following bar’s low was above the L3 pivot and its close was above the prior bar’s high, completing the necessary requirements for a long signal. You would then enter a long position at the close of the second bar, or at the open of the following bar, with targets set to H3 resistance and stops at L4 support. In this case, AMAT trended nicely higher and eventually reached H3 resistance to complete a successful trade.</w:t>
      </w:r>
    </w:p>
    <w:p>
      <w:pPr>
        <w:spacing w:after="0"/>
        <w:jc w:val="both"/>
        <w:sectPr>
          <w:pgSz w:w="8640" w:h="12960"/>
          <w:pgMar w:header="579" w:footer="997"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97" cy="3094672"/>
            <wp:effectExtent l="0" t="0" r="0" b="0"/>
            <wp:docPr id="213" name="image108.png"/>
            <wp:cNvGraphicFramePr>
              <a:graphicFrameLocks noChangeAspect="1"/>
            </wp:cNvGraphicFramePr>
            <a:graphic>
              <a:graphicData uri="http://schemas.openxmlformats.org/drawingml/2006/picture">
                <pic:pic>
                  <pic:nvPicPr>
                    <pic:cNvPr id="214" name="image108.png"/>
                    <pic:cNvPicPr/>
                  </pic:nvPicPr>
                  <pic:blipFill>
                    <a:blip r:embed="rId226" cstate="print"/>
                    <a:stretch>
                      <a:fillRect/>
                    </a:stretch>
                  </pic:blipFill>
                  <pic:spPr>
                    <a:xfrm>
                      <a:off x="0" y="0"/>
                      <a:ext cx="4304897" cy="3094672"/>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3"/>
          <w:sz w:val="16"/>
        </w:rPr>
        <w:t> </w:t>
      </w:r>
      <w:r>
        <w:rPr>
          <w:sz w:val="16"/>
        </w:rPr>
        <w:t>7.7:</w:t>
      </w:r>
      <w:r>
        <w:rPr>
          <w:spacing w:val="4"/>
          <w:sz w:val="16"/>
        </w:rPr>
        <w:t> </w:t>
      </w:r>
      <w:r>
        <w:rPr>
          <w:sz w:val="16"/>
        </w:rPr>
        <w:t>The</w:t>
      </w:r>
      <w:r>
        <w:rPr>
          <w:spacing w:val="4"/>
          <w:sz w:val="16"/>
        </w:rPr>
        <w:t> </w:t>
      </w:r>
      <w:r>
        <w:rPr>
          <w:sz w:val="16"/>
        </w:rPr>
        <w:t>L3</w:t>
      </w:r>
      <w:r>
        <w:rPr>
          <w:spacing w:val="3"/>
          <w:sz w:val="16"/>
        </w:rPr>
        <w:t> </w:t>
      </w:r>
      <w:r>
        <w:rPr>
          <w:sz w:val="16"/>
        </w:rPr>
        <w:t>reversal</w:t>
      </w:r>
      <w:r>
        <w:rPr>
          <w:spacing w:val="3"/>
          <w:sz w:val="16"/>
        </w:rPr>
        <w:t> </w:t>
      </w:r>
      <w:r>
        <w:rPr>
          <w:sz w:val="16"/>
        </w:rPr>
        <w:t>trade</w:t>
      </w:r>
      <w:r>
        <w:rPr>
          <w:spacing w:val="3"/>
          <w:sz w:val="16"/>
        </w:rPr>
        <w:t> </w:t>
      </w:r>
      <w:r>
        <w:rPr>
          <w:sz w:val="16"/>
        </w:rPr>
        <w:t>in</w:t>
      </w:r>
      <w:r>
        <w:rPr>
          <w:spacing w:val="3"/>
          <w:sz w:val="16"/>
        </w:rPr>
        <w:t> </w:t>
      </w:r>
      <w:r>
        <w:rPr>
          <w:sz w:val="16"/>
        </w:rPr>
        <w:t>Applied</w:t>
      </w:r>
      <w:r>
        <w:rPr>
          <w:spacing w:val="3"/>
          <w:sz w:val="16"/>
        </w:rPr>
        <w:t> </w:t>
      </w:r>
      <w:r>
        <w:rPr>
          <w:spacing w:val="-2"/>
          <w:sz w:val="16"/>
        </w:rPr>
        <w:t>Materials</w:t>
      </w:r>
    </w:p>
    <w:p>
      <w:pPr>
        <w:pStyle w:val="BodyText"/>
        <w:spacing w:before="2"/>
      </w:pPr>
    </w:p>
    <w:p>
      <w:pPr>
        <w:pStyle w:val="BodyText"/>
        <w:ind w:left="500"/>
      </w:pPr>
      <w:r>
        <w:rPr/>
        <w:t>BOSS</w:t>
      </w:r>
      <w:r>
        <w:rPr>
          <w:spacing w:val="-5"/>
        </w:rPr>
        <w:t> </w:t>
      </w:r>
      <w:r>
        <w:rPr/>
        <w:t>IN</w:t>
      </w:r>
      <w:r>
        <w:rPr>
          <w:spacing w:val="-5"/>
        </w:rPr>
        <w:t> </w:t>
      </w:r>
      <w:r>
        <w:rPr>
          <w:spacing w:val="-2"/>
        </w:rPr>
        <w:t>ACTION</w:t>
      </w:r>
    </w:p>
    <w:p>
      <w:pPr>
        <w:pStyle w:val="BodyText"/>
        <w:spacing w:before="11"/>
        <w:rPr>
          <w:sz w:val="21"/>
        </w:rPr>
      </w:pPr>
    </w:p>
    <w:p>
      <w:pPr>
        <w:pStyle w:val="BodyText"/>
        <w:ind w:left="500" w:right="135" w:firstLine="719"/>
        <w:jc w:val="right"/>
      </w:pPr>
      <w:r>
        <w:rPr/>
        <w:t>There are several factors that I look for when I have my sights set on a third layer reversal trade: the current trend, the prior day’s price behavior, visual support or resistance in the vicinity, and price to pivot behavior. As</w:t>
      </w:r>
      <w:r>
        <w:rPr>
          <w:spacing w:val="80"/>
        </w:rPr>
        <w:t> </w:t>
      </w:r>
      <w:r>
        <w:rPr/>
        <w:t>you may recall from our study of both the Money Zone and Floor Pivots, the prior</w:t>
      </w:r>
      <w:r>
        <w:rPr>
          <w:spacing w:val="40"/>
        </w:rPr>
        <w:t> </w:t>
      </w:r>
      <w:r>
        <w:rPr/>
        <w:t>day’s</w:t>
      </w:r>
      <w:r>
        <w:rPr>
          <w:spacing w:val="40"/>
        </w:rPr>
        <w:t> </w:t>
      </w:r>
      <w:r>
        <w:rPr/>
        <w:t>trading</w:t>
      </w:r>
      <w:r>
        <w:rPr>
          <w:spacing w:val="40"/>
        </w:rPr>
        <w:t> </w:t>
      </w:r>
      <w:r>
        <w:rPr/>
        <w:t>activity</w:t>
      </w:r>
      <w:r>
        <w:rPr>
          <w:spacing w:val="40"/>
        </w:rPr>
        <w:t> </w:t>
      </w:r>
      <w:r>
        <w:rPr/>
        <w:t>can</w:t>
      </w:r>
      <w:r>
        <w:rPr>
          <w:spacing w:val="40"/>
        </w:rPr>
        <w:t> </w:t>
      </w:r>
      <w:r>
        <w:rPr/>
        <w:t>have</w:t>
      </w:r>
      <w:r>
        <w:rPr>
          <w:spacing w:val="40"/>
        </w:rPr>
        <w:t> </w:t>
      </w:r>
      <w:r>
        <w:rPr/>
        <w:t>a</w:t>
      </w:r>
      <w:r>
        <w:rPr>
          <w:spacing w:val="40"/>
        </w:rPr>
        <w:t> </w:t>
      </w:r>
      <w:r>
        <w:rPr/>
        <w:t>huge</w:t>
      </w:r>
      <w:r>
        <w:rPr>
          <w:spacing w:val="40"/>
        </w:rPr>
        <w:t> </w:t>
      </w:r>
      <w:r>
        <w:rPr/>
        <w:t>influence</w:t>
      </w:r>
      <w:r>
        <w:rPr>
          <w:spacing w:val="40"/>
        </w:rPr>
        <w:t> </w:t>
      </w:r>
      <w:r>
        <w:rPr/>
        <w:t>on</w:t>
      </w:r>
      <w:r>
        <w:rPr>
          <w:spacing w:val="40"/>
        </w:rPr>
        <w:t> </w:t>
      </w:r>
      <w:r>
        <w:rPr/>
        <w:t>the</w:t>
      </w:r>
      <w:r>
        <w:rPr>
          <w:spacing w:val="40"/>
        </w:rPr>
        <w:t> </w:t>
      </w:r>
      <w:r>
        <w:rPr/>
        <w:t>next</w:t>
      </w:r>
      <w:r>
        <w:rPr>
          <w:spacing w:val="40"/>
        </w:rPr>
        <w:t> </w:t>
      </w:r>
      <w:r>
        <w:rPr/>
        <w:t>day’s trading</w:t>
      </w:r>
      <w:r>
        <w:rPr>
          <w:spacing w:val="27"/>
        </w:rPr>
        <w:t> </w:t>
      </w:r>
      <w:r>
        <w:rPr/>
        <w:t>behavior.</w:t>
      </w:r>
      <w:r>
        <w:rPr>
          <w:spacing w:val="27"/>
        </w:rPr>
        <w:t> </w:t>
      </w:r>
      <w:r>
        <w:rPr/>
        <w:t>Therefore,</w:t>
      </w:r>
      <w:r>
        <w:rPr>
          <w:spacing w:val="26"/>
        </w:rPr>
        <w:t> </w:t>
      </w:r>
      <w:r>
        <w:rPr/>
        <w:t>if</w:t>
      </w:r>
      <w:r>
        <w:rPr>
          <w:spacing w:val="27"/>
        </w:rPr>
        <w:t> </w:t>
      </w:r>
      <w:r>
        <w:rPr/>
        <w:t>the</w:t>
      </w:r>
      <w:r>
        <w:rPr>
          <w:spacing w:val="27"/>
        </w:rPr>
        <w:t> </w:t>
      </w:r>
      <w:r>
        <w:rPr/>
        <w:t>prior</w:t>
      </w:r>
      <w:r>
        <w:rPr>
          <w:spacing w:val="27"/>
        </w:rPr>
        <w:t> </w:t>
      </w:r>
      <w:r>
        <w:rPr/>
        <w:t>session</w:t>
      </w:r>
      <w:r>
        <w:rPr>
          <w:spacing w:val="26"/>
        </w:rPr>
        <w:t> </w:t>
      </w:r>
      <w:r>
        <w:rPr/>
        <w:t>was</w:t>
      </w:r>
      <w:r>
        <w:rPr>
          <w:spacing w:val="26"/>
        </w:rPr>
        <w:t> </w:t>
      </w:r>
      <w:r>
        <w:rPr/>
        <w:t>a</w:t>
      </w:r>
      <w:r>
        <w:rPr>
          <w:spacing w:val="27"/>
        </w:rPr>
        <w:t> </w:t>
      </w:r>
      <w:r>
        <w:rPr/>
        <w:t>Trend</w:t>
      </w:r>
      <w:r>
        <w:rPr>
          <w:spacing w:val="27"/>
        </w:rPr>
        <w:t> </w:t>
      </w:r>
      <w:r>
        <w:rPr/>
        <w:t>Day,</w:t>
      </w:r>
      <w:r>
        <w:rPr>
          <w:spacing w:val="25"/>
        </w:rPr>
        <w:t> </w:t>
      </w:r>
      <w:r>
        <w:rPr/>
        <w:t>you</w:t>
      </w:r>
      <w:r>
        <w:rPr>
          <w:spacing w:val="25"/>
        </w:rPr>
        <w:t> </w:t>
      </w:r>
      <w:r>
        <w:rPr/>
        <w:t>are more</w:t>
      </w:r>
      <w:r>
        <w:rPr>
          <w:spacing w:val="29"/>
        </w:rPr>
        <w:t> </w:t>
      </w:r>
      <w:r>
        <w:rPr/>
        <w:t>likely</w:t>
      </w:r>
      <w:r>
        <w:rPr>
          <w:spacing w:val="29"/>
        </w:rPr>
        <w:t> </w:t>
      </w:r>
      <w:r>
        <w:rPr/>
        <w:t>to</w:t>
      </w:r>
      <w:r>
        <w:rPr>
          <w:spacing w:val="29"/>
        </w:rPr>
        <w:t> </w:t>
      </w:r>
      <w:r>
        <w:rPr/>
        <w:t>see</w:t>
      </w:r>
      <w:r>
        <w:rPr>
          <w:spacing w:val="29"/>
        </w:rPr>
        <w:t> </w:t>
      </w:r>
      <w:r>
        <w:rPr/>
        <w:t>trading</w:t>
      </w:r>
      <w:r>
        <w:rPr>
          <w:spacing w:val="29"/>
        </w:rPr>
        <w:t> </w:t>
      </w:r>
      <w:r>
        <w:rPr/>
        <w:t>range</w:t>
      </w:r>
      <w:r>
        <w:rPr>
          <w:spacing w:val="29"/>
        </w:rPr>
        <w:t> </w:t>
      </w:r>
      <w:r>
        <w:rPr/>
        <w:t>behavior</w:t>
      </w:r>
      <w:r>
        <w:rPr>
          <w:spacing w:val="29"/>
        </w:rPr>
        <w:t> </w:t>
      </w:r>
      <w:r>
        <w:rPr/>
        <w:t>in</w:t>
      </w:r>
      <w:r>
        <w:rPr>
          <w:spacing w:val="29"/>
        </w:rPr>
        <w:t> </w:t>
      </w:r>
      <w:r>
        <w:rPr/>
        <w:t>the</w:t>
      </w:r>
      <w:r>
        <w:rPr>
          <w:spacing w:val="29"/>
        </w:rPr>
        <w:t> </w:t>
      </w:r>
      <w:r>
        <w:rPr/>
        <w:t>next</w:t>
      </w:r>
      <w:r>
        <w:rPr>
          <w:spacing w:val="29"/>
        </w:rPr>
        <w:t> </w:t>
      </w:r>
      <w:r>
        <w:rPr/>
        <w:t>day’s</w:t>
      </w:r>
      <w:r>
        <w:rPr>
          <w:spacing w:val="29"/>
        </w:rPr>
        <w:t> </w:t>
      </w:r>
      <w:r>
        <w:rPr/>
        <w:t>market,</w:t>
      </w:r>
      <w:r>
        <w:rPr>
          <w:spacing w:val="29"/>
        </w:rPr>
        <w:t> </w:t>
      </w:r>
      <w:r>
        <w:rPr/>
        <w:t>which means reversals at H3 and L3 are more likely to occur. Along the same lines, if the market has been trending higher for a period of time, any pull-back to L3 should be seen as a buying opportunity. Likewise, if the market is in an</w:t>
      </w:r>
      <w:r>
        <w:rPr>
          <w:spacing w:val="40"/>
        </w:rPr>
        <w:t> </w:t>
      </w:r>
      <w:r>
        <w:rPr/>
        <w:t>existing downtrend, any pull-back to H3 should be viewed as an opportunity to</w:t>
      </w:r>
      <w:r>
        <w:rPr>
          <w:spacing w:val="-2"/>
        </w:rPr>
        <w:t> </w:t>
      </w:r>
      <w:r>
        <w:rPr/>
        <w:t>sell</w:t>
      </w:r>
      <w:r>
        <w:rPr>
          <w:spacing w:val="-3"/>
        </w:rPr>
        <w:t> </w:t>
      </w:r>
      <w:r>
        <w:rPr/>
        <w:t>the</w:t>
      </w:r>
      <w:r>
        <w:rPr>
          <w:spacing w:val="-1"/>
        </w:rPr>
        <w:t> </w:t>
      </w:r>
      <w:r>
        <w:rPr/>
        <w:t>rip.</w:t>
      </w:r>
      <w:r>
        <w:rPr>
          <w:spacing w:val="-3"/>
        </w:rPr>
        <w:t> </w:t>
      </w:r>
      <w:r>
        <w:rPr/>
        <w:t>The</w:t>
      </w:r>
      <w:r>
        <w:rPr>
          <w:spacing w:val="-2"/>
        </w:rPr>
        <w:t> </w:t>
      </w:r>
      <w:r>
        <w:rPr/>
        <w:t>ability</w:t>
      </w:r>
      <w:r>
        <w:rPr>
          <w:spacing w:val="-2"/>
        </w:rPr>
        <w:t> </w:t>
      </w:r>
      <w:r>
        <w:rPr/>
        <w:t>to</w:t>
      </w:r>
      <w:r>
        <w:rPr>
          <w:spacing w:val="-2"/>
        </w:rPr>
        <w:t> </w:t>
      </w:r>
      <w:r>
        <w:rPr/>
        <w:t>quickly</w:t>
      </w:r>
      <w:r>
        <w:rPr>
          <w:spacing w:val="-3"/>
        </w:rPr>
        <w:t> </w:t>
      </w:r>
      <w:r>
        <w:rPr/>
        <w:t>recognize</w:t>
      </w:r>
      <w:r>
        <w:rPr>
          <w:spacing w:val="-3"/>
        </w:rPr>
        <w:t> </w:t>
      </w:r>
      <w:r>
        <w:rPr/>
        <w:t>the</w:t>
      </w:r>
      <w:r>
        <w:rPr>
          <w:spacing w:val="-1"/>
        </w:rPr>
        <w:t> </w:t>
      </w:r>
      <w:r>
        <w:rPr/>
        <w:t>market’s</w:t>
      </w:r>
      <w:r>
        <w:rPr>
          <w:spacing w:val="-2"/>
        </w:rPr>
        <w:t> </w:t>
      </w:r>
      <w:r>
        <w:rPr/>
        <w:t>context</w:t>
      </w:r>
      <w:r>
        <w:rPr>
          <w:spacing w:val="-2"/>
        </w:rPr>
        <w:t> </w:t>
      </w:r>
      <w:r>
        <w:rPr/>
        <w:t>clues</w:t>
      </w:r>
      <w:r>
        <w:rPr>
          <w:spacing w:val="-1"/>
        </w:rPr>
        <w:t> </w:t>
      </w:r>
      <w:r>
        <w:rPr/>
        <w:t>will allow</w:t>
      </w:r>
      <w:r>
        <w:rPr>
          <w:spacing w:val="-2"/>
        </w:rPr>
        <w:t> </w:t>
      </w:r>
      <w:r>
        <w:rPr/>
        <w:t>you</w:t>
      </w:r>
      <w:r>
        <w:rPr>
          <w:spacing w:val="-2"/>
        </w:rPr>
        <w:t> </w:t>
      </w:r>
      <w:r>
        <w:rPr/>
        <w:t>to</w:t>
      </w:r>
      <w:r>
        <w:rPr>
          <w:spacing w:val="-5"/>
        </w:rPr>
        <w:t> </w:t>
      </w:r>
      <w:r>
        <w:rPr/>
        <w:t>get</w:t>
      </w:r>
      <w:r>
        <w:rPr>
          <w:spacing w:val="-2"/>
        </w:rPr>
        <w:t> </w:t>
      </w:r>
      <w:r>
        <w:rPr/>
        <w:t>a</w:t>
      </w:r>
      <w:r>
        <w:rPr>
          <w:spacing w:val="-2"/>
        </w:rPr>
        <w:t> </w:t>
      </w:r>
      <w:r>
        <w:rPr/>
        <w:t>feel</w:t>
      </w:r>
      <w:r>
        <w:rPr>
          <w:spacing w:val="-3"/>
        </w:rPr>
        <w:t> </w:t>
      </w:r>
      <w:r>
        <w:rPr/>
        <w:t>for</w:t>
      </w:r>
      <w:r>
        <w:rPr>
          <w:spacing w:val="-3"/>
        </w:rPr>
        <w:t> </w:t>
      </w:r>
      <w:r>
        <w:rPr/>
        <w:t>how</w:t>
      </w:r>
      <w:r>
        <w:rPr>
          <w:spacing w:val="-2"/>
        </w:rPr>
        <w:t> </w:t>
      </w:r>
      <w:r>
        <w:rPr/>
        <w:t>price</w:t>
      </w:r>
      <w:r>
        <w:rPr>
          <w:spacing w:val="-2"/>
        </w:rPr>
        <w:t> </w:t>
      </w:r>
      <w:r>
        <w:rPr/>
        <w:t>may</w:t>
      </w:r>
      <w:r>
        <w:rPr>
          <w:spacing w:val="-4"/>
        </w:rPr>
        <w:t> </w:t>
      </w:r>
      <w:r>
        <w:rPr/>
        <w:t>respond</w:t>
      </w:r>
      <w:r>
        <w:rPr>
          <w:spacing w:val="-3"/>
        </w:rPr>
        <w:t> </w:t>
      </w:r>
      <w:r>
        <w:rPr/>
        <w:t>to</w:t>
      </w:r>
      <w:r>
        <w:rPr>
          <w:spacing w:val="-4"/>
        </w:rPr>
        <w:t> </w:t>
      </w:r>
      <w:r>
        <w:rPr/>
        <w:t>certain</w:t>
      </w:r>
      <w:r>
        <w:rPr>
          <w:spacing w:val="-2"/>
        </w:rPr>
        <w:t> </w:t>
      </w:r>
      <w:r>
        <w:rPr/>
        <w:t>Camarilla</w:t>
      </w:r>
      <w:r>
        <w:rPr>
          <w:spacing w:val="-3"/>
        </w:rPr>
        <w:t> </w:t>
      </w:r>
      <w:r>
        <w:rPr/>
        <w:t>pivots. Let’s take a look at Figure 7.8, which shows a five-minute chart of the Copper</w:t>
      </w:r>
      <w:r>
        <w:rPr>
          <w:spacing w:val="29"/>
        </w:rPr>
        <w:t> </w:t>
      </w:r>
      <w:r>
        <w:rPr/>
        <w:t>futures</w:t>
      </w:r>
      <w:r>
        <w:rPr>
          <w:spacing w:val="29"/>
        </w:rPr>
        <w:t> </w:t>
      </w:r>
      <w:r>
        <w:rPr/>
        <w:t>contract.</w:t>
      </w:r>
      <w:r>
        <w:rPr>
          <w:spacing w:val="29"/>
        </w:rPr>
        <w:t> </w:t>
      </w:r>
      <w:r>
        <w:rPr/>
        <w:t>Copper</w:t>
      </w:r>
      <w:r>
        <w:rPr>
          <w:spacing w:val="29"/>
        </w:rPr>
        <w:t> </w:t>
      </w:r>
      <w:r>
        <w:rPr/>
        <w:t>basically</w:t>
      </w:r>
      <w:r>
        <w:rPr>
          <w:spacing w:val="28"/>
        </w:rPr>
        <w:t> </w:t>
      </w:r>
      <w:r>
        <w:rPr/>
        <w:t>traded</w:t>
      </w:r>
      <w:r>
        <w:rPr>
          <w:spacing w:val="29"/>
        </w:rPr>
        <w:t> </w:t>
      </w:r>
      <w:r>
        <w:rPr/>
        <w:t>in</w:t>
      </w:r>
      <w:r>
        <w:rPr>
          <w:spacing w:val="28"/>
        </w:rPr>
        <w:t> </w:t>
      </w:r>
      <w:r>
        <w:rPr/>
        <w:t>a</w:t>
      </w:r>
      <w:r>
        <w:rPr>
          <w:spacing w:val="29"/>
        </w:rPr>
        <w:t> </w:t>
      </w:r>
      <w:r>
        <w:rPr/>
        <w:t>clear</w:t>
      </w:r>
      <w:r>
        <w:rPr>
          <w:spacing w:val="29"/>
        </w:rPr>
        <w:t> </w:t>
      </w:r>
      <w:r>
        <w:rPr/>
        <w:t>range</w:t>
      </w:r>
      <w:r>
        <w:rPr>
          <w:spacing w:val="29"/>
        </w:rPr>
        <w:t> </w:t>
      </w:r>
      <w:r>
        <w:rPr/>
        <w:t>the</w:t>
      </w:r>
      <w:r>
        <w:rPr>
          <w:spacing w:val="29"/>
        </w:rPr>
        <w:t> </w:t>
      </w:r>
      <w:r>
        <w:rPr/>
        <w:t>prior session, establishing clear areas of support and resistance. The fact that price opened</w:t>
      </w:r>
      <w:r>
        <w:rPr>
          <w:spacing w:val="40"/>
        </w:rPr>
        <w:t> </w:t>
      </w:r>
      <w:r>
        <w:rPr/>
        <w:t>the</w:t>
      </w:r>
      <w:r>
        <w:rPr>
          <w:spacing w:val="40"/>
        </w:rPr>
        <w:t> </w:t>
      </w:r>
      <w:r>
        <w:rPr/>
        <w:t>day</w:t>
      </w:r>
      <w:r>
        <w:rPr>
          <w:spacing w:val="40"/>
        </w:rPr>
        <w:t> </w:t>
      </w:r>
      <w:r>
        <w:rPr/>
        <w:t>firmly</w:t>
      </w:r>
      <w:r>
        <w:rPr>
          <w:spacing w:val="40"/>
        </w:rPr>
        <w:t> </w:t>
      </w:r>
      <w:r>
        <w:rPr/>
        <w:t>within</w:t>
      </w:r>
      <w:r>
        <w:rPr>
          <w:spacing w:val="40"/>
        </w:rPr>
        <w:t> </w:t>
      </w:r>
      <w:r>
        <w:rPr/>
        <w:t>the</w:t>
      </w:r>
      <w:r>
        <w:rPr>
          <w:spacing w:val="40"/>
        </w:rPr>
        <w:t> </w:t>
      </w:r>
      <w:r>
        <w:rPr/>
        <w:t>prior</w:t>
      </w:r>
      <w:r>
        <w:rPr>
          <w:spacing w:val="40"/>
        </w:rPr>
        <w:t> </w:t>
      </w:r>
      <w:r>
        <w:rPr/>
        <w:t>day’s</w:t>
      </w:r>
      <w:r>
        <w:rPr>
          <w:spacing w:val="40"/>
        </w:rPr>
        <w:t> </w:t>
      </w:r>
      <w:r>
        <w:rPr/>
        <w:t>range</w:t>
      </w:r>
      <w:r>
        <w:rPr>
          <w:spacing w:val="40"/>
        </w:rPr>
        <w:t> </w:t>
      </w:r>
      <w:r>
        <w:rPr/>
        <w:t>was</w:t>
      </w:r>
      <w:r>
        <w:rPr>
          <w:spacing w:val="40"/>
        </w:rPr>
        <w:t> </w:t>
      </w:r>
      <w:r>
        <w:rPr/>
        <w:t>indicative</w:t>
      </w:r>
      <w:r>
        <w:rPr>
          <w:spacing w:val="40"/>
        </w:rPr>
        <w:t> </w:t>
      </w:r>
      <w:r>
        <w:rPr/>
        <w:t>that</w:t>
      </w:r>
      <w:r>
        <w:rPr>
          <w:spacing w:val="40"/>
        </w:rPr>
        <w:t> </w:t>
      </w:r>
      <w:r>
        <w:rPr/>
        <w:t>continued</w:t>
      </w:r>
      <w:r>
        <w:rPr>
          <w:spacing w:val="70"/>
        </w:rPr>
        <w:t> </w:t>
      </w:r>
      <w:r>
        <w:rPr/>
        <w:t>trading</w:t>
      </w:r>
      <w:r>
        <w:rPr>
          <w:spacing w:val="71"/>
        </w:rPr>
        <w:t> </w:t>
      </w:r>
      <w:r>
        <w:rPr/>
        <w:t>range</w:t>
      </w:r>
      <w:r>
        <w:rPr>
          <w:spacing w:val="69"/>
        </w:rPr>
        <w:t> </w:t>
      </w:r>
      <w:r>
        <w:rPr/>
        <w:t>behavior</w:t>
      </w:r>
      <w:r>
        <w:rPr>
          <w:spacing w:val="71"/>
        </w:rPr>
        <w:t> </w:t>
      </w:r>
      <w:r>
        <w:rPr/>
        <w:t>was</w:t>
      </w:r>
      <w:r>
        <w:rPr>
          <w:spacing w:val="70"/>
        </w:rPr>
        <w:t> </w:t>
      </w:r>
      <w:r>
        <w:rPr/>
        <w:t>likely</w:t>
      </w:r>
      <w:r>
        <w:rPr>
          <w:spacing w:val="71"/>
        </w:rPr>
        <w:t> </w:t>
      </w:r>
      <w:r>
        <w:rPr/>
        <w:t>to</w:t>
      </w:r>
      <w:r>
        <w:rPr>
          <w:spacing w:val="70"/>
        </w:rPr>
        <w:t> </w:t>
      </w:r>
      <w:r>
        <w:rPr/>
        <w:t>occur—at</w:t>
      </w:r>
      <w:r>
        <w:rPr>
          <w:spacing w:val="70"/>
        </w:rPr>
        <w:t> </w:t>
      </w:r>
      <w:r>
        <w:rPr/>
        <w:t>least</w:t>
      </w:r>
      <w:r>
        <w:rPr>
          <w:spacing w:val="71"/>
        </w:rPr>
        <w:t> </w:t>
      </w:r>
      <w:r>
        <w:rPr/>
        <w:t>until</w:t>
      </w:r>
      <w:r>
        <w:rPr>
          <w:spacing w:val="70"/>
        </w:rPr>
        <w:t> </w:t>
      </w:r>
      <w:r>
        <w:rPr>
          <w:spacing w:val="-10"/>
        </w:rPr>
        <w:t>a</w:t>
      </w:r>
    </w:p>
    <w:p>
      <w:pPr>
        <w:spacing w:after="0"/>
        <w:jc w:val="right"/>
        <w:sectPr>
          <w:pgSz w:w="8640" w:h="12960"/>
          <w:pgMar w:header="536" w:footer="1060" w:top="720" w:bottom="1260" w:left="580" w:right="580"/>
        </w:sectPr>
      </w:pPr>
    </w:p>
    <w:p>
      <w:pPr>
        <w:pStyle w:val="BodyText"/>
        <w:spacing w:before="5"/>
        <w:rPr>
          <w:sz w:val="18"/>
        </w:rPr>
      </w:pPr>
    </w:p>
    <w:p>
      <w:pPr>
        <w:pStyle w:val="BodyText"/>
        <w:spacing w:before="64"/>
        <w:ind w:left="140" w:right="495"/>
        <w:jc w:val="both"/>
      </w:pPr>
      <w:r>
        <w:rPr/>
        <w:t>breakout from the range proves otherwise. Copper reacted to both H3 and L3 pivot levels early in the day, but the wick reversal signals did not allow for proper trade location, as the candlesticks were quick large. Later in the day, Copper formed two bearish wick reversal candlesticks at H3 resistance,</w:t>
      </w:r>
      <w:r>
        <w:rPr>
          <w:spacing w:val="40"/>
        </w:rPr>
        <w:t> </w:t>
      </w:r>
      <w:r>
        <w:rPr/>
        <w:t>which was a level that had already proven to appeal to responsive sellers. I entered the trade short during the development of the second candlestick and set my target to L3 support, which was quickly reached for a handsome</w:t>
      </w:r>
      <w:r>
        <w:rPr>
          <w:spacing w:val="40"/>
        </w:rPr>
        <w:t> </w:t>
      </w:r>
      <w:r>
        <w:rPr>
          <w:spacing w:val="-2"/>
        </w:rPr>
        <w:t>profit.</w:t>
      </w:r>
    </w:p>
    <w:p>
      <w:pPr>
        <w:pStyle w:val="BodyText"/>
        <w:spacing w:before="1"/>
        <w:ind w:left="140" w:right="497" w:firstLine="432"/>
        <w:jc w:val="both"/>
      </w:pPr>
      <w:r>
        <w:rPr/>
        <w:t>While this trade worked out perfectly for me, you’ll notice that I did not rush an entry at either pivot level earlier in the day, as I was not completely comfortable with the size of the candlesticks, which seemed rather erratic. I did miss a perfect bullish outside reversal setup at L3 support just before my short entry, but such is the life of a trader.</w:t>
      </w:r>
    </w:p>
    <w:p>
      <w:pPr>
        <w:pStyle w:val="BodyText"/>
        <w:rPr>
          <w:sz w:val="20"/>
        </w:rPr>
      </w:pPr>
      <w:r>
        <w:rPr/>
        <w:drawing>
          <wp:anchor distT="0" distB="0" distL="0" distR="0" allowOverlap="1" layoutInCell="1" locked="0" behindDoc="0" simplePos="0" relativeHeight="244">
            <wp:simplePos x="0" y="0"/>
            <wp:positionH relativeFrom="page">
              <wp:posOffset>457200</wp:posOffset>
            </wp:positionH>
            <wp:positionV relativeFrom="paragraph">
              <wp:posOffset>161584</wp:posOffset>
            </wp:positionV>
            <wp:extent cx="4342101" cy="3085719"/>
            <wp:effectExtent l="0" t="0" r="0" b="0"/>
            <wp:wrapTopAndBottom/>
            <wp:docPr id="215" name="image109.png"/>
            <wp:cNvGraphicFramePr>
              <a:graphicFrameLocks noChangeAspect="1"/>
            </wp:cNvGraphicFramePr>
            <a:graphic>
              <a:graphicData uri="http://schemas.openxmlformats.org/drawingml/2006/picture">
                <pic:pic>
                  <pic:nvPicPr>
                    <pic:cNvPr id="216" name="image109.png"/>
                    <pic:cNvPicPr/>
                  </pic:nvPicPr>
                  <pic:blipFill>
                    <a:blip r:embed="rId227" cstate="print"/>
                    <a:stretch>
                      <a:fillRect/>
                    </a:stretch>
                  </pic:blipFill>
                  <pic:spPr>
                    <a:xfrm>
                      <a:off x="0" y="0"/>
                      <a:ext cx="4342101" cy="3085719"/>
                    </a:xfrm>
                    <a:prstGeom prst="rect">
                      <a:avLst/>
                    </a:prstGeom>
                  </pic:spPr>
                </pic:pic>
              </a:graphicData>
            </a:graphic>
          </wp:anchor>
        </w:drawing>
      </w:r>
    </w:p>
    <w:p>
      <w:pPr>
        <w:spacing w:before="0"/>
        <w:ind w:left="140" w:right="0" w:firstLine="0"/>
        <w:jc w:val="both"/>
        <w:rPr>
          <w:sz w:val="16"/>
        </w:rPr>
      </w:pPr>
      <w:r>
        <w:rPr>
          <w:sz w:val="16"/>
        </w:rPr>
        <w:t>FIGURE</w:t>
      </w:r>
      <w:r>
        <w:rPr>
          <w:spacing w:val="2"/>
          <w:sz w:val="16"/>
        </w:rPr>
        <w:t> </w:t>
      </w:r>
      <w:r>
        <w:rPr>
          <w:sz w:val="16"/>
        </w:rPr>
        <w:t>7.8:</w:t>
      </w:r>
      <w:r>
        <w:rPr>
          <w:spacing w:val="3"/>
          <w:sz w:val="16"/>
        </w:rPr>
        <w:t> </w:t>
      </w:r>
      <w:r>
        <w:rPr>
          <w:sz w:val="16"/>
        </w:rPr>
        <w:t>A</w:t>
      </w:r>
      <w:r>
        <w:rPr>
          <w:spacing w:val="3"/>
          <w:sz w:val="16"/>
        </w:rPr>
        <w:t> </w:t>
      </w:r>
      <w:r>
        <w:rPr>
          <w:sz w:val="16"/>
        </w:rPr>
        <w:t>perfect</w:t>
      </w:r>
      <w:r>
        <w:rPr>
          <w:spacing w:val="2"/>
          <w:sz w:val="16"/>
        </w:rPr>
        <w:t> </w:t>
      </w:r>
      <w:r>
        <w:rPr>
          <w:sz w:val="16"/>
        </w:rPr>
        <w:t>H3</w:t>
      </w:r>
      <w:r>
        <w:rPr>
          <w:spacing w:val="3"/>
          <w:sz w:val="16"/>
        </w:rPr>
        <w:t> </w:t>
      </w:r>
      <w:r>
        <w:rPr>
          <w:sz w:val="16"/>
        </w:rPr>
        <w:t>reversal</w:t>
      </w:r>
      <w:r>
        <w:rPr>
          <w:spacing w:val="3"/>
          <w:sz w:val="16"/>
        </w:rPr>
        <w:t> </w:t>
      </w:r>
      <w:r>
        <w:rPr>
          <w:sz w:val="16"/>
        </w:rPr>
        <w:t>trade</w:t>
      </w:r>
      <w:r>
        <w:rPr>
          <w:spacing w:val="3"/>
          <w:sz w:val="16"/>
        </w:rPr>
        <w:t> </w:t>
      </w:r>
      <w:r>
        <w:rPr>
          <w:sz w:val="16"/>
        </w:rPr>
        <w:t>in</w:t>
      </w:r>
      <w:r>
        <w:rPr>
          <w:spacing w:val="2"/>
          <w:sz w:val="16"/>
        </w:rPr>
        <w:t> </w:t>
      </w:r>
      <w:r>
        <w:rPr>
          <w:sz w:val="16"/>
        </w:rPr>
        <w:t>Copper</w:t>
      </w:r>
      <w:r>
        <w:rPr>
          <w:spacing w:val="3"/>
          <w:sz w:val="16"/>
        </w:rPr>
        <w:t> </w:t>
      </w:r>
      <w:r>
        <w:rPr>
          <w:spacing w:val="-2"/>
          <w:sz w:val="16"/>
        </w:rPr>
        <w:t>futures</w:t>
      </w:r>
    </w:p>
    <w:p>
      <w:pPr>
        <w:pStyle w:val="BodyText"/>
        <w:spacing w:before="8"/>
        <w:rPr>
          <w:sz w:val="21"/>
        </w:rPr>
      </w:pPr>
    </w:p>
    <w:p>
      <w:pPr>
        <w:pStyle w:val="Heading3"/>
        <w:jc w:val="both"/>
      </w:pPr>
      <w:r>
        <w:rPr/>
        <w:pict>
          <v:shape style="position:absolute;margin-left:35.82pt;margin-top:17.270311pt;width:340.95pt;height:.1pt;mso-position-horizontal-relative:page;mso-position-vertical-relative:paragraph;z-index:-15603200;mso-wrap-distance-left:0;mso-wrap-distance-right:0" id="docshape641" coordorigin="716,345" coordsize="6819,0" path="m716,345l7535,345e" filled="false" stroked="true" strokeweight=".75pt" strokecolor="#000000">
            <v:path arrowok="t"/>
            <v:stroke dashstyle="solid"/>
            <w10:wrap type="topAndBottom"/>
          </v:shape>
        </w:pict>
      </w:r>
      <w:bookmarkStart w:name="_TOC_250030" w:id="61"/>
      <w:r>
        <w:rPr>
          <w:smallCaps/>
          <w:spacing w:val="-2"/>
        </w:rPr>
        <w:t>The</w:t>
      </w:r>
      <w:r>
        <w:rPr>
          <w:smallCaps/>
          <w:spacing w:val="-11"/>
        </w:rPr>
        <w:t> </w:t>
      </w:r>
      <w:r>
        <w:rPr>
          <w:smallCaps/>
          <w:spacing w:val="-2"/>
        </w:rPr>
        <w:t>Standard</w:t>
      </w:r>
      <w:r>
        <w:rPr>
          <w:smallCaps/>
          <w:spacing w:val="-10"/>
        </w:rPr>
        <w:t> </w:t>
      </w:r>
      <w:r>
        <w:rPr>
          <w:smallCaps/>
          <w:spacing w:val="-2"/>
        </w:rPr>
        <w:t>Fourth</w:t>
      </w:r>
      <w:r>
        <w:rPr>
          <w:smallCaps/>
          <w:spacing w:val="-10"/>
        </w:rPr>
        <w:t> </w:t>
      </w:r>
      <w:r>
        <w:rPr>
          <w:smallCaps/>
          <w:spacing w:val="-2"/>
        </w:rPr>
        <w:t>Layer</w:t>
      </w:r>
      <w:r>
        <w:rPr>
          <w:smallCaps/>
          <w:spacing w:val="-10"/>
        </w:rPr>
        <w:t> </w:t>
      </w:r>
      <w:bookmarkEnd w:id="61"/>
      <w:r>
        <w:rPr>
          <w:smallCaps/>
          <w:spacing w:val="-2"/>
        </w:rPr>
        <w:t>Breakout</w:t>
      </w:r>
    </w:p>
    <w:p>
      <w:pPr>
        <w:pStyle w:val="BodyText"/>
        <w:spacing w:before="222"/>
        <w:ind w:left="139" w:right="497" w:firstLine="432"/>
        <w:jc w:val="both"/>
      </w:pPr>
      <w:r>
        <w:rPr/>
        <w:t>The second type of Camarilla setup that I will discuss is the fourth layer breakout trade. Let’s begin with the first version of this trade, which is the</w:t>
      </w:r>
      <w:r>
        <w:rPr>
          <w:spacing w:val="40"/>
        </w:rPr>
        <w:t> </w:t>
      </w:r>
      <w:r>
        <w:rPr>
          <w:i/>
        </w:rPr>
        <w:t>H4 Breakout </w:t>
      </w:r>
      <w:r>
        <w:rPr/>
        <w:t>trade (illustrated in Figure 7.9). The basic premise of this setup is to trade a breakout through H4 resistance with a target set to the H5 pivot</w:t>
      </w:r>
    </w:p>
    <w:p>
      <w:pPr>
        <w:spacing w:after="0"/>
        <w:jc w:val="both"/>
        <w:sectPr>
          <w:pgSz w:w="8640" w:h="12960"/>
          <w:pgMar w:header="579" w:footer="997" w:top="760" w:bottom="1260" w:left="580" w:right="580"/>
        </w:sectPr>
      </w:pPr>
    </w:p>
    <w:p>
      <w:pPr>
        <w:pStyle w:val="BodyText"/>
        <w:spacing w:before="3"/>
      </w:pPr>
    </w:p>
    <w:p>
      <w:pPr>
        <w:pStyle w:val="BodyText"/>
        <w:spacing w:before="64"/>
        <w:ind w:left="500" w:right="136"/>
        <w:jc w:val="both"/>
      </w:pPr>
      <w:r>
        <w:rPr/>
        <w:t>level. Stops are traditionally held at, or just below, the H3 level. As I mentioned earlier,</w:t>
      </w:r>
      <w:r>
        <w:rPr/>
        <w:t> H4 represents the last line of pivot resistance, as seen through the eyes of the indicator. The market has to decide whether it will break through, or bounce off, this last line of defense. If a break occurs through this level, you typically see a rush of buying pressure that catapults price vastly higher, as initiative buyers begin to step into the market to advance price to higher value. When H4 is crossed with plenty of energy, the market can break away from the prior range at an advanced rate of speed, reaching the H5 target in a matter of minutes.</w:t>
      </w:r>
    </w:p>
    <w:p>
      <w:pPr>
        <w:pStyle w:val="BodyText"/>
        <w:spacing w:before="2"/>
        <w:rPr>
          <w:sz w:val="20"/>
        </w:rPr>
      </w:pPr>
      <w:r>
        <w:rPr/>
        <w:pict>
          <v:group style="position:absolute;margin-left:80.625pt;margin-top:12.830067pt;width:288.75pt;height:206.4pt;mso-position-horizontal-relative:page;mso-position-vertical-relative:paragraph;z-index:-15602688;mso-wrap-distance-left:0;mso-wrap-distance-right:0" id="docshapegroup647" coordorigin="1613,257" coordsize="5775,4128">
            <v:shape style="position:absolute;left:1620;top:264;width:5760;height:4113" id="docshape648" coordorigin="1620,264" coordsize="5760,4113" path="m7380,264l1621,264,1621,4377,7380,4377,7380,264xm7379,268l1620,268,1620,760,7379,760,7379,268xe" filled="false" stroked="true" strokeweight=".75pt" strokecolor="#000000">
              <v:path arrowok="t"/>
              <v:stroke dashstyle="solid"/>
            </v:shape>
            <v:rect style="position:absolute;left:4442;top:2253;width:143;height:544" id="docshape649" filled="true" fillcolor="#000000" stroked="false">
              <v:fill type="solid"/>
            </v:rect>
            <v:shape style="position:absolute;left:4442;top:1332;width:1216;height:1466" id="docshape650" coordorigin="4442,1332" coordsize="1216,1466" path="m4585,2254l4442,2254,4442,2797,4585,2797,4585,2254xm5658,1332l5515,1332,5515,1812,5658,1812,5658,1332xe" filled="false" stroked="true" strokeweight=".75pt" strokecolor="#000000">
              <v:path arrowok="t"/>
              <v:stroke dashstyle="solid"/>
            </v:shape>
            <v:line style="position:absolute" from="3850,984" to="6350,985" stroked="true" strokeweight="1.5pt" strokecolor="#000000">
              <v:stroke dashstyle="solid"/>
            </v:line>
            <v:shape style="position:absolute;left:3849;top:2188;width:2501;height:2" id="docshape651" coordorigin="3850,2189" coordsize="2501,0" path="m3850,2189l5314,2189m5458,2189l6350,2189e" filled="false" stroked="true" strokeweight="1.5pt" strokecolor="#000000">
              <v:path arrowok="t"/>
              <v:stroke dashstyle="solid"/>
            </v:shape>
            <v:line style="position:absolute" from="3850,4159" to="6350,4161" stroked="true" strokeweight="1.5pt" strokecolor="#000000">
              <v:stroke dashstyle="solid"/>
            </v:line>
            <v:shape style="position:absolute;left:3849;top:2724;width:2501;height:2" id="docshape652" coordorigin="3850,2724" coordsize="2501,0" path="m3850,2724l4012,2724m4156,2724l4661,2724m4804,2724l6350,2724e" filled="false" stroked="true" strokeweight="1.5pt" strokecolor="#000000">
              <v:path arrowok="t"/>
              <v:stroke dashstyle="solid"/>
            </v:shape>
            <v:shape style="position:absolute;left:4233;top:1749;width:1223;height:892" id="docshape653" coordorigin="4234,1750" coordsize="1223,892" path="m5456,1750l5314,1750,5314,2327,5456,2327,5456,1750xm4376,2254l4234,2254,4234,2641,4376,2641,4376,2254xe" filled="false" stroked="true" strokeweight=".75pt" strokecolor="#000000">
              <v:path arrowok="t"/>
              <v:stroke dashstyle="solid"/>
            </v:shape>
            <v:line style="position:absolute" from="4306,2254" to="4307,2021" stroked="true" strokeweight=".75pt" strokecolor="#000000">
              <v:stroke dashstyle="solid"/>
            </v:line>
            <v:rect style="position:absolute;left:5732;top:1036;width:143;height:296" id="docshape654" filled="false" stroked="true" strokeweight=".75pt" strokecolor="#000000">
              <v:stroke dashstyle="solid"/>
            </v:rect>
            <v:line style="position:absolute" from="5806,1037" to="5806,906" stroked="true" strokeweight=".75pt" strokecolor="#000000">
              <v:stroke dashstyle="solid"/>
            </v:line>
            <v:line style="position:absolute" from="5806,1482" to="5804,1332" stroked="true" strokeweight=".75pt" strokecolor="#000000">
              <v:stroke dashstyle="solid"/>
            </v:line>
            <v:rect style="position:absolute;left:5074;top:2220;width:143;height:107" id="docshape655" filled="true" fillcolor="#000000" stroked="false">
              <v:fill type="solid"/>
            </v:rect>
            <v:rect style="position:absolute;left:5074;top:2220;width:143;height:107" id="docshape656" filled="false" stroked="true" strokeweight=".75pt" strokecolor="#000000">
              <v:stroke dashstyle="solid"/>
            </v:rect>
            <v:line style="position:absolute" from="5148,2220" to="5149,2004" stroked="true" strokeweight=".75pt" strokecolor="#000000">
              <v:stroke dashstyle="solid"/>
            </v:line>
            <v:line style="position:absolute" from="5147,2503" to="5147,2327" stroked="true" strokeweight=".75pt" strokecolor="#000000">
              <v:stroke dashstyle="solid"/>
            </v:line>
            <v:line style="position:absolute" from="4937,2220" to="4936,2004" stroked="true" strokeweight=".75pt" strokecolor="#000000">
              <v:stroke dashstyle="solid"/>
            </v:line>
            <v:line style="position:absolute" from="4937,2766" to="4934,2616" stroked="true" strokeweight=".75pt" strokecolor="#000000">
              <v:stroke dashstyle="solid"/>
            </v:line>
            <v:rect style="position:absolute;left:4862;top:2220;width:144;height:396" id="docshape657" filled="false" stroked="true" strokeweight=".75pt" strokecolor="#000000">
              <v:stroke dashstyle="solid"/>
            </v:rect>
            <v:line style="position:absolute" from="4735,2513" to="4735,2609" stroked="true" strokeweight=".81pt" strokecolor="#000000">
              <v:stroke dashstyle="solid"/>
            </v:line>
            <v:line style="position:absolute" from="4733,3021" to="4733,2844" stroked="true" strokeweight=".75pt" strokecolor="#000000">
              <v:stroke dashstyle="solid"/>
            </v:line>
            <v:shape style="position:absolute;left:4011;top:2608;width:792;height:563" id="docshape658" coordorigin="4012,2609" coordsize="792,563" path="m4804,2609l4661,2609,4661,2844,4804,2844,4804,2609xm4154,2628l4012,2628,4012,3172,4154,3172,4154,2628xe" filled="false" stroked="true" strokeweight=".75pt" strokecolor="#000000">
              <v:path arrowok="t"/>
              <v:stroke dashstyle="solid"/>
            </v:shape>
            <v:shape style="position:absolute;left:2305;top:929;width:1341;height:201" type="#_x0000_t202" id="docshape659" filled="false" stroked="false">
              <v:textbox inset="0,0,0,0">
                <w:txbxContent>
                  <w:p>
                    <w:pPr>
                      <w:tabs>
                        <w:tab w:pos="1075" w:val="left" w:leader="none"/>
                      </w:tabs>
                      <w:spacing w:line="199" w:lineRule="exact" w:before="0"/>
                      <w:ind w:left="0" w:right="0" w:firstLine="0"/>
                      <w:jc w:val="left"/>
                      <w:rPr>
                        <w:rFonts w:ascii="Tahoma"/>
                        <w:sz w:val="20"/>
                      </w:rPr>
                    </w:pPr>
                    <w:r>
                      <w:rPr>
                        <w:rFonts w:ascii="Tahoma"/>
                        <w:sz w:val="20"/>
                      </w:rPr>
                      <w:t>Target</w:t>
                    </w:r>
                    <w:r>
                      <w:rPr>
                        <w:rFonts w:ascii="Tahoma"/>
                        <w:spacing w:val="-5"/>
                        <w:sz w:val="20"/>
                      </w:rPr>
                      <w:t> </w:t>
                    </w:r>
                    <w:r>
                      <w:rPr>
                        <w:rFonts w:ascii="Tahoma"/>
                        <w:spacing w:val="-10"/>
                        <w:sz w:val="20"/>
                      </w:rPr>
                      <w:t>@</w:t>
                    </w:r>
                    <w:r>
                      <w:rPr>
                        <w:rFonts w:ascii="Tahoma"/>
                        <w:sz w:val="20"/>
                      </w:rPr>
                      <w:tab/>
                    </w:r>
                    <w:r>
                      <w:rPr>
                        <w:rFonts w:ascii="Tahoma"/>
                        <w:spacing w:val="-5"/>
                        <w:sz w:val="20"/>
                      </w:rPr>
                      <w:t>H5</w:t>
                    </w:r>
                  </w:p>
                </w:txbxContent>
              </v:textbox>
              <w10:wrap type="none"/>
            </v:shape>
            <v:shape style="position:absolute;left:2419;top:2119;width:1227;height:718" type="#_x0000_t202" id="docshape660" filled="false" stroked="false">
              <v:textbox inset="0,0,0,0">
                <w:txbxContent>
                  <w:p>
                    <w:pPr>
                      <w:tabs>
                        <w:tab w:pos="961" w:val="left" w:leader="none"/>
                      </w:tabs>
                      <w:spacing w:line="199" w:lineRule="exact" w:before="0"/>
                      <w:ind w:left="0" w:right="0" w:firstLine="0"/>
                      <w:jc w:val="left"/>
                      <w:rPr>
                        <w:rFonts w:ascii="Tahoma"/>
                        <w:sz w:val="20"/>
                      </w:rPr>
                    </w:pPr>
                    <w:r>
                      <w:rPr>
                        <w:rFonts w:ascii="Tahoma"/>
                        <w:sz w:val="20"/>
                      </w:rPr>
                      <w:t>Entry</w:t>
                    </w:r>
                    <w:r>
                      <w:rPr>
                        <w:rFonts w:ascii="Tahoma"/>
                        <w:spacing w:val="-5"/>
                        <w:sz w:val="20"/>
                      </w:rPr>
                      <w:t> </w:t>
                    </w:r>
                    <w:r>
                      <w:rPr>
                        <w:rFonts w:ascii="Tahoma"/>
                        <w:spacing w:val="-10"/>
                        <w:sz w:val="20"/>
                      </w:rPr>
                      <w:t>@</w:t>
                    </w:r>
                    <w:r>
                      <w:rPr>
                        <w:rFonts w:ascii="Tahoma"/>
                        <w:sz w:val="20"/>
                      </w:rPr>
                      <w:tab/>
                    </w:r>
                    <w:r>
                      <w:rPr>
                        <w:rFonts w:ascii="Tahoma"/>
                        <w:spacing w:val="-5"/>
                        <w:sz w:val="20"/>
                      </w:rPr>
                      <w:t>H4</w:t>
                    </w:r>
                  </w:p>
                  <w:p>
                    <w:pPr>
                      <w:spacing w:line="240" w:lineRule="auto" w:before="10"/>
                      <w:rPr>
                        <w:rFonts w:ascii="Tahoma"/>
                        <w:sz w:val="22"/>
                      </w:rPr>
                    </w:pPr>
                  </w:p>
                  <w:p>
                    <w:pPr>
                      <w:tabs>
                        <w:tab w:pos="961" w:val="left" w:leader="none"/>
                      </w:tabs>
                      <w:spacing w:before="0"/>
                      <w:ind w:left="64" w:right="0" w:firstLine="0"/>
                      <w:jc w:val="left"/>
                      <w:rPr>
                        <w:rFonts w:ascii="Tahoma"/>
                        <w:sz w:val="20"/>
                      </w:rPr>
                    </w:pPr>
                    <w:r>
                      <w:rPr>
                        <w:rFonts w:ascii="Tahoma"/>
                        <w:sz w:val="20"/>
                      </w:rPr>
                      <w:t>Stop</w:t>
                    </w:r>
                    <w:r>
                      <w:rPr>
                        <w:rFonts w:ascii="Tahoma"/>
                        <w:spacing w:val="-4"/>
                        <w:sz w:val="20"/>
                      </w:rPr>
                      <w:t> </w:t>
                    </w:r>
                    <w:r>
                      <w:rPr>
                        <w:rFonts w:ascii="Tahoma"/>
                        <w:spacing w:val="-10"/>
                        <w:sz w:val="20"/>
                      </w:rPr>
                      <w:t>@</w:t>
                    </w:r>
                    <w:r>
                      <w:rPr>
                        <w:rFonts w:ascii="Tahoma"/>
                        <w:sz w:val="20"/>
                      </w:rPr>
                      <w:tab/>
                    </w:r>
                    <w:r>
                      <w:rPr>
                        <w:rFonts w:ascii="Tahoma"/>
                        <w:spacing w:val="-5"/>
                        <w:sz w:val="20"/>
                      </w:rPr>
                      <w:t>H3</w:t>
                    </w:r>
                  </w:p>
                </w:txbxContent>
              </v:textbox>
              <w10:wrap type="none"/>
            </v:shape>
            <v:shape style="position:absolute;left:3380;top:4101;width:229;height:201" type="#_x0000_t202" id="docshape661" filled="false" stroked="false">
              <v:textbox inset="0,0,0,0">
                <w:txbxContent>
                  <w:p>
                    <w:pPr>
                      <w:spacing w:line="199" w:lineRule="exact" w:before="0"/>
                      <w:ind w:left="0" w:right="0" w:firstLine="0"/>
                      <w:jc w:val="left"/>
                      <w:rPr>
                        <w:rFonts w:ascii="Tahoma"/>
                        <w:sz w:val="20"/>
                      </w:rPr>
                    </w:pPr>
                    <w:r>
                      <w:rPr>
                        <w:rFonts w:ascii="Tahoma"/>
                        <w:spacing w:val="-5"/>
                        <w:sz w:val="20"/>
                      </w:rPr>
                      <w:t>L3</w:t>
                    </w:r>
                  </w:p>
                </w:txbxContent>
              </v:textbox>
              <w10:wrap type="none"/>
            </v:shape>
            <v:shape style="position:absolute;left:1612;top:256;width:5774;height:511" type="#_x0000_t202" id="docshape662" filled="true" fillcolor="#000000" stroked="false">
              <v:textbox inset="0,0,0,0">
                <w:txbxContent>
                  <w:p>
                    <w:pPr>
                      <w:spacing w:before="89"/>
                      <w:ind w:left="1566" w:right="0" w:firstLine="0"/>
                      <w:jc w:val="left"/>
                      <w:rPr>
                        <w:rFonts w:ascii="Verdana"/>
                        <w:color w:val="000000"/>
                        <w:sz w:val="28"/>
                      </w:rPr>
                    </w:pPr>
                    <w:r>
                      <w:rPr>
                        <w:rFonts w:ascii="Verdana"/>
                        <w:color w:val="FFFFFF"/>
                        <w:sz w:val="28"/>
                      </w:rPr>
                      <w:t>H4</w:t>
                    </w:r>
                    <w:r>
                      <w:rPr>
                        <w:rFonts w:ascii="Verdana"/>
                        <w:color w:val="FFFFFF"/>
                        <w:spacing w:val="-17"/>
                        <w:sz w:val="28"/>
                      </w:rPr>
                      <w:t> </w:t>
                    </w:r>
                    <w:r>
                      <w:rPr>
                        <w:rFonts w:ascii="Verdana"/>
                        <w:color w:val="FFFFFF"/>
                        <w:sz w:val="28"/>
                      </w:rPr>
                      <w:t>Breakout</w:t>
                    </w:r>
                    <w:r>
                      <w:rPr>
                        <w:rFonts w:ascii="Verdana"/>
                        <w:color w:val="FFFFFF"/>
                        <w:spacing w:val="-17"/>
                        <w:sz w:val="28"/>
                      </w:rPr>
                      <w:t> </w:t>
                    </w:r>
                    <w:r>
                      <w:rPr>
                        <w:rFonts w:ascii="Verdana"/>
                        <w:color w:val="FFFFFF"/>
                        <w:spacing w:val="-2"/>
                        <w:sz w:val="28"/>
                      </w:rPr>
                      <w:t>Trade</w:t>
                    </w:r>
                  </w:p>
                </w:txbxContent>
              </v:textbox>
              <v:fill type="solid"/>
              <w10:wrap type="none"/>
            </v:shape>
            <w10:wrap type="topAndBottom"/>
          </v:group>
        </w:pict>
      </w:r>
    </w:p>
    <w:p>
      <w:pPr>
        <w:spacing w:before="0"/>
        <w:ind w:left="989" w:right="0" w:firstLine="0"/>
        <w:jc w:val="left"/>
        <w:rPr>
          <w:sz w:val="16"/>
        </w:rPr>
      </w:pPr>
      <w:r>
        <w:rPr>
          <w:sz w:val="16"/>
        </w:rPr>
        <w:t>FIGURE</w:t>
      </w:r>
      <w:r>
        <w:rPr>
          <w:spacing w:val="10"/>
          <w:sz w:val="16"/>
        </w:rPr>
        <w:t> </w:t>
      </w:r>
      <w:r>
        <w:rPr>
          <w:sz w:val="16"/>
        </w:rPr>
        <w:t>7.9:</w:t>
      </w:r>
      <w:r>
        <w:rPr>
          <w:spacing w:val="12"/>
          <w:sz w:val="16"/>
        </w:rPr>
        <w:t> </w:t>
      </w:r>
      <w:r>
        <w:rPr>
          <w:sz w:val="16"/>
        </w:rPr>
        <w:t>H4</w:t>
      </w:r>
      <w:r>
        <w:rPr>
          <w:spacing w:val="12"/>
          <w:sz w:val="16"/>
        </w:rPr>
        <w:t> </w:t>
      </w:r>
      <w:r>
        <w:rPr>
          <w:sz w:val="16"/>
        </w:rPr>
        <w:t>breakout</w:t>
      </w:r>
      <w:r>
        <w:rPr>
          <w:spacing w:val="11"/>
          <w:sz w:val="16"/>
        </w:rPr>
        <w:t> </w:t>
      </w:r>
      <w:r>
        <w:rPr>
          <w:spacing w:val="-2"/>
          <w:sz w:val="16"/>
        </w:rPr>
        <w:t>trade</w:t>
      </w:r>
    </w:p>
    <w:p>
      <w:pPr>
        <w:pStyle w:val="BodyText"/>
        <w:spacing w:before="10"/>
        <w:rPr>
          <w:sz w:val="21"/>
        </w:rPr>
      </w:pPr>
    </w:p>
    <w:p>
      <w:pPr>
        <w:pStyle w:val="BodyText"/>
        <w:spacing w:before="1"/>
        <w:ind w:left="500" w:right="135" w:firstLine="432"/>
        <w:jc w:val="both"/>
      </w:pPr>
      <w:r>
        <w:rPr/>
        <w:t>While the H4 breakout play looks easy to trade, it can actually be quite difficult for traders that are new to trading with the Camarilla Equation. The reason is that H4 is typically considered a breakout level, but it is actually more of a last line of resistance. What happens when the market tests the last line of resistance? The market fights this level tooth and nail on most occasions, as bulls and bears battle for control. This struggle causes price to wick resistance many times before direction is ultimately decided. These wicks are what cause headaches and frustration for new traders of the equation. You see, when newbies to the Camarilla Equation learn that H4 is to be bought for a breakout opportunity, they generally buy the first touch at this level, which typically results in a losing trade. On most occasions, the market has to test this last line of resistance before making a decision to</w:t>
      </w:r>
      <w:r>
        <w:rPr>
          <w:spacing w:val="-1"/>
        </w:rPr>
        <w:t> </w:t>
      </w:r>
      <w:r>
        <w:rPr/>
        <w:t>head higher.</w:t>
      </w:r>
      <w:r>
        <w:rPr>
          <w:spacing w:val="19"/>
        </w:rPr>
        <w:t> </w:t>
      </w:r>
      <w:r>
        <w:rPr/>
        <w:t>Therefore,</w:t>
      </w:r>
      <w:r>
        <w:rPr>
          <w:spacing w:val="19"/>
        </w:rPr>
        <w:t> </w:t>
      </w:r>
      <w:r>
        <w:rPr/>
        <w:t>the</w:t>
      </w:r>
      <w:r>
        <w:rPr>
          <w:spacing w:val="19"/>
        </w:rPr>
        <w:t> </w:t>
      </w:r>
      <w:r>
        <w:rPr/>
        <w:t>best</w:t>
      </w:r>
      <w:r>
        <w:rPr>
          <w:spacing w:val="19"/>
        </w:rPr>
        <w:t> </w:t>
      </w:r>
      <w:r>
        <w:rPr/>
        <w:t>course</w:t>
      </w:r>
      <w:r>
        <w:rPr>
          <w:spacing w:val="19"/>
        </w:rPr>
        <w:t> </w:t>
      </w:r>
      <w:r>
        <w:rPr/>
        <w:t>of</w:t>
      </w:r>
      <w:r>
        <w:rPr>
          <w:spacing w:val="19"/>
        </w:rPr>
        <w:t> </w:t>
      </w:r>
      <w:r>
        <w:rPr/>
        <w:t>action</w:t>
      </w:r>
      <w:r>
        <w:rPr>
          <w:spacing w:val="19"/>
        </w:rPr>
        <w:t> </w:t>
      </w:r>
      <w:r>
        <w:rPr/>
        <w:t>is</w:t>
      </w:r>
      <w:r>
        <w:rPr>
          <w:spacing w:val="19"/>
        </w:rPr>
        <w:t> </w:t>
      </w:r>
      <w:r>
        <w:rPr/>
        <w:t>to</w:t>
      </w:r>
      <w:r>
        <w:rPr>
          <w:spacing w:val="19"/>
        </w:rPr>
        <w:t> </w:t>
      </w:r>
      <w:r>
        <w:rPr/>
        <w:t>watch</w:t>
      </w:r>
      <w:r>
        <w:rPr>
          <w:spacing w:val="19"/>
        </w:rPr>
        <w:t> </w:t>
      </w:r>
      <w:r>
        <w:rPr/>
        <w:t>behavior</w:t>
      </w:r>
      <w:r>
        <w:rPr>
          <w:spacing w:val="17"/>
        </w:rPr>
        <w:t> </w:t>
      </w:r>
      <w:r>
        <w:rPr/>
        <w:t>at</w:t>
      </w:r>
      <w:r>
        <w:rPr>
          <w:spacing w:val="19"/>
        </w:rPr>
        <w:t> </w:t>
      </w:r>
      <w:r>
        <w:rPr/>
        <w:t>H4</w:t>
      </w:r>
      <w:r>
        <w:rPr>
          <w:spacing w:val="18"/>
        </w:rPr>
        <w:t> </w:t>
      </w:r>
      <w:r>
        <w:rPr>
          <w:spacing w:val="-5"/>
        </w:rPr>
        <w:t>and</w:t>
      </w:r>
    </w:p>
    <w:p>
      <w:pPr>
        <w:pStyle w:val="BodyText"/>
        <w:ind w:left="470"/>
        <w:jc w:val="both"/>
      </w:pPr>
      <w:r>
        <w:rPr>
          <w:spacing w:val="-26"/>
          <w:u w:val="single"/>
        </w:rPr>
        <w:t> </w:t>
      </w:r>
      <w:r>
        <w:rPr>
          <w:u w:val="single"/>
        </w:rPr>
        <w:t>allow</w:t>
      </w:r>
      <w:r>
        <w:rPr>
          <w:spacing w:val="8"/>
          <w:u w:val="single"/>
        </w:rPr>
        <w:t> </w:t>
      </w:r>
      <w:r>
        <w:rPr>
          <w:u w:val="single"/>
        </w:rPr>
        <w:t>it</w:t>
      </w:r>
      <w:r>
        <w:rPr>
          <w:spacing w:val="11"/>
          <w:u w:val="single"/>
        </w:rPr>
        <w:t> </w:t>
      </w:r>
      <w:r>
        <w:rPr>
          <w:u w:val="single"/>
        </w:rPr>
        <w:t>to</w:t>
      </w:r>
      <w:r>
        <w:rPr>
          <w:spacing w:val="10"/>
          <w:u w:val="single"/>
        </w:rPr>
        <w:t> </w:t>
      </w:r>
      <w:r>
        <w:rPr>
          <w:u w:val="single"/>
        </w:rPr>
        <w:t>form</w:t>
      </w:r>
      <w:r>
        <w:rPr>
          <w:spacing w:val="10"/>
          <w:u w:val="single"/>
        </w:rPr>
        <w:t> </w:t>
      </w:r>
      <w:r>
        <w:rPr>
          <w:u w:val="single"/>
        </w:rPr>
        <w:t>a</w:t>
      </w:r>
      <w:r>
        <w:rPr>
          <w:spacing w:val="10"/>
          <w:u w:val="single"/>
        </w:rPr>
        <w:t> </w:t>
      </w:r>
      <w:r>
        <w:rPr>
          <w:u w:val="single"/>
        </w:rPr>
        <w:t>natural</w:t>
      </w:r>
      <w:r>
        <w:rPr>
          <w:spacing w:val="12"/>
          <w:u w:val="single"/>
        </w:rPr>
        <w:t> </w:t>
      </w:r>
      <w:r>
        <w:rPr>
          <w:u w:val="single"/>
        </w:rPr>
        <w:t>price</w:t>
      </w:r>
      <w:r>
        <w:rPr>
          <w:spacing w:val="10"/>
          <w:u w:val="single"/>
        </w:rPr>
        <w:t> </w:t>
      </w:r>
      <w:r>
        <w:rPr>
          <w:u w:val="single"/>
        </w:rPr>
        <w:t>resistance</w:t>
      </w:r>
      <w:r>
        <w:rPr>
          <w:spacing w:val="10"/>
          <w:u w:val="single"/>
        </w:rPr>
        <w:t> </w:t>
      </w:r>
      <w:r>
        <w:rPr>
          <w:u w:val="single"/>
        </w:rPr>
        <w:t>until</w:t>
      </w:r>
      <w:r>
        <w:rPr>
          <w:spacing w:val="11"/>
          <w:u w:val="single"/>
        </w:rPr>
        <w:t> </w:t>
      </w:r>
      <w:r>
        <w:rPr>
          <w:u w:val="single"/>
        </w:rPr>
        <w:t>a</w:t>
      </w:r>
      <w:r>
        <w:rPr>
          <w:spacing w:val="10"/>
          <w:u w:val="single"/>
        </w:rPr>
        <w:t> </w:t>
      </w:r>
      <w:r>
        <w:rPr>
          <w:u w:val="single"/>
        </w:rPr>
        <w:t>solid</w:t>
      </w:r>
      <w:r>
        <w:rPr>
          <w:spacing w:val="10"/>
          <w:u w:val="single"/>
        </w:rPr>
        <w:t> </w:t>
      </w:r>
      <w:r>
        <w:rPr>
          <w:u w:val="single"/>
        </w:rPr>
        <w:t>breakout</w:t>
      </w:r>
      <w:r>
        <w:rPr>
          <w:spacing w:val="11"/>
          <w:u w:val="single"/>
        </w:rPr>
        <w:t> </w:t>
      </w:r>
      <w:r>
        <w:rPr>
          <w:u w:val="single"/>
        </w:rPr>
        <w:t>occurs</w:t>
      </w:r>
      <w:r>
        <w:rPr>
          <w:spacing w:val="10"/>
          <w:u w:val="single"/>
        </w:rPr>
        <w:t> </w:t>
      </w:r>
      <w:r>
        <w:rPr>
          <w:u w:val="single"/>
        </w:rPr>
        <w:t>via</w:t>
      </w:r>
      <w:r>
        <w:rPr>
          <w:spacing w:val="11"/>
          <w:u w:val="single"/>
        </w:rPr>
        <w:t> </w:t>
      </w:r>
      <w:r>
        <w:rPr>
          <w:spacing w:val="-10"/>
          <w:u w:val="single"/>
        </w:rPr>
        <w:t>a</w:t>
      </w:r>
    </w:p>
    <w:p>
      <w:pPr>
        <w:spacing w:after="0"/>
        <w:jc w:val="both"/>
        <w:sectPr>
          <w:headerReference w:type="default" r:id="rId228"/>
          <w:headerReference w:type="even" r:id="rId229"/>
          <w:footerReference w:type="default" r:id="rId230"/>
          <w:footerReference w:type="even" r:id="rId231"/>
          <w:pgSz w:w="8640" w:h="12960"/>
          <w:pgMar w:header="536" w:footer="983" w:top="720" w:bottom="1180" w:left="580" w:right="580"/>
          <w:pgNumType w:start="193"/>
        </w:sectPr>
      </w:pPr>
    </w:p>
    <w:p>
      <w:pPr>
        <w:pStyle w:val="BodyText"/>
        <w:spacing w:before="5"/>
        <w:rPr>
          <w:sz w:val="18"/>
        </w:rPr>
      </w:pPr>
    </w:p>
    <w:p>
      <w:pPr>
        <w:pStyle w:val="BodyText"/>
        <w:spacing w:before="64"/>
        <w:ind w:left="140" w:right="497"/>
        <w:jc w:val="both"/>
      </w:pPr>
      <w:r>
        <w:rPr/>
        <w:t>bullish candle. A close above this resistance level is typically the confirmation required for a bullish trade.</w:t>
      </w:r>
    </w:p>
    <w:p>
      <w:pPr>
        <w:pStyle w:val="BodyText"/>
        <w:spacing w:before="1"/>
        <w:ind w:left="140" w:right="495" w:firstLine="432"/>
        <w:jc w:val="both"/>
      </w:pPr>
      <w:r>
        <w:rPr/>
        <w:t>Referring back to Figure 7.9, notice the first five candles at H4 were basically testing this pivot level for either a breakout or reversal, with each candle closing below the pivot, but leaving wicks above it. Eventually, the sixth candle of the sequence led to a breakout through H4 and closed above the highs of the prior candlesticks. This is the candle that should be bought for a ride to the H5 target, as initiative buyers have clearly begun to step into the market.</w:t>
      </w:r>
      <w:r>
        <w:rPr/>
        <w:t> Obviously, not all H4 plays are the same (and we will review more advanced plays at this level in Chapter 5), but having this bit of knowledge will save you some frustration and will surely advance your learning curve.</w:t>
      </w:r>
    </w:p>
    <w:p>
      <w:pPr>
        <w:pStyle w:val="BodyText"/>
        <w:ind w:left="140" w:right="495" w:firstLine="432"/>
        <w:jc w:val="both"/>
      </w:pPr>
      <w:r>
        <w:rPr/>
        <w:t>Let’s take a look at an example. Figure 7.10 is a five-minute chart of the Russell 2000 Index Mini Futures contract. The contract opened the day in strong fashion and rallied from L4 support to H4 resistance, but stalled precisely at this level. As I mentioned earlier, novice traders would automatically buy a touch at the H4 pivot level (after all, it is a breakout level), but this trade usually fails since the market must test the last level of resistance before moving higher. The market tested H4 several times with multiple wicks and eventually pulled back to H3, which would have stopped out novice traders, as stops are generally set to this level for this type of</w:t>
      </w:r>
      <w:r>
        <w:rPr>
          <w:spacing w:val="40"/>
        </w:rPr>
        <w:t> </w:t>
      </w:r>
      <w:r>
        <w:rPr/>
        <w:t>trade.</w:t>
      </w:r>
      <w:r>
        <w:rPr/>
        <w:t> Eventually, price reversed off H3, using it as support, and rallied through H4 resistance. The key is that price tested the H4 pivot level and </w:t>
      </w:r>
      <w:r>
        <w:rPr>
          <w:i/>
        </w:rPr>
        <w:t>closed </w:t>
      </w:r>
      <w:r>
        <w:rPr/>
        <w:t>above this line of resistance, which ultimately confirmed the long</w:t>
      </w:r>
      <w:r>
        <w:rPr>
          <w:spacing w:val="40"/>
        </w:rPr>
        <w:t> </w:t>
      </w:r>
      <w:r>
        <w:rPr/>
        <w:t>trade opportunity. Price easily rallied to the H5 target, resulting in a solid</w:t>
      </w:r>
      <w:r>
        <w:rPr>
          <w:spacing w:val="40"/>
        </w:rPr>
        <w:t> </w:t>
      </w:r>
      <w:r>
        <w:rPr/>
        <w:t>gain of about four points in forty minutes, which is worth about $400 per contract traded.</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97" cy="3094672"/>
            <wp:effectExtent l="0" t="0" r="0" b="0"/>
            <wp:docPr id="217" name="image110.png"/>
            <wp:cNvGraphicFramePr>
              <a:graphicFrameLocks noChangeAspect="1"/>
            </wp:cNvGraphicFramePr>
            <a:graphic>
              <a:graphicData uri="http://schemas.openxmlformats.org/drawingml/2006/picture">
                <pic:pic>
                  <pic:nvPicPr>
                    <pic:cNvPr id="218" name="image110.png"/>
                    <pic:cNvPicPr/>
                  </pic:nvPicPr>
                  <pic:blipFill>
                    <a:blip r:embed="rId236" cstate="print"/>
                    <a:stretch>
                      <a:fillRect/>
                    </a:stretch>
                  </pic:blipFill>
                  <pic:spPr>
                    <a:xfrm>
                      <a:off x="0" y="0"/>
                      <a:ext cx="4304897" cy="3094672"/>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7.10:</w:t>
      </w:r>
      <w:r>
        <w:rPr>
          <w:spacing w:val="1"/>
          <w:sz w:val="16"/>
        </w:rPr>
        <w:t> </w:t>
      </w:r>
      <w:r>
        <w:rPr>
          <w:sz w:val="16"/>
        </w:rPr>
        <w:t>H4</w:t>
      </w:r>
      <w:r>
        <w:rPr>
          <w:spacing w:val="2"/>
          <w:sz w:val="16"/>
        </w:rPr>
        <w:t> </w:t>
      </w:r>
      <w:r>
        <w:rPr>
          <w:sz w:val="16"/>
        </w:rPr>
        <w:t>breakout</w:t>
      </w:r>
      <w:r>
        <w:rPr>
          <w:spacing w:val="1"/>
          <w:sz w:val="16"/>
        </w:rPr>
        <w:t> </w:t>
      </w:r>
      <w:r>
        <w:rPr>
          <w:sz w:val="16"/>
        </w:rPr>
        <w:t>trade</w:t>
      </w:r>
      <w:r>
        <w:rPr>
          <w:spacing w:val="1"/>
          <w:sz w:val="16"/>
        </w:rPr>
        <w:t> </w:t>
      </w:r>
      <w:r>
        <w:rPr>
          <w:sz w:val="16"/>
        </w:rPr>
        <w:t>in</w:t>
      </w:r>
      <w:r>
        <w:rPr>
          <w:spacing w:val="2"/>
          <w:sz w:val="16"/>
        </w:rPr>
        <w:t> </w:t>
      </w:r>
      <w:r>
        <w:rPr>
          <w:sz w:val="16"/>
        </w:rPr>
        <w:t>the</w:t>
      </w:r>
      <w:r>
        <w:rPr>
          <w:spacing w:val="1"/>
          <w:sz w:val="16"/>
        </w:rPr>
        <w:t> </w:t>
      </w:r>
      <w:r>
        <w:rPr>
          <w:sz w:val="16"/>
        </w:rPr>
        <w:t>Russell</w:t>
      </w:r>
      <w:r>
        <w:rPr>
          <w:spacing w:val="1"/>
          <w:sz w:val="16"/>
        </w:rPr>
        <w:t> </w:t>
      </w:r>
      <w:r>
        <w:rPr>
          <w:sz w:val="16"/>
        </w:rPr>
        <w:t>2000</w:t>
      </w:r>
      <w:r>
        <w:rPr>
          <w:spacing w:val="2"/>
          <w:sz w:val="16"/>
        </w:rPr>
        <w:t> </w:t>
      </w:r>
      <w:r>
        <w:rPr>
          <w:sz w:val="16"/>
        </w:rPr>
        <w:t>Index</w:t>
      </w:r>
      <w:r>
        <w:rPr>
          <w:spacing w:val="1"/>
          <w:sz w:val="16"/>
        </w:rPr>
        <w:t> </w:t>
      </w:r>
      <w:r>
        <w:rPr>
          <w:sz w:val="16"/>
        </w:rPr>
        <w:t>Mini</w:t>
      </w:r>
      <w:r>
        <w:rPr>
          <w:spacing w:val="1"/>
          <w:sz w:val="16"/>
        </w:rPr>
        <w:t> </w:t>
      </w:r>
      <w:r>
        <w:rPr>
          <w:spacing w:val="-2"/>
          <w:sz w:val="16"/>
        </w:rPr>
        <w:t>Futures</w:t>
      </w:r>
    </w:p>
    <w:p>
      <w:pPr>
        <w:pStyle w:val="BodyText"/>
        <w:spacing w:before="2"/>
      </w:pPr>
    </w:p>
    <w:p>
      <w:pPr>
        <w:pStyle w:val="BodyText"/>
        <w:ind w:left="499" w:right="136" w:firstLine="432"/>
        <w:jc w:val="both"/>
      </w:pPr>
      <w:r>
        <w:rPr/>
        <w:t>The second version of the fourth layer breakout is the </w:t>
      </w:r>
      <w:r>
        <w:rPr>
          <w:i/>
        </w:rPr>
        <w:t>L4 Breakout</w:t>
      </w:r>
      <w:r>
        <w:rPr>
          <w:i/>
          <w:spacing w:val="80"/>
        </w:rPr>
        <w:t> </w:t>
      </w:r>
      <w:r>
        <w:rPr/>
        <w:t>trade,</w:t>
      </w:r>
      <w:r>
        <w:rPr>
          <w:spacing w:val="-3"/>
        </w:rPr>
        <w:t> </w:t>
      </w:r>
      <w:r>
        <w:rPr/>
        <w:t>which</w:t>
      </w:r>
      <w:r>
        <w:rPr>
          <w:spacing w:val="-4"/>
        </w:rPr>
        <w:t> </w:t>
      </w:r>
      <w:r>
        <w:rPr/>
        <w:t>is</w:t>
      </w:r>
      <w:r>
        <w:rPr>
          <w:spacing w:val="-3"/>
        </w:rPr>
        <w:t> </w:t>
      </w:r>
      <w:r>
        <w:rPr/>
        <w:t>basically</w:t>
      </w:r>
      <w:r>
        <w:rPr>
          <w:spacing w:val="-3"/>
        </w:rPr>
        <w:t> </w:t>
      </w:r>
      <w:r>
        <w:rPr/>
        <w:t>the</w:t>
      </w:r>
      <w:r>
        <w:rPr>
          <w:spacing w:val="-3"/>
        </w:rPr>
        <w:t> </w:t>
      </w:r>
      <w:r>
        <w:rPr/>
        <w:t>bearish</w:t>
      </w:r>
      <w:r>
        <w:rPr>
          <w:spacing w:val="-3"/>
        </w:rPr>
        <w:t> </w:t>
      </w:r>
      <w:r>
        <w:rPr/>
        <w:t>version</w:t>
      </w:r>
      <w:r>
        <w:rPr>
          <w:spacing w:val="-3"/>
        </w:rPr>
        <w:t> </w:t>
      </w:r>
      <w:r>
        <w:rPr/>
        <w:t>of</w:t>
      </w:r>
      <w:r>
        <w:rPr>
          <w:spacing w:val="-3"/>
        </w:rPr>
        <w:t> </w:t>
      </w:r>
      <w:r>
        <w:rPr/>
        <w:t>the</w:t>
      </w:r>
      <w:r>
        <w:rPr>
          <w:spacing w:val="-3"/>
        </w:rPr>
        <w:t> </w:t>
      </w:r>
      <w:r>
        <w:rPr/>
        <w:t>H4</w:t>
      </w:r>
      <w:r>
        <w:rPr>
          <w:spacing w:val="-5"/>
        </w:rPr>
        <w:t> </w:t>
      </w:r>
      <w:r>
        <w:rPr/>
        <w:t>breakout</w:t>
      </w:r>
      <w:r>
        <w:rPr>
          <w:spacing w:val="-3"/>
        </w:rPr>
        <w:t> </w:t>
      </w:r>
      <w:r>
        <w:rPr/>
        <w:t>trade.</w:t>
      </w:r>
      <w:r>
        <w:rPr>
          <w:spacing w:val="-3"/>
        </w:rPr>
        <w:t> </w:t>
      </w:r>
      <w:r>
        <w:rPr/>
        <w:t>For</w:t>
      </w:r>
      <w:r>
        <w:rPr>
          <w:spacing w:val="-3"/>
        </w:rPr>
        <w:t> </w:t>
      </w:r>
      <w:r>
        <w:rPr/>
        <w:t>this trade, you would enter short trades upon a close </w:t>
      </w:r>
      <w:r>
        <w:rPr>
          <w:i/>
        </w:rPr>
        <w:t>below </w:t>
      </w:r>
      <w:r>
        <w:rPr/>
        <w:t>the L4 support level, while setting your stops at, or just above, L3 and your targets at L5 (illustrated in Figure 7.11). Again, since L4 represents the last level of pivot support for the market, you may see a struggle at this level before a breakout or reversal occurs, as bulls and bears battle for territory. Eventually, you</w:t>
      </w:r>
      <w:r>
        <w:rPr>
          <w:spacing w:val="40"/>
        </w:rPr>
        <w:t> </w:t>
      </w:r>
      <w:r>
        <w:rPr/>
        <w:t>want to see initiative sellers enter the market in order to extend the day’s range downward. Watch price behavior closely at this pivot and look to play</w:t>
      </w:r>
      <w:r>
        <w:rPr>
          <w:spacing w:val="40"/>
        </w:rPr>
        <w:t> </w:t>
      </w:r>
      <w:r>
        <w:rPr/>
        <w:t>a close below the pivot through prior lows.</w:t>
      </w:r>
    </w:p>
    <w:p>
      <w:pPr>
        <w:spacing w:after="0"/>
        <w:jc w:val="both"/>
        <w:sectPr>
          <w:headerReference w:type="default" r:id="rId232"/>
          <w:headerReference w:type="even" r:id="rId233"/>
          <w:footerReference w:type="default" r:id="rId234"/>
          <w:footerReference w:type="even" r:id="rId235"/>
          <w:pgSz w:w="8640" w:h="12960"/>
          <w:pgMar w:header="536" w:footer="1060" w:top="720" w:bottom="1260" w:left="580" w:right="580"/>
          <w:pgNumType w:start="195"/>
        </w:sectPr>
      </w:pPr>
    </w:p>
    <w:p>
      <w:pPr>
        <w:pStyle w:val="BodyText"/>
        <w:spacing w:before="2"/>
        <w:rPr>
          <w:sz w:val="24"/>
        </w:rPr>
      </w:pPr>
    </w:p>
    <w:p>
      <w:pPr>
        <w:pStyle w:val="BodyText"/>
        <w:ind w:left="672"/>
        <w:rPr>
          <w:sz w:val="20"/>
        </w:rPr>
      </w:pPr>
      <w:r>
        <w:rPr>
          <w:sz w:val="20"/>
        </w:rPr>
        <w:pict>
          <v:group style="width:288.75pt;height:206.65pt;mso-position-horizontal-relative:char;mso-position-vertical-relative:line" id="docshapegroup669" coordorigin="0,0" coordsize="5775,4133">
            <v:shape style="position:absolute;left:7;top:7;width:5760;height:4118" id="docshape670" coordorigin="8,8" coordsize="5760,4118" path="m5768,8l9,8,9,4125,5768,4125,5768,8xm5766,9l8,9,8,552,5766,552,5766,9xe" filled="false" stroked="true" strokeweight=".75pt" strokecolor="#000000">
              <v:path arrowok="t"/>
              <v:stroke dashstyle="solid"/>
            </v:shape>
            <v:rect style="position:absolute;left:4025;top:2859;width:143;height:704" id="docshape671" filled="true" fillcolor="#000000" stroked="false">
              <v:fill type="solid"/>
            </v:rect>
            <v:rect style="position:absolute;left:4023;top:2859;width:144;height:704" id="docshape672" filled="false" stroked="true" strokeweight=".75pt" strokecolor="#000000">
              <v:stroke dashstyle="solid"/>
            </v:rect>
            <v:line style="position:absolute" from="2341,747" to="4841,748" stroked="true" strokeweight="1.5pt" strokecolor="#000000">
              <v:stroke dashstyle="solid"/>
            </v:line>
            <v:line style="position:absolute" from="2341,1950" to="4841,1950" stroked="true" strokeweight="1.5pt" strokecolor="#000000">
              <v:stroke dashstyle="solid"/>
            </v:line>
            <v:line style="position:absolute" from="2341,3922" to="4841,3923" stroked="true" strokeweight="1.5pt" strokecolor="#000000">
              <v:stroke dashstyle="solid"/>
            </v:line>
            <v:line style="position:absolute" from="2341,2487" to="4841,2487" stroked="true" strokeweight="1.5pt" strokecolor="#000000">
              <v:stroke dashstyle="solid"/>
            </v:line>
            <v:rect style="position:absolute;left:3817;top:2282;width:143;height:578" id="docshape673" filled="true" fillcolor="#000000" stroked="false">
              <v:fill type="solid"/>
            </v:rect>
            <v:rect style="position:absolute;left:3817;top:2282;width:143;height:578" id="docshape674" filled="false" stroked="true" strokeweight=".75pt" strokecolor="#000000">
              <v:stroke dashstyle="solid"/>
            </v:rect>
            <v:rect style="position:absolute;left:4238;top:3563;width:143;height:297" id="docshape675" filled="true" fillcolor="#000000" stroked="false">
              <v:fill type="solid"/>
            </v:rect>
            <v:rect style="position:absolute;left:4238;top:3563;width:143;height:296" id="docshape676" filled="false" stroked="true" strokeweight=".75pt" strokecolor="#000000">
              <v:stroke dashstyle="solid"/>
            </v:rect>
            <v:line style="position:absolute" from="4312,3563" to="4312,3432" stroked="true" strokeweight=".75pt" strokecolor="#000000">
              <v:stroke dashstyle="solid"/>
            </v:line>
            <v:line style="position:absolute" from="4312,4008" to="4311,3858" stroked="true" strokeweight=".75pt" strokecolor="#000000">
              <v:stroke dashstyle="solid"/>
            </v:line>
            <v:rect style="position:absolute;left:3582;top:2039;width:143;height:236" id="docshape677" filled="true" fillcolor="#000000" stroked="false">
              <v:fill type="solid"/>
            </v:rect>
            <v:rect style="position:absolute;left:3582;top:2039;width:143;height:236" id="docshape678" filled="false" stroked="true" strokeweight=".75pt" strokecolor="#000000">
              <v:stroke dashstyle="solid"/>
            </v:rect>
            <v:line style="position:absolute" from="3655,2039" to="3657,1950" stroked="true" strokeweight=".75pt" strokecolor="#000000">
              <v:stroke dashstyle="solid"/>
            </v:line>
            <v:line style="position:absolute" from="3654,2451" to="3654,2274" stroked="true" strokeweight=".75pt" strokecolor="#000000">
              <v:stroke dashstyle="solid"/>
            </v:line>
            <v:rect style="position:absolute;left:2485;top:1471;width:143;height:545" id="docshape679" filled="true" fillcolor="#000000" stroked="false">
              <v:fill type="solid"/>
            </v:rect>
            <v:rect style="position:absolute;left:2485;top:1471;width:143;height:545" id="docshape680" filled="false" stroked="true" strokeweight=".75pt" strokecolor="#000000">
              <v:stroke dashstyle="solid"/>
            </v:rect>
            <v:line style="position:absolute" from="2780,2016" to="2781,1782" stroked="true" strokeweight=".75pt" strokecolor="#000000">
              <v:stroke dashstyle="solid"/>
            </v:line>
            <v:rect style="position:absolute;left:2707;top:2016;width:143;height:388" id="docshape681" filled="true" fillcolor="#000000" stroked="false">
              <v:fill type="solid"/>
            </v:rect>
            <v:shape style="position:absolute;left:2707;top:2016;width:351;height:420" id="docshape682" coordorigin="2708,2016" coordsize="351,420" path="m2850,2016l2708,2016,2708,2404,2850,2404,2850,2016xm3058,2016l2915,2016,2915,2436,3058,2436,3058,2016xe" filled="false" stroked="true" strokeweight=".75pt" strokecolor="#000000">
              <v:path arrowok="t"/>
              <v:stroke dashstyle="solid"/>
            </v:shape>
            <v:line style="position:absolute" from="2985,2436" to="2985,2578" stroked="true" strokeweight=".75pt" strokecolor="#000000">
              <v:stroke dashstyle="solid"/>
            </v:line>
            <v:line style="position:absolute" from="3208,2016" to="3208,1896" stroked="true" strokeweight=".75pt" strokecolor="#000000">
              <v:stroke dashstyle="solid"/>
            </v:line>
            <v:line style="position:absolute" from="3207,2613" to="3207,2436" stroked="true" strokeweight=".75pt" strokecolor="#000000">
              <v:stroke dashstyle="solid"/>
            </v:line>
            <v:rect style="position:absolute;left:3134;top:2016;width:143;height:420" id="docshape683" filled="true" fillcolor="#000000" stroked="false">
              <v:fill type="solid"/>
            </v:rect>
            <v:rect style="position:absolute;left:3134;top:2016;width:143;height:420" id="docshape684" filled="false" stroked="true" strokeweight=".75pt" strokecolor="#000000">
              <v:stroke dashstyle="solid"/>
            </v:rect>
            <v:shape style="position:absolute;left:3441;top:1843;width:2;height:777" id="docshape685" coordorigin="3441,1843" coordsize="0,777" path="m3441,1843l3441,2016m3441,2436l3441,2620e" filled="false" stroked="true" strokeweight=".81pt" strokecolor="#000000">
              <v:path arrowok="t"/>
              <v:stroke dashstyle="solid"/>
            </v:shape>
            <v:rect style="position:absolute;left:3368;top:2016;width:143;height:420" id="docshape686" filled="false" stroked="true" strokeweight=".75pt" strokecolor="#000000">
              <v:stroke dashstyle="solid"/>
            </v:rect>
            <v:shape style="position:absolute;left:1871;top:692;width:265;height:201" type="#_x0000_t202" id="docshape687" filled="false" stroked="false">
              <v:textbox inset="0,0,0,0">
                <w:txbxContent>
                  <w:p>
                    <w:pPr>
                      <w:spacing w:line="199" w:lineRule="exact" w:before="0"/>
                      <w:ind w:left="0" w:right="0" w:firstLine="0"/>
                      <w:jc w:val="left"/>
                      <w:rPr>
                        <w:rFonts w:ascii="Tahoma"/>
                        <w:sz w:val="20"/>
                      </w:rPr>
                    </w:pPr>
                    <w:r>
                      <w:rPr>
                        <w:rFonts w:ascii="Tahoma"/>
                        <w:spacing w:val="-5"/>
                        <w:sz w:val="20"/>
                      </w:rPr>
                      <w:t>H3</w:t>
                    </w:r>
                  </w:p>
                </w:txbxContent>
              </v:textbox>
              <w10:wrap type="none"/>
            </v:shape>
            <v:shape style="position:absolute;left:911;top:1868;width:1189;height:730" type="#_x0000_t202" id="docshape688" filled="false" stroked="false">
              <v:textbox inset="0,0,0,0">
                <w:txbxContent>
                  <w:p>
                    <w:pPr>
                      <w:tabs>
                        <w:tab w:pos="959" w:val="left" w:leader="none"/>
                      </w:tabs>
                      <w:spacing w:line="202" w:lineRule="exact" w:before="0"/>
                      <w:ind w:left="64" w:right="0" w:firstLine="0"/>
                      <w:jc w:val="left"/>
                      <w:rPr>
                        <w:rFonts w:ascii="Tahoma"/>
                        <w:sz w:val="20"/>
                      </w:rPr>
                    </w:pPr>
                    <w:r>
                      <w:rPr>
                        <w:rFonts w:ascii="Tahoma"/>
                        <w:sz w:val="20"/>
                      </w:rPr>
                      <w:t>Stop</w:t>
                    </w:r>
                    <w:r>
                      <w:rPr>
                        <w:rFonts w:ascii="Tahoma"/>
                        <w:spacing w:val="-4"/>
                        <w:sz w:val="20"/>
                      </w:rPr>
                      <w:t> </w:t>
                    </w:r>
                    <w:r>
                      <w:rPr>
                        <w:rFonts w:ascii="Tahoma"/>
                        <w:spacing w:val="-10"/>
                        <w:sz w:val="20"/>
                      </w:rPr>
                      <w:t>@</w:t>
                    </w:r>
                    <w:r>
                      <w:rPr>
                        <w:rFonts w:ascii="Tahoma"/>
                        <w:sz w:val="20"/>
                      </w:rPr>
                      <w:tab/>
                    </w:r>
                    <w:r>
                      <w:rPr>
                        <w:rFonts w:ascii="Tahoma"/>
                        <w:spacing w:val="-5"/>
                        <w:sz w:val="20"/>
                      </w:rPr>
                      <w:t>L3</w:t>
                    </w:r>
                  </w:p>
                  <w:p>
                    <w:pPr>
                      <w:spacing w:line="240" w:lineRule="auto" w:before="6"/>
                      <w:rPr>
                        <w:rFonts w:ascii="Tahoma"/>
                        <w:sz w:val="23"/>
                      </w:rPr>
                    </w:pPr>
                  </w:p>
                  <w:p>
                    <w:pPr>
                      <w:tabs>
                        <w:tab w:pos="959" w:val="left" w:leader="none"/>
                      </w:tabs>
                      <w:spacing w:before="0"/>
                      <w:ind w:left="0" w:right="0" w:firstLine="0"/>
                      <w:jc w:val="left"/>
                      <w:rPr>
                        <w:rFonts w:ascii="Tahoma"/>
                        <w:sz w:val="20"/>
                      </w:rPr>
                    </w:pPr>
                    <w:r>
                      <w:rPr>
                        <w:rFonts w:ascii="Tahoma"/>
                        <w:sz w:val="20"/>
                      </w:rPr>
                      <w:t>Entry</w:t>
                    </w:r>
                    <w:r>
                      <w:rPr>
                        <w:rFonts w:ascii="Tahoma"/>
                        <w:spacing w:val="-5"/>
                        <w:sz w:val="20"/>
                      </w:rPr>
                      <w:t> </w:t>
                    </w:r>
                    <w:r>
                      <w:rPr>
                        <w:rFonts w:ascii="Tahoma"/>
                        <w:spacing w:val="-10"/>
                        <w:sz w:val="20"/>
                      </w:rPr>
                      <w:t>@</w:t>
                    </w:r>
                    <w:r>
                      <w:rPr>
                        <w:rFonts w:ascii="Tahoma"/>
                        <w:sz w:val="20"/>
                      </w:rPr>
                      <w:tab/>
                    </w:r>
                    <w:r>
                      <w:rPr>
                        <w:rFonts w:ascii="Tahoma"/>
                        <w:spacing w:val="-5"/>
                        <w:sz w:val="20"/>
                      </w:rPr>
                      <w:t>L4</w:t>
                    </w:r>
                  </w:p>
                </w:txbxContent>
              </v:textbox>
              <w10:wrap type="none"/>
            </v:shape>
            <v:shape style="position:absolute;left:797;top:3826;width:1303;height:208" type="#_x0000_t202" id="docshape689" filled="false" stroked="false">
              <v:textbox inset="0,0,0,0">
                <w:txbxContent>
                  <w:p>
                    <w:pPr>
                      <w:tabs>
                        <w:tab w:pos="1073" w:val="left" w:leader="none"/>
                      </w:tabs>
                      <w:spacing w:line="206" w:lineRule="exact" w:before="0"/>
                      <w:ind w:left="0" w:right="0" w:firstLine="0"/>
                      <w:jc w:val="left"/>
                      <w:rPr>
                        <w:rFonts w:ascii="Tahoma"/>
                        <w:sz w:val="20"/>
                      </w:rPr>
                    </w:pPr>
                    <w:r>
                      <w:rPr>
                        <w:rFonts w:ascii="Tahoma"/>
                        <w:position w:val="1"/>
                        <w:sz w:val="20"/>
                      </w:rPr>
                      <w:t>Target</w:t>
                    </w:r>
                    <w:r>
                      <w:rPr>
                        <w:rFonts w:ascii="Tahoma"/>
                        <w:spacing w:val="-5"/>
                        <w:position w:val="1"/>
                        <w:sz w:val="20"/>
                      </w:rPr>
                      <w:t> </w:t>
                    </w:r>
                    <w:r>
                      <w:rPr>
                        <w:rFonts w:ascii="Tahoma"/>
                        <w:spacing w:val="-10"/>
                        <w:position w:val="1"/>
                        <w:sz w:val="20"/>
                      </w:rPr>
                      <w:t>@</w:t>
                    </w:r>
                    <w:r>
                      <w:rPr>
                        <w:rFonts w:ascii="Tahoma"/>
                        <w:position w:val="1"/>
                        <w:sz w:val="20"/>
                      </w:rPr>
                      <w:tab/>
                    </w:r>
                    <w:r>
                      <w:rPr>
                        <w:rFonts w:ascii="Tahoma"/>
                        <w:spacing w:val="-5"/>
                        <w:sz w:val="20"/>
                      </w:rPr>
                      <w:t>L5</w:t>
                    </w:r>
                  </w:p>
                </w:txbxContent>
              </v:textbox>
              <w10:wrap type="none"/>
            </v:shape>
            <v:shape style="position:absolute;left:0;top:0;width:5774;height:560" type="#_x0000_t202" id="docshape690" filled="true" fillcolor="#000000" stroked="false">
              <v:textbox inset="0,0,0,0">
                <w:txbxContent>
                  <w:p>
                    <w:pPr>
                      <w:spacing w:before="87"/>
                      <w:ind w:left="1592" w:right="0" w:firstLine="0"/>
                      <w:jc w:val="left"/>
                      <w:rPr>
                        <w:rFonts w:ascii="Verdana"/>
                        <w:color w:val="000000"/>
                        <w:sz w:val="28"/>
                      </w:rPr>
                    </w:pPr>
                    <w:r>
                      <w:rPr>
                        <w:rFonts w:ascii="Verdana"/>
                        <w:color w:val="FFFFFF"/>
                        <w:sz w:val="28"/>
                      </w:rPr>
                      <w:t>L4</w:t>
                    </w:r>
                    <w:r>
                      <w:rPr>
                        <w:rFonts w:ascii="Verdana"/>
                        <w:color w:val="FFFFFF"/>
                        <w:spacing w:val="-15"/>
                        <w:sz w:val="28"/>
                      </w:rPr>
                      <w:t> </w:t>
                    </w:r>
                    <w:r>
                      <w:rPr>
                        <w:rFonts w:ascii="Verdana"/>
                        <w:color w:val="FFFFFF"/>
                        <w:sz w:val="28"/>
                      </w:rPr>
                      <w:t>Breakout</w:t>
                    </w:r>
                    <w:r>
                      <w:rPr>
                        <w:rFonts w:ascii="Verdana"/>
                        <w:color w:val="FFFFFF"/>
                        <w:spacing w:val="-14"/>
                        <w:sz w:val="28"/>
                      </w:rPr>
                      <w:t> </w:t>
                    </w:r>
                    <w:r>
                      <w:rPr>
                        <w:rFonts w:ascii="Verdana"/>
                        <w:color w:val="FFFFFF"/>
                        <w:spacing w:val="-2"/>
                        <w:sz w:val="28"/>
                      </w:rPr>
                      <w:t>Trade</w:t>
                    </w:r>
                  </w:p>
                </w:txbxContent>
              </v:textbox>
              <v:fill type="solid"/>
              <w10:wrap type="none"/>
            </v:shape>
          </v:group>
        </w:pict>
      </w:r>
      <w:r>
        <w:rPr>
          <w:sz w:val="20"/>
        </w:rPr>
      </w:r>
    </w:p>
    <w:p>
      <w:pPr>
        <w:spacing w:line="160" w:lineRule="exact" w:before="0"/>
        <w:ind w:left="629" w:right="0" w:firstLine="0"/>
        <w:jc w:val="left"/>
        <w:rPr>
          <w:sz w:val="16"/>
        </w:rPr>
      </w:pPr>
      <w:r>
        <w:rPr>
          <w:sz w:val="16"/>
        </w:rPr>
        <w:t>FIGURE</w:t>
      </w:r>
      <w:r>
        <w:rPr>
          <w:spacing w:val="10"/>
          <w:sz w:val="16"/>
        </w:rPr>
        <w:t> </w:t>
      </w:r>
      <w:r>
        <w:rPr>
          <w:sz w:val="16"/>
        </w:rPr>
        <w:t>7.11:</w:t>
      </w:r>
      <w:r>
        <w:rPr>
          <w:spacing w:val="10"/>
          <w:sz w:val="16"/>
        </w:rPr>
        <w:t> </w:t>
      </w:r>
      <w:r>
        <w:rPr>
          <w:sz w:val="16"/>
        </w:rPr>
        <w:t>L4</w:t>
      </w:r>
      <w:r>
        <w:rPr>
          <w:spacing w:val="11"/>
          <w:sz w:val="16"/>
        </w:rPr>
        <w:t> </w:t>
      </w:r>
      <w:r>
        <w:rPr>
          <w:sz w:val="16"/>
        </w:rPr>
        <w:t>breakout</w:t>
      </w:r>
      <w:r>
        <w:rPr>
          <w:spacing w:val="10"/>
          <w:sz w:val="16"/>
        </w:rPr>
        <w:t> </w:t>
      </w:r>
      <w:r>
        <w:rPr>
          <w:spacing w:val="-2"/>
          <w:sz w:val="16"/>
        </w:rPr>
        <w:t>trade</w:t>
      </w:r>
    </w:p>
    <w:p>
      <w:pPr>
        <w:pStyle w:val="BodyText"/>
        <w:spacing w:before="1"/>
      </w:pPr>
    </w:p>
    <w:p>
      <w:pPr>
        <w:pStyle w:val="BodyText"/>
        <w:ind w:left="140" w:right="495" w:firstLine="432"/>
        <w:jc w:val="both"/>
      </w:pPr>
      <w:r>
        <w:rPr/>
        <w:t>As an example, let’s take a look at Figure 7.12, which is a five-minute chart of Crude Oil futures. The commodity opened the day with clear weakness and dropped from H3 resistance to L4 support about twenty-five minutes into the market. As expected, L4 put</w:t>
      </w:r>
      <w:r>
        <w:rPr>
          <w:spacing w:val="-1"/>
        </w:rPr>
        <w:t> </w:t>
      </w:r>
      <w:r>
        <w:rPr/>
        <w:t>up a fight at this level, as it was the</w:t>
      </w:r>
      <w:r>
        <w:rPr>
          <w:spacing w:val="-1"/>
        </w:rPr>
        <w:t> </w:t>
      </w:r>
      <w:r>
        <w:rPr/>
        <w:t>last</w:t>
      </w:r>
      <w:r>
        <w:rPr>
          <w:spacing w:val="-1"/>
        </w:rPr>
        <w:t> </w:t>
      </w:r>
      <w:r>
        <w:rPr/>
        <w:t>line</w:t>
      </w:r>
      <w:r>
        <w:rPr>
          <w:spacing w:val="-1"/>
        </w:rPr>
        <w:t> </w:t>
      </w:r>
      <w:r>
        <w:rPr/>
        <w:t>of</w:t>
      </w:r>
      <w:r>
        <w:rPr>
          <w:spacing w:val="-1"/>
        </w:rPr>
        <w:t> </w:t>
      </w:r>
      <w:r>
        <w:rPr/>
        <w:t>support,</w:t>
      </w:r>
      <w:r>
        <w:rPr>
          <w:spacing w:val="-1"/>
        </w:rPr>
        <w:t> </w:t>
      </w:r>
      <w:r>
        <w:rPr/>
        <w:t>as</w:t>
      </w:r>
      <w:r>
        <w:rPr>
          <w:spacing w:val="-1"/>
        </w:rPr>
        <w:t> </w:t>
      </w:r>
      <w:r>
        <w:rPr/>
        <w:t>seen</w:t>
      </w:r>
      <w:r>
        <w:rPr>
          <w:spacing w:val="-1"/>
        </w:rPr>
        <w:t> </w:t>
      </w:r>
      <w:r>
        <w:rPr/>
        <w:t>through</w:t>
      </w:r>
      <w:r>
        <w:rPr>
          <w:spacing w:val="-1"/>
        </w:rPr>
        <w:t> </w:t>
      </w:r>
      <w:r>
        <w:rPr/>
        <w:t>the</w:t>
      </w:r>
      <w:r>
        <w:rPr>
          <w:spacing w:val="-1"/>
        </w:rPr>
        <w:t> </w:t>
      </w:r>
      <w:r>
        <w:rPr/>
        <w:t>eyes</w:t>
      </w:r>
      <w:r>
        <w:rPr>
          <w:spacing w:val="-1"/>
        </w:rPr>
        <w:t> </w:t>
      </w:r>
      <w:r>
        <w:rPr/>
        <w:t>of</w:t>
      </w:r>
      <w:r>
        <w:rPr>
          <w:spacing w:val="-1"/>
        </w:rPr>
        <w:t> </w:t>
      </w:r>
      <w:r>
        <w:rPr/>
        <w:t>the</w:t>
      </w:r>
      <w:r>
        <w:rPr>
          <w:spacing w:val="-1"/>
        </w:rPr>
        <w:t> </w:t>
      </w:r>
      <w:r>
        <w:rPr/>
        <w:t>indicator.</w:t>
      </w:r>
      <w:r>
        <w:rPr>
          <w:spacing w:val="-1"/>
        </w:rPr>
        <w:t> </w:t>
      </w:r>
      <w:r>
        <w:rPr/>
        <w:t>Price</w:t>
      </w:r>
      <w:r>
        <w:rPr>
          <w:spacing w:val="-1"/>
        </w:rPr>
        <w:t> </w:t>
      </w:r>
      <w:r>
        <w:rPr/>
        <w:t>briefly reversed back to L3 and tested this level from underneath, using it as resistance. The fact that price used L3 as resistance is our first clue that</w:t>
      </w:r>
      <w:r>
        <w:rPr>
          <w:spacing w:val="40"/>
        </w:rPr>
        <w:t> </w:t>
      </w:r>
      <w:r>
        <w:rPr/>
        <w:t>Crude may take another shot at L4 support. Eventually, Crude dropped back to L4 for another test. This time, however, price broke through L4 support and closed beneath this pivot level, which triggered our short entry. After the successful break, price dropped quickly to the L5 target to complete the</w:t>
      </w:r>
      <w:r>
        <w:rPr>
          <w:spacing w:val="80"/>
        </w:rPr>
        <w:t> </w:t>
      </w:r>
      <w:r>
        <w:rPr>
          <w:spacing w:val="-2"/>
        </w:rPr>
        <w:t>trade.</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97" cy="3094672"/>
            <wp:effectExtent l="0" t="0" r="0" b="0"/>
            <wp:docPr id="219" name="image111.png"/>
            <wp:cNvGraphicFramePr>
              <a:graphicFrameLocks noChangeAspect="1"/>
            </wp:cNvGraphicFramePr>
            <a:graphic>
              <a:graphicData uri="http://schemas.openxmlformats.org/drawingml/2006/picture">
                <pic:pic>
                  <pic:nvPicPr>
                    <pic:cNvPr id="220" name="image111.png"/>
                    <pic:cNvPicPr/>
                  </pic:nvPicPr>
                  <pic:blipFill>
                    <a:blip r:embed="rId237" cstate="print"/>
                    <a:stretch>
                      <a:fillRect/>
                    </a:stretch>
                  </pic:blipFill>
                  <pic:spPr>
                    <a:xfrm>
                      <a:off x="0" y="0"/>
                      <a:ext cx="4304897" cy="3094672"/>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4"/>
          <w:sz w:val="16"/>
        </w:rPr>
        <w:t> </w:t>
      </w:r>
      <w:r>
        <w:rPr>
          <w:sz w:val="16"/>
        </w:rPr>
        <w:t>7.12:</w:t>
      </w:r>
      <w:r>
        <w:rPr>
          <w:spacing w:val="4"/>
          <w:sz w:val="16"/>
        </w:rPr>
        <w:t> </w:t>
      </w:r>
      <w:r>
        <w:rPr>
          <w:sz w:val="16"/>
        </w:rPr>
        <w:t>L4</w:t>
      </w:r>
      <w:r>
        <w:rPr>
          <w:spacing w:val="5"/>
          <w:sz w:val="16"/>
        </w:rPr>
        <w:t> </w:t>
      </w:r>
      <w:r>
        <w:rPr>
          <w:sz w:val="16"/>
        </w:rPr>
        <w:t>breakout</w:t>
      </w:r>
      <w:r>
        <w:rPr>
          <w:spacing w:val="4"/>
          <w:sz w:val="16"/>
        </w:rPr>
        <w:t> </w:t>
      </w:r>
      <w:r>
        <w:rPr>
          <w:sz w:val="16"/>
        </w:rPr>
        <w:t>trade</w:t>
      </w:r>
      <w:r>
        <w:rPr>
          <w:spacing w:val="4"/>
          <w:sz w:val="16"/>
        </w:rPr>
        <w:t> </w:t>
      </w:r>
      <w:r>
        <w:rPr>
          <w:sz w:val="16"/>
        </w:rPr>
        <w:t>in</w:t>
      </w:r>
      <w:r>
        <w:rPr>
          <w:spacing w:val="6"/>
          <w:sz w:val="16"/>
        </w:rPr>
        <w:t> </w:t>
      </w:r>
      <w:r>
        <w:rPr>
          <w:sz w:val="16"/>
        </w:rPr>
        <w:t>Crude</w:t>
      </w:r>
      <w:r>
        <w:rPr>
          <w:spacing w:val="4"/>
          <w:sz w:val="16"/>
        </w:rPr>
        <w:t> </w:t>
      </w:r>
      <w:r>
        <w:rPr>
          <w:spacing w:val="-5"/>
          <w:sz w:val="16"/>
        </w:rPr>
        <w:t>Oil</w:t>
      </w:r>
    </w:p>
    <w:p>
      <w:pPr>
        <w:pStyle w:val="BodyText"/>
        <w:spacing w:before="2"/>
      </w:pPr>
    </w:p>
    <w:p>
      <w:pPr>
        <w:pStyle w:val="BodyText"/>
        <w:ind w:left="500"/>
      </w:pPr>
      <w:r>
        <w:rPr/>
        <w:t>BOSS</w:t>
      </w:r>
      <w:r>
        <w:rPr>
          <w:spacing w:val="-5"/>
        </w:rPr>
        <w:t> </w:t>
      </w:r>
      <w:r>
        <w:rPr/>
        <w:t>IN</w:t>
      </w:r>
      <w:r>
        <w:rPr>
          <w:spacing w:val="-5"/>
        </w:rPr>
        <w:t> </w:t>
      </w:r>
      <w:r>
        <w:rPr>
          <w:spacing w:val="-2"/>
        </w:rPr>
        <w:t>ACTION</w:t>
      </w:r>
    </w:p>
    <w:p>
      <w:pPr>
        <w:pStyle w:val="BodyText"/>
        <w:spacing w:before="11"/>
        <w:rPr>
          <w:sz w:val="21"/>
        </w:rPr>
      </w:pPr>
    </w:p>
    <w:p>
      <w:pPr>
        <w:pStyle w:val="BodyText"/>
        <w:ind w:left="500" w:right="133" w:firstLine="432"/>
        <w:jc w:val="both"/>
      </w:pPr>
      <w:r>
        <w:rPr/>
        <w:t>As with the H3 reversal trade, there are several factors that can be</w:t>
      </w:r>
      <w:r>
        <w:rPr>
          <w:spacing w:val="40"/>
        </w:rPr>
        <w:t> </w:t>
      </w:r>
      <w:r>
        <w:rPr/>
        <w:t>judged to help you determine if a successful H4 breakout trade is likely to occur. The current trend, the prior day’s trading behavior, and where price opened the current session in relation to the pivots all are key factors that can result in a high probability H4 breakout play, which we will discuss in Chapter 9. For example, if the market has been trending higher in the days leading up to the current session, you are likely to see responsive buyers</w:t>
      </w:r>
      <w:r>
        <w:rPr>
          <w:spacing w:val="40"/>
        </w:rPr>
        <w:t> </w:t>
      </w:r>
      <w:r>
        <w:rPr/>
        <w:t>enter the market upon a pull-back to the L3 support level. As you know, all too well, bullish trending markets form higher lows and higher highs. Therefore, if responsive buyers enter the market on a pull-back to L3</w:t>
      </w:r>
      <w:r>
        <w:rPr>
          <w:spacing w:val="80"/>
        </w:rPr>
        <w:t> </w:t>
      </w:r>
      <w:r>
        <w:rPr/>
        <w:t>support, you are likely to see price reach a new high within the uptrend, which generally means a move to H4 or H5, once initiative participants take over the move. Likewise, if the prior session was a Trading Range or Sideways Day, price is likely to trend in the current session, meaning that a push to, and through, the fifth layer of the pivots is very likely. On the flip side, if the prior session had a wide range of movement, like on a Trend Day or Double-Distribution Trend Day, the market is likely to trade in a range in the</w:t>
      </w:r>
      <w:r>
        <w:rPr>
          <w:spacing w:val="69"/>
        </w:rPr>
        <w:t> </w:t>
      </w:r>
      <w:r>
        <w:rPr/>
        <w:t>current</w:t>
      </w:r>
      <w:r>
        <w:rPr>
          <w:spacing w:val="70"/>
        </w:rPr>
        <w:t> </w:t>
      </w:r>
      <w:r>
        <w:rPr/>
        <w:t>session,</w:t>
      </w:r>
      <w:r>
        <w:rPr>
          <w:spacing w:val="68"/>
        </w:rPr>
        <w:t> </w:t>
      </w:r>
      <w:r>
        <w:rPr/>
        <w:t>which</w:t>
      </w:r>
      <w:r>
        <w:rPr>
          <w:spacing w:val="69"/>
        </w:rPr>
        <w:t> </w:t>
      </w:r>
      <w:r>
        <w:rPr/>
        <w:t>doesn’t</w:t>
      </w:r>
      <w:r>
        <w:rPr>
          <w:spacing w:val="69"/>
        </w:rPr>
        <w:t> </w:t>
      </w:r>
      <w:r>
        <w:rPr/>
        <w:t>bode</w:t>
      </w:r>
      <w:r>
        <w:rPr>
          <w:spacing w:val="69"/>
        </w:rPr>
        <w:t> </w:t>
      </w:r>
      <w:r>
        <w:rPr/>
        <w:t>well</w:t>
      </w:r>
      <w:r>
        <w:rPr>
          <w:spacing w:val="68"/>
        </w:rPr>
        <w:t> </w:t>
      </w:r>
      <w:r>
        <w:rPr/>
        <w:t>for</w:t>
      </w:r>
      <w:r>
        <w:rPr>
          <w:spacing w:val="70"/>
        </w:rPr>
        <w:t> </w:t>
      </w:r>
      <w:r>
        <w:rPr/>
        <w:t>a</w:t>
      </w:r>
      <w:r>
        <w:rPr>
          <w:spacing w:val="69"/>
        </w:rPr>
        <w:t> </w:t>
      </w:r>
      <w:r>
        <w:rPr/>
        <w:t>Camarilla</w:t>
      </w:r>
      <w:r>
        <w:rPr>
          <w:spacing w:val="70"/>
        </w:rPr>
        <w:t> </w:t>
      </w:r>
      <w:r>
        <w:rPr/>
        <w:t>breakout</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5"/>
        <w:jc w:val="both"/>
      </w:pPr>
      <w:r>
        <w:rPr/>
        <w:t>opportunity. This behavior actually sets up much better for the third layer reversal plays.</w:t>
      </w:r>
    </w:p>
    <w:p>
      <w:pPr>
        <w:pStyle w:val="BodyText"/>
        <w:spacing w:before="1"/>
        <w:ind w:left="140" w:right="495" w:firstLine="432"/>
        <w:jc w:val="both"/>
      </w:pPr>
      <w:r>
        <w:rPr/>
        <w:t>Figure 7.13 shows a recent L4 breakout trade I placed in the Mini-Sized Dow</w:t>
      </w:r>
      <w:r>
        <w:rPr>
          <w:spacing w:val="-2"/>
        </w:rPr>
        <w:t> </w:t>
      </w:r>
      <w:r>
        <w:rPr/>
        <w:t>futures</w:t>
      </w:r>
      <w:r>
        <w:rPr>
          <w:spacing w:val="-1"/>
        </w:rPr>
        <w:t> </w:t>
      </w:r>
      <w:r>
        <w:rPr/>
        <w:t>contract.</w:t>
      </w:r>
      <w:r>
        <w:rPr>
          <w:spacing w:val="-2"/>
        </w:rPr>
        <w:t> </w:t>
      </w:r>
      <w:r>
        <w:rPr/>
        <w:t>Notice</w:t>
      </w:r>
      <w:r>
        <w:rPr>
          <w:spacing w:val="-2"/>
        </w:rPr>
        <w:t> </w:t>
      </w:r>
      <w:r>
        <w:rPr/>
        <w:t>that</w:t>
      </w:r>
      <w:r>
        <w:rPr>
          <w:spacing w:val="-2"/>
        </w:rPr>
        <w:t> </w:t>
      </w:r>
      <w:r>
        <w:rPr/>
        <w:t>price</w:t>
      </w:r>
      <w:r>
        <w:rPr>
          <w:spacing w:val="-1"/>
        </w:rPr>
        <w:t> </w:t>
      </w:r>
      <w:r>
        <w:rPr/>
        <w:t>opened</w:t>
      </w:r>
      <w:r>
        <w:rPr>
          <w:spacing w:val="-2"/>
        </w:rPr>
        <w:t> </w:t>
      </w:r>
      <w:r>
        <w:rPr/>
        <w:t>the</w:t>
      </w:r>
      <w:r>
        <w:rPr>
          <w:spacing w:val="-2"/>
        </w:rPr>
        <w:t> </w:t>
      </w:r>
      <w:r>
        <w:rPr/>
        <w:t>day</w:t>
      </w:r>
      <w:r>
        <w:rPr>
          <w:spacing w:val="-2"/>
        </w:rPr>
        <w:t> </w:t>
      </w:r>
      <w:r>
        <w:rPr/>
        <w:t>below</w:t>
      </w:r>
      <w:r>
        <w:rPr>
          <w:spacing w:val="-2"/>
        </w:rPr>
        <w:t> </w:t>
      </w:r>
      <w:r>
        <w:rPr/>
        <w:t>L3</w:t>
      </w:r>
      <w:r>
        <w:rPr>
          <w:spacing w:val="-2"/>
        </w:rPr>
        <w:t> </w:t>
      </w:r>
      <w:r>
        <w:rPr/>
        <w:t>support,</w:t>
      </w:r>
      <w:r>
        <w:rPr>
          <w:spacing w:val="-2"/>
        </w:rPr>
        <w:t> </w:t>
      </w:r>
      <w:r>
        <w:rPr/>
        <w:t>but within the prior day’s range. Think of the area between L3 and H3 as the Camarilla Equation’s version of the value area. When price opens beyond</w:t>
      </w:r>
      <w:r>
        <w:rPr>
          <w:spacing w:val="40"/>
        </w:rPr>
        <w:t> </w:t>
      </w:r>
      <w:r>
        <w:rPr/>
        <w:t>this zone, the market is likely looking to push price to new value. In this</w:t>
      </w:r>
      <w:r>
        <w:rPr>
          <w:spacing w:val="80"/>
        </w:rPr>
        <w:t> </w:t>
      </w:r>
      <w:r>
        <w:rPr/>
        <w:t>case, price opened between L3 and L4 support and traded above L4 through the first ninety minutes of the day, creating a natural price support at this level. Eventually, price pushed below L4 and closed below this level in a five-minute bar, which was enough to trigger my short entry at 10,538. I set my stop loss to L3 at 10,558 and my fixed profit stop to L5 support at</w:t>
      </w:r>
      <w:r>
        <w:rPr>
          <w:spacing w:val="40"/>
        </w:rPr>
        <w:t> </w:t>
      </w:r>
      <w:r>
        <w:rPr/>
        <w:t>10,519, which was easily reached for a quick gain of nineteen points. By no means was this trade a home run, but it offered a high probability setup that delivered exactly what it was supposed to.</w:t>
      </w:r>
    </w:p>
    <w:p>
      <w:pPr>
        <w:pStyle w:val="BodyText"/>
        <w:rPr>
          <w:sz w:val="20"/>
        </w:rPr>
      </w:pPr>
      <w:r>
        <w:rPr/>
        <w:drawing>
          <wp:anchor distT="0" distB="0" distL="0" distR="0" allowOverlap="1" layoutInCell="1" locked="0" behindDoc="0" simplePos="0" relativeHeight="248">
            <wp:simplePos x="0" y="0"/>
            <wp:positionH relativeFrom="page">
              <wp:posOffset>457200</wp:posOffset>
            </wp:positionH>
            <wp:positionV relativeFrom="paragraph">
              <wp:posOffset>161866</wp:posOffset>
            </wp:positionV>
            <wp:extent cx="4342239" cy="3111722"/>
            <wp:effectExtent l="0" t="0" r="0" b="0"/>
            <wp:wrapTopAndBottom/>
            <wp:docPr id="221" name="image112.png"/>
            <wp:cNvGraphicFramePr>
              <a:graphicFrameLocks noChangeAspect="1"/>
            </wp:cNvGraphicFramePr>
            <a:graphic>
              <a:graphicData uri="http://schemas.openxmlformats.org/drawingml/2006/picture">
                <pic:pic>
                  <pic:nvPicPr>
                    <pic:cNvPr id="222" name="image112.png"/>
                    <pic:cNvPicPr/>
                  </pic:nvPicPr>
                  <pic:blipFill>
                    <a:blip r:embed="rId238"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w:t>
      </w:r>
      <w:r>
        <w:rPr>
          <w:spacing w:val="2"/>
          <w:sz w:val="16"/>
        </w:rPr>
        <w:t> </w:t>
      </w:r>
      <w:r>
        <w:rPr>
          <w:sz w:val="16"/>
        </w:rPr>
        <w:t>7.13:</w:t>
      </w:r>
      <w:r>
        <w:rPr>
          <w:spacing w:val="3"/>
          <w:sz w:val="16"/>
        </w:rPr>
        <w:t> </w:t>
      </w:r>
      <w:r>
        <w:rPr>
          <w:sz w:val="16"/>
        </w:rPr>
        <w:t>A</w:t>
      </w:r>
      <w:r>
        <w:rPr>
          <w:spacing w:val="6"/>
          <w:sz w:val="16"/>
        </w:rPr>
        <w:t> </w:t>
      </w:r>
      <w:r>
        <w:rPr>
          <w:sz w:val="16"/>
        </w:rPr>
        <w:t>perfect</w:t>
      </w:r>
      <w:r>
        <w:rPr>
          <w:spacing w:val="2"/>
          <w:sz w:val="16"/>
        </w:rPr>
        <w:t> </w:t>
      </w:r>
      <w:r>
        <w:rPr>
          <w:sz w:val="16"/>
        </w:rPr>
        <w:t>L4</w:t>
      </w:r>
      <w:r>
        <w:rPr>
          <w:spacing w:val="3"/>
          <w:sz w:val="16"/>
        </w:rPr>
        <w:t> </w:t>
      </w:r>
      <w:r>
        <w:rPr>
          <w:sz w:val="16"/>
        </w:rPr>
        <w:t>breakout</w:t>
      </w:r>
      <w:r>
        <w:rPr>
          <w:spacing w:val="3"/>
          <w:sz w:val="16"/>
        </w:rPr>
        <w:t> </w:t>
      </w:r>
      <w:r>
        <w:rPr>
          <w:sz w:val="16"/>
        </w:rPr>
        <w:t>trade</w:t>
      </w:r>
      <w:r>
        <w:rPr>
          <w:spacing w:val="2"/>
          <w:sz w:val="16"/>
        </w:rPr>
        <w:t> </w:t>
      </w:r>
      <w:r>
        <w:rPr>
          <w:sz w:val="16"/>
        </w:rPr>
        <w:t>in</w:t>
      </w:r>
      <w:r>
        <w:rPr>
          <w:spacing w:val="3"/>
          <w:sz w:val="16"/>
        </w:rPr>
        <w:t> </w:t>
      </w:r>
      <w:r>
        <w:rPr>
          <w:sz w:val="16"/>
        </w:rPr>
        <w:t>the</w:t>
      </w:r>
      <w:r>
        <w:rPr>
          <w:spacing w:val="4"/>
          <w:sz w:val="16"/>
        </w:rPr>
        <w:t> </w:t>
      </w:r>
      <w:r>
        <w:rPr>
          <w:spacing w:val="-5"/>
          <w:sz w:val="16"/>
        </w:rPr>
        <w:t>YM</w:t>
      </w:r>
    </w:p>
    <w:p>
      <w:pPr>
        <w:pStyle w:val="BodyText"/>
        <w:spacing w:before="8"/>
        <w:rPr>
          <w:sz w:val="21"/>
        </w:rPr>
      </w:pPr>
    </w:p>
    <w:p>
      <w:pPr>
        <w:pStyle w:val="Heading3"/>
        <w:jc w:val="both"/>
      </w:pPr>
      <w:r>
        <w:rPr/>
        <w:pict>
          <v:shape style="position:absolute;margin-left:35.82pt;margin-top:17.21031pt;width:340.95pt;height:.1pt;mso-position-horizontal-relative:page;mso-position-vertical-relative:paragraph;z-index:-15601152;mso-wrap-distance-left:0;mso-wrap-distance-right:0" id="docshape691" coordorigin="716,344" coordsize="6819,0" path="m716,344l7535,344e" filled="false" stroked="true" strokeweight=".75pt" strokecolor="#000000">
            <v:path arrowok="t"/>
            <v:stroke dashstyle="solid"/>
            <w10:wrap type="topAndBottom"/>
          </v:shape>
        </w:pict>
      </w:r>
      <w:bookmarkStart w:name="_TOC_250029" w:id="62"/>
      <w:r>
        <w:rPr>
          <w:smallCaps/>
        </w:rPr>
        <w:t>Engaging</w:t>
      </w:r>
      <w:r>
        <w:rPr>
          <w:smallCaps/>
          <w:spacing w:val="-13"/>
        </w:rPr>
        <w:t> </w:t>
      </w:r>
      <w:bookmarkEnd w:id="62"/>
      <w:r>
        <w:rPr>
          <w:smallCaps/>
          <w:spacing w:val="-2"/>
        </w:rPr>
        <w:t>Camarilla</w:t>
      </w:r>
    </w:p>
    <w:p>
      <w:pPr>
        <w:pStyle w:val="BodyText"/>
        <w:spacing w:before="224"/>
        <w:ind w:left="140" w:right="497" w:firstLine="432"/>
        <w:jc w:val="both"/>
      </w:pPr>
      <w:r>
        <w:rPr/>
        <w:t>The Camarilla Equation offers a powerful view of the market. The</w:t>
      </w:r>
      <w:r>
        <w:rPr>
          <w:spacing w:val="40"/>
        </w:rPr>
        <w:t> </w:t>
      </w:r>
      <w:r>
        <w:rPr/>
        <w:t>pivots</w:t>
      </w:r>
      <w:r>
        <w:rPr>
          <w:spacing w:val="41"/>
        </w:rPr>
        <w:t> </w:t>
      </w:r>
      <w:r>
        <w:rPr/>
        <w:t>highlight</w:t>
      </w:r>
      <w:r>
        <w:rPr>
          <w:spacing w:val="41"/>
        </w:rPr>
        <w:t> </w:t>
      </w:r>
      <w:r>
        <w:rPr/>
        <w:t>important</w:t>
      </w:r>
      <w:r>
        <w:rPr>
          <w:spacing w:val="41"/>
        </w:rPr>
        <w:t> </w:t>
      </w:r>
      <w:r>
        <w:rPr/>
        <w:t>levels</w:t>
      </w:r>
      <w:r>
        <w:rPr>
          <w:spacing w:val="42"/>
        </w:rPr>
        <w:t> </w:t>
      </w:r>
      <w:r>
        <w:rPr/>
        <w:t>in</w:t>
      </w:r>
      <w:r>
        <w:rPr>
          <w:spacing w:val="41"/>
        </w:rPr>
        <w:t> </w:t>
      </w:r>
      <w:r>
        <w:rPr/>
        <w:t>the</w:t>
      </w:r>
      <w:r>
        <w:rPr>
          <w:spacing w:val="41"/>
        </w:rPr>
        <w:t> </w:t>
      </w:r>
      <w:r>
        <w:rPr/>
        <w:t>charts</w:t>
      </w:r>
      <w:r>
        <w:rPr>
          <w:spacing w:val="43"/>
        </w:rPr>
        <w:t> </w:t>
      </w:r>
      <w:r>
        <w:rPr/>
        <w:t>and</w:t>
      </w:r>
      <w:r>
        <w:rPr>
          <w:spacing w:val="42"/>
        </w:rPr>
        <w:t> </w:t>
      </w:r>
      <w:r>
        <w:rPr/>
        <w:t>reveal</w:t>
      </w:r>
      <w:r>
        <w:rPr>
          <w:spacing w:val="41"/>
        </w:rPr>
        <w:t> </w:t>
      </w:r>
      <w:r>
        <w:rPr/>
        <w:t>inherent</w:t>
      </w:r>
      <w:r>
        <w:rPr>
          <w:spacing w:val="41"/>
        </w:rPr>
        <w:t> </w:t>
      </w:r>
      <w:r>
        <w:rPr>
          <w:spacing w:val="-2"/>
        </w:rPr>
        <w:t>details</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6"/>
        <w:jc w:val="both"/>
      </w:pPr>
      <w:r>
        <w:rPr/>
        <w:t>about the market that are usually tough to uncover. Not many indicators or formulas can reveal such precise levels on the chart where both responsive and initiative market participants are likely to enter the market. What’s fascinating about the indicator is that it can be used as a self-contained trading strategy, with all the entries, stops, and targets built right into the pivot levels. I am a strong believer in knowing the sequence of events that trigger any given entry. By trading this way, you are introducing discipline into</w:t>
      </w:r>
      <w:r>
        <w:rPr>
          <w:spacing w:val="-5"/>
        </w:rPr>
        <w:t> </w:t>
      </w:r>
      <w:r>
        <w:rPr/>
        <w:t>your</w:t>
      </w:r>
      <w:r>
        <w:rPr>
          <w:spacing w:val="-3"/>
        </w:rPr>
        <w:t> </w:t>
      </w:r>
      <w:r>
        <w:rPr/>
        <w:t>craft,</w:t>
      </w:r>
      <w:r>
        <w:rPr>
          <w:spacing w:val="-3"/>
        </w:rPr>
        <w:t> </w:t>
      </w:r>
      <w:r>
        <w:rPr/>
        <w:t>while</w:t>
      </w:r>
      <w:r>
        <w:rPr>
          <w:spacing w:val="-3"/>
        </w:rPr>
        <w:t> </w:t>
      </w:r>
      <w:r>
        <w:rPr/>
        <w:t>reducing</w:t>
      </w:r>
      <w:r>
        <w:rPr>
          <w:spacing w:val="-4"/>
        </w:rPr>
        <w:t> </w:t>
      </w:r>
      <w:r>
        <w:rPr/>
        <w:t>the</w:t>
      </w:r>
      <w:r>
        <w:rPr>
          <w:spacing w:val="-3"/>
        </w:rPr>
        <w:t> </w:t>
      </w:r>
      <w:r>
        <w:rPr/>
        <w:t>emotional</w:t>
      </w:r>
      <w:r>
        <w:rPr>
          <w:spacing w:val="-3"/>
        </w:rPr>
        <w:t> </w:t>
      </w:r>
      <w:r>
        <w:rPr/>
        <w:t>aspect</w:t>
      </w:r>
      <w:r>
        <w:rPr>
          <w:spacing w:val="-3"/>
        </w:rPr>
        <w:t> </w:t>
      </w:r>
      <w:r>
        <w:rPr/>
        <w:t>of</w:t>
      </w:r>
      <w:r>
        <w:rPr>
          <w:spacing w:val="-2"/>
        </w:rPr>
        <w:t> </w:t>
      </w:r>
      <w:r>
        <w:rPr/>
        <w:t>trading.</w:t>
      </w:r>
      <w:r>
        <w:rPr>
          <w:spacing w:val="-3"/>
        </w:rPr>
        <w:t> </w:t>
      </w:r>
      <w:r>
        <w:rPr/>
        <w:t>The</w:t>
      </w:r>
      <w:r>
        <w:rPr>
          <w:spacing w:val="-3"/>
        </w:rPr>
        <w:t> </w:t>
      </w:r>
      <w:r>
        <w:rPr/>
        <w:t>Camarilla Equation definitely falls along these guidelines and provides even more powerful setups than the classic ones demonstrated in this chapter. Chapter 8 will further unlock the strength behind the equation and reveal some of my favorite setups using this indicator.</w:t>
      </w:r>
    </w:p>
    <w:p>
      <w:pPr>
        <w:spacing w:after="0"/>
        <w:jc w:val="both"/>
        <w:sectPr>
          <w:pgSz w:w="8640" w:h="12960"/>
          <w:pgMar w:header="536" w:footer="1060" w:top="720" w:bottom="1260" w:left="580" w:right="580"/>
        </w:sectPr>
      </w:pPr>
    </w:p>
    <w:p>
      <w:pPr>
        <w:pStyle w:val="BodyText"/>
        <w:spacing w:before="4"/>
        <w:rPr>
          <w:sz w:val="17"/>
        </w:rPr>
      </w:pPr>
    </w:p>
    <w:p>
      <w:pPr>
        <w:spacing w:after="0"/>
        <w:rPr>
          <w:sz w:val="17"/>
        </w:rPr>
        <w:sectPr>
          <w:headerReference w:type="even" r:id="rId239"/>
          <w:footerReference w:type="even" r:id="rId240"/>
          <w:pgSz w:w="8640" w:h="12960"/>
          <w:pgMar w:header="0" w:footer="0" w:top="14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2"/>
        <w:rPr>
          <w:sz w:val="180"/>
        </w:rPr>
      </w:pPr>
      <w:r>
        <w:rPr/>
        <w:pict>
          <v:line style="position:absolute;mso-position-horizontal-relative:page;mso-position-vertical-relative:paragraph;z-index:-19558912" from="57.779999pt,103.30365pt" to="392.219999pt,103.30365pt" stroked="true" strokeweight=".75pt" strokecolor="#000000">
            <v:stroke dashstyle="solid"/>
            <w10:wrap type="none"/>
          </v:line>
        </w:pict>
      </w:r>
      <w:bookmarkStart w:name="_TOC_250028" w:id="63"/>
      <w:r>
        <w:rPr>
          <w:w w:val="105"/>
        </w:rPr>
        <w:t>C H A P T E R</w:t>
      </w:r>
      <w:r>
        <w:rPr>
          <w:spacing w:val="-1"/>
          <w:w w:val="105"/>
        </w:rPr>
        <w:t> </w:t>
      </w:r>
      <w:bookmarkEnd w:id="63"/>
      <w:r>
        <w:rPr>
          <w:spacing w:val="-12"/>
          <w:w w:val="105"/>
          <w:sz w:val="180"/>
        </w:rPr>
        <w:t>8</w:t>
      </w:r>
    </w:p>
    <w:p>
      <w:pPr>
        <w:pStyle w:val="Heading1"/>
        <w:spacing w:line="276" w:lineRule="auto"/>
        <w:ind w:left="1222" w:right="127" w:firstLine="3123"/>
      </w:pPr>
      <w:bookmarkStart w:name="_TOC_250027" w:id="64"/>
      <w:r>
        <w:rPr>
          <w:smallCaps/>
          <w:spacing w:val="-4"/>
          <w:w w:val="90"/>
        </w:rPr>
        <w:t>Advanced </w:t>
      </w:r>
      <w:r>
        <w:rPr>
          <w:smallCaps/>
          <w:w w:val="90"/>
        </w:rPr>
        <w:t>Camarilla</w:t>
      </w:r>
      <w:r>
        <w:rPr>
          <w:smallCaps/>
          <w:spacing w:val="-19"/>
          <w:w w:val="90"/>
        </w:rPr>
        <w:t> </w:t>
      </w:r>
      <w:bookmarkEnd w:id="64"/>
      <w:r>
        <w:rPr>
          <w:smallCaps/>
          <w:spacing w:val="-2"/>
          <w:w w:val="90"/>
        </w:rPr>
        <w:t>Concepts</w:t>
      </w:r>
    </w:p>
    <w:p>
      <w:pPr>
        <w:spacing w:line="276" w:lineRule="auto" w:before="289"/>
        <w:ind w:left="1219" w:right="224" w:firstLine="0"/>
        <w:jc w:val="left"/>
        <w:rPr>
          <w:i/>
          <w:sz w:val="22"/>
        </w:rPr>
      </w:pPr>
      <w:r>
        <w:rPr>
          <w:i/>
          <w:sz w:val="22"/>
        </w:rPr>
        <w:t>“A man may know what to do and still lose money—if he doesn’t do</w:t>
      </w:r>
      <w:r>
        <w:rPr>
          <w:i/>
          <w:spacing w:val="40"/>
          <w:sz w:val="22"/>
        </w:rPr>
        <w:t> </w:t>
      </w:r>
      <w:r>
        <w:rPr>
          <w:i/>
          <w:sz w:val="22"/>
        </w:rPr>
        <w:t>it quickly enough.”</w:t>
      </w:r>
    </w:p>
    <w:p>
      <w:pPr>
        <w:pStyle w:val="BodyText"/>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spacing w:before="189"/>
        <w:ind w:left="499" w:right="134" w:firstLine="432"/>
        <w:jc w:val="both"/>
      </w:pPr>
      <w:r>
        <w:rPr/>
        <w:t>Now that you have learned the basics of the Camarilla Equation and have a solid understanding of its self-contained trading strategy, we can</w:t>
      </w:r>
      <w:r>
        <w:rPr>
          <w:spacing w:val="40"/>
        </w:rPr>
        <w:t> </w:t>
      </w:r>
      <w:r>
        <w:rPr/>
        <w:t>move forward to more advanced concepts using the indicator. This chapter will be geared toward the intricacies of using the indicator and will also include many of the important relationships that we have already covered, like two-day pivot relationships, pivot width analysis, and pivot trend analysis.</w:t>
      </w:r>
      <w:r>
        <w:rPr>
          <w:spacing w:val="35"/>
        </w:rPr>
        <w:t> </w:t>
      </w:r>
      <w:r>
        <w:rPr/>
        <w:t>Since</w:t>
      </w:r>
      <w:r>
        <w:rPr>
          <w:spacing w:val="35"/>
        </w:rPr>
        <w:t> </w:t>
      </w:r>
      <w:r>
        <w:rPr/>
        <w:t>I’ve</w:t>
      </w:r>
      <w:r>
        <w:rPr>
          <w:spacing w:val="35"/>
        </w:rPr>
        <w:t> </w:t>
      </w:r>
      <w:r>
        <w:rPr/>
        <w:t>thoroughly</w:t>
      </w:r>
      <w:r>
        <w:rPr>
          <w:spacing w:val="34"/>
        </w:rPr>
        <w:t> </w:t>
      </w:r>
      <w:r>
        <w:rPr/>
        <w:t>covered</w:t>
      </w:r>
      <w:r>
        <w:rPr>
          <w:spacing w:val="35"/>
        </w:rPr>
        <w:t> </w:t>
      </w:r>
      <w:r>
        <w:rPr/>
        <w:t>these</w:t>
      </w:r>
      <w:r>
        <w:rPr>
          <w:spacing w:val="35"/>
        </w:rPr>
        <w:t> </w:t>
      </w:r>
      <w:r>
        <w:rPr/>
        <w:t>subjects</w:t>
      </w:r>
      <w:r>
        <w:rPr>
          <w:spacing w:val="35"/>
        </w:rPr>
        <w:t> </w:t>
      </w:r>
      <w:r>
        <w:rPr/>
        <w:t>with</w:t>
      </w:r>
      <w:r>
        <w:rPr>
          <w:spacing w:val="36"/>
        </w:rPr>
        <w:t> </w:t>
      </w:r>
      <w:r>
        <w:rPr/>
        <w:t>respect</w:t>
      </w:r>
      <w:r>
        <w:rPr>
          <w:spacing w:val="35"/>
        </w:rPr>
        <w:t> </w:t>
      </w:r>
      <w:r>
        <w:rPr/>
        <w:t>to</w:t>
      </w:r>
      <w:r>
        <w:rPr>
          <w:spacing w:val="35"/>
        </w:rPr>
        <w:t> </w:t>
      </w:r>
      <w:r>
        <w:rPr>
          <w:spacing w:val="-5"/>
        </w:rPr>
        <w:t>the</w:t>
      </w:r>
    </w:p>
    <w:p>
      <w:pPr>
        <w:spacing w:after="0"/>
        <w:jc w:val="both"/>
        <w:sectPr>
          <w:headerReference w:type="default" r:id="rId241"/>
          <w:footerReference w:type="default" r:id="rId242"/>
          <w:footerReference w:type="even" r:id="rId243"/>
          <w:pgSz w:w="8640" w:h="12960"/>
          <w:pgMar w:header="0" w:footer="1060" w:top="1480" w:bottom="1260" w:left="580" w:right="580"/>
          <w:pgNumType w:start="201"/>
        </w:sectPr>
      </w:pPr>
    </w:p>
    <w:p>
      <w:pPr>
        <w:pStyle w:val="BodyText"/>
        <w:spacing w:before="5"/>
        <w:rPr>
          <w:sz w:val="18"/>
        </w:rPr>
      </w:pPr>
    </w:p>
    <w:p>
      <w:pPr>
        <w:pStyle w:val="BodyText"/>
        <w:spacing w:before="64"/>
        <w:ind w:left="140" w:right="500"/>
        <w:jc w:val="both"/>
      </w:pPr>
      <w:r>
        <w:rPr/>
        <w:t>Money Zone and Floor Pivots, I will spare you formal introductions and will jump straight into the material.</w:t>
      </w:r>
    </w:p>
    <w:p>
      <w:pPr>
        <w:pStyle w:val="BodyText"/>
        <w:spacing w:before="1"/>
        <w:ind w:left="140" w:right="499" w:firstLine="432"/>
        <w:jc w:val="both"/>
      </w:pPr>
      <w:r>
        <w:rPr/>
        <w:t>After trading with this indicator for many years, my brain has become programmed to sniff out winning and losing trades depending on market movement</w:t>
      </w:r>
      <w:r>
        <w:rPr>
          <w:spacing w:val="-2"/>
        </w:rPr>
        <w:t> </w:t>
      </w:r>
      <w:r>
        <w:rPr/>
        <w:t>and</w:t>
      </w:r>
      <w:r>
        <w:rPr>
          <w:spacing w:val="-2"/>
        </w:rPr>
        <w:t> </w:t>
      </w:r>
      <w:r>
        <w:rPr/>
        <w:t>price</w:t>
      </w:r>
      <w:r>
        <w:rPr>
          <w:spacing w:val="-2"/>
        </w:rPr>
        <w:t> </w:t>
      </w:r>
      <w:r>
        <w:rPr/>
        <w:t>behavior</w:t>
      </w:r>
      <w:r>
        <w:rPr>
          <w:spacing w:val="-2"/>
        </w:rPr>
        <w:t> </w:t>
      </w:r>
      <w:r>
        <w:rPr/>
        <w:t>at</w:t>
      </w:r>
      <w:r>
        <w:rPr>
          <w:spacing w:val="-3"/>
        </w:rPr>
        <w:t> </w:t>
      </w:r>
      <w:r>
        <w:rPr/>
        <w:t>key</w:t>
      </w:r>
      <w:r>
        <w:rPr>
          <w:spacing w:val="-3"/>
        </w:rPr>
        <w:t> </w:t>
      </w:r>
      <w:r>
        <w:rPr/>
        <w:t>pivot</w:t>
      </w:r>
      <w:r>
        <w:rPr>
          <w:spacing w:val="-3"/>
        </w:rPr>
        <w:t> </w:t>
      </w:r>
      <w:r>
        <w:rPr/>
        <w:t>levels.</w:t>
      </w:r>
      <w:r>
        <w:rPr>
          <w:spacing w:val="-3"/>
        </w:rPr>
        <w:t> </w:t>
      </w:r>
      <w:r>
        <w:rPr/>
        <w:t>The</w:t>
      </w:r>
      <w:r>
        <w:rPr>
          <w:spacing w:val="-2"/>
        </w:rPr>
        <w:t> </w:t>
      </w:r>
      <w:r>
        <w:rPr/>
        <w:t>following</w:t>
      </w:r>
      <w:r>
        <w:rPr>
          <w:spacing w:val="-3"/>
        </w:rPr>
        <w:t> </w:t>
      </w:r>
      <w:r>
        <w:rPr/>
        <w:t>material</w:t>
      </w:r>
      <w:r>
        <w:rPr>
          <w:spacing w:val="-2"/>
        </w:rPr>
        <w:t> </w:t>
      </w:r>
      <w:r>
        <w:rPr/>
        <w:t>will be immensely powerful if you’re serious about becoming a pivot player.</w:t>
      </w:r>
    </w:p>
    <w:p>
      <w:pPr>
        <w:pStyle w:val="BodyText"/>
        <w:spacing w:before="10"/>
        <w:rPr>
          <w:sz w:val="21"/>
        </w:rPr>
      </w:pPr>
    </w:p>
    <w:p>
      <w:pPr>
        <w:pStyle w:val="Heading3"/>
        <w:jc w:val="both"/>
      </w:pPr>
      <w:r>
        <w:rPr/>
        <w:pict>
          <v:shape style="position:absolute;margin-left:36.779999pt;margin-top:18.230309pt;width:341pt;height:.1pt;mso-position-horizontal-relative:page;mso-position-vertical-relative:paragraph;z-index:-15600128;mso-wrap-distance-left:0;mso-wrap-distance-right:0" id="docshape698" coordorigin="736,365" coordsize="6820,0" path="m736,365l7555,365e" filled="false" stroked="true" strokeweight=".75pt" strokecolor="#000000">
            <v:path arrowok="t"/>
            <v:stroke dashstyle="solid"/>
            <w10:wrap type="topAndBottom"/>
          </v:shape>
        </w:pict>
      </w:r>
      <w:bookmarkStart w:name="_TOC_250026" w:id="65"/>
      <w:r>
        <w:rPr>
          <w:smallCaps/>
        </w:rPr>
        <w:t>The</w:t>
      </w:r>
      <w:r>
        <w:rPr>
          <w:smallCaps/>
          <w:spacing w:val="-14"/>
        </w:rPr>
        <w:t> </w:t>
      </w:r>
      <w:r>
        <w:rPr>
          <w:smallCaps/>
        </w:rPr>
        <w:t>Developing</w:t>
      </w:r>
      <w:r>
        <w:rPr>
          <w:smallCaps/>
          <w:spacing w:val="-14"/>
        </w:rPr>
        <w:t> </w:t>
      </w:r>
      <w:r>
        <w:rPr>
          <w:smallCaps/>
        </w:rPr>
        <w:t>Camarilla</w:t>
      </w:r>
      <w:r>
        <w:rPr>
          <w:smallCaps/>
          <w:spacing w:val="-14"/>
        </w:rPr>
        <w:t> </w:t>
      </w:r>
      <w:r>
        <w:rPr>
          <w:smallCaps/>
        </w:rPr>
        <w:t>Three</w:t>
      </w:r>
      <w:r>
        <w:rPr>
          <w:smallCaps/>
          <w:spacing w:val="-13"/>
        </w:rPr>
        <w:t> </w:t>
      </w:r>
      <w:bookmarkEnd w:id="65"/>
      <w:r>
        <w:rPr>
          <w:smallCaps/>
          <w:spacing w:val="-2"/>
        </w:rPr>
        <w:t>Indicator</w:t>
      </w:r>
    </w:p>
    <w:p>
      <w:pPr>
        <w:pStyle w:val="BodyText"/>
        <w:spacing w:before="203"/>
        <w:ind w:left="139" w:right="493" w:firstLine="432"/>
        <w:jc w:val="both"/>
      </w:pPr>
      <w:r>
        <w:rPr/>
        <w:t>In addition to conceptualizing the idea for the Developing Pivot Range indicator, I also wrote the code for the </w:t>
      </w:r>
      <w:r>
        <w:rPr>
          <w:i/>
        </w:rPr>
        <w:t>Developing Camarilla Three (DC3)</w:t>
      </w:r>
      <w:r>
        <w:rPr>
          <w:i/>
        </w:rPr>
        <w:t> </w:t>
      </w:r>
      <w:r>
        <w:rPr/>
        <w:t>indicator, thereby completing the developing suite of indicators for the Money Zone, Floor Pivots, and the Camarilla Equation. The DC3 indicator plots the third layer of the Camarilla Equation in real time as it dynamically updates throughout the day. As is the case with the developing Money Zone and Pivot Range indicators, the day’s ending values for the DC3 indicator will</w:t>
      </w:r>
      <w:r>
        <w:rPr>
          <w:spacing w:val="-3"/>
        </w:rPr>
        <w:t> </w:t>
      </w:r>
      <w:r>
        <w:rPr/>
        <w:t>tell</w:t>
      </w:r>
      <w:r>
        <w:rPr>
          <w:spacing w:val="-2"/>
        </w:rPr>
        <w:t> </w:t>
      </w:r>
      <w:r>
        <w:rPr/>
        <w:t>you</w:t>
      </w:r>
      <w:r>
        <w:rPr>
          <w:spacing w:val="-3"/>
        </w:rPr>
        <w:t> </w:t>
      </w:r>
      <w:r>
        <w:rPr/>
        <w:t>the</w:t>
      </w:r>
      <w:r>
        <w:rPr>
          <w:spacing w:val="-2"/>
        </w:rPr>
        <w:t> </w:t>
      </w:r>
      <w:r>
        <w:rPr/>
        <w:t>location</w:t>
      </w:r>
      <w:r>
        <w:rPr>
          <w:spacing w:val="-2"/>
        </w:rPr>
        <w:t> </w:t>
      </w:r>
      <w:r>
        <w:rPr/>
        <w:t>of</w:t>
      </w:r>
      <w:r>
        <w:rPr>
          <w:spacing w:val="-2"/>
        </w:rPr>
        <w:t> </w:t>
      </w:r>
      <w:r>
        <w:rPr/>
        <w:t>the</w:t>
      </w:r>
      <w:r>
        <w:rPr>
          <w:spacing w:val="-2"/>
        </w:rPr>
        <w:t> </w:t>
      </w:r>
      <w:r>
        <w:rPr/>
        <w:t>third</w:t>
      </w:r>
      <w:r>
        <w:rPr>
          <w:spacing w:val="-2"/>
        </w:rPr>
        <w:t> </w:t>
      </w:r>
      <w:r>
        <w:rPr/>
        <w:t>layer</w:t>
      </w:r>
      <w:r>
        <w:rPr>
          <w:spacing w:val="-2"/>
        </w:rPr>
        <w:t> </w:t>
      </w:r>
      <w:r>
        <w:rPr/>
        <w:t>of</w:t>
      </w:r>
      <w:r>
        <w:rPr>
          <w:spacing w:val="-2"/>
        </w:rPr>
        <w:t> </w:t>
      </w:r>
      <w:r>
        <w:rPr/>
        <w:t>the</w:t>
      </w:r>
      <w:r>
        <w:rPr>
          <w:spacing w:val="-2"/>
        </w:rPr>
        <w:t> </w:t>
      </w:r>
      <w:r>
        <w:rPr/>
        <w:t>static</w:t>
      </w:r>
      <w:r>
        <w:rPr>
          <w:spacing w:val="-1"/>
        </w:rPr>
        <w:t> </w:t>
      </w:r>
      <w:r>
        <w:rPr/>
        <w:t>Camarilla</w:t>
      </w:r>
      <w:r>
        <w:rPr>
          <w:spacing w:val="-2"/>
        </w:rPr>
        <w:t> </w:t>
      </w:r>
      <w:r>
        <w:rPr/>
        <w:t>indicator</w:t>
      </w:r>
      <w:r>
        <w:rPr>
          <w:spacing w:val="-2"/>
        </w:rPr>
        <w:t> </w:t>
      </w:r>
      <w:r>
        <w:rPr/>
        <w:t>for the upcoming session, thereby allowing you to analyze important two-day Camarilla relationships and pivot width characteristics. Remember, the advantage of the developing suite of indicators is to get a read on the market before anyone else. Having this information the day before important relationships develop allows you to engage highly profitable setups and predictable market behavior in a more informed and educated manner. As always, I have included the code for the DC3 indicator (file name: iDevCamarilla3) in Appendix B.</w:t>
      </w:r>
    </w:p>
    <w:p>
      <w:pPr>
        <w:pStyle w:val="BodyText"/>
        <w:ind w:left="139" w:right="495" w:firstLine="432"/>
        <w:jc w:val="both"/>
      </w:pPr>
      <w:r>
        <w:rPr/>
        <w:t>Let’s take a look at the indicator in Figure 8.1, which shows a five- minute chart of the E-Mini NASDAQ 100 futures contract. Notice how the third layer of the equation dynamically updates throughout the session as</w:t>
      </w:r>
      <w:r>
        <w:rPr>
          <w:spacing w:val="40"/>
        </w:rPr>
        <w:t> </w:t>
      </w:r>
      <w:r>
        <w:rPr/>
        <w:t>new data enters the market. While the indicator will dynamically ebb and flow throughout the day, pay close attention to where the indicator closes the session, as these ending values will become the levels for the third layer of the static Camarilla indicator for the following day. That is, tomorrow’s</w:t>
      </w:r>
      <w:r>
        <w:rPr>
          <w:spacing w:val="40"/>
        </w:rPr>
        <w:t> </w:t>
      </w:r>
      <w:r>
        <w:rPr/>
        <w:t>levels for the third layer of the Camarilla Equation are derived from the ending</w:t>
      </w:r>
      <w:r>
        <w:rPr>
          <w:spacing w:val="-1"/>
        </w:rPr>
        <w:t> </w:t>
      </w:r>
      <w:r>
        <w:rPr/>
        <w:t>values</w:t>
      </w:r>
      <w:r>
        <w:rPr>
          <w:spacing w:val="-1"/>
        </w:rPr>
        <w:t> </w:t>
      </w:r>
      <w:r>
        <w:rPr/>
        <w:t>of</w:t>
      </w:r>
      <w:r>
        <w:rPr>
          <w:spacing w:val="-1"/>
        </w:rPr>
        <w:t> </w:t>
      </w:r>
      <w:r>
        <w:rPr/>
        <w:t>the</w:t>
      </w:r>
      <w:r>
        <w:rPr>
          <w:spacing w:val="-1"/>
        </w:rPr>
        <w:t> </w:t>
      </w:r>
      <w:r>
        <w:rPr/>
        <w:t>DC3</w:t>
      </w:r>
      <w:r>
        <w:rPr>
          <w:spacing w:val="-1"/>
        </w:rPr>
        <w:t> </w:t>
      </w:r>
      <w:r>
        <w:rPr/>
        <w:t>indicator.</w:t>
      </w:r>
      <w:r>
        <w:rPr>
          <w:spacing w:val="-1"/>
        </w:rPr>
        <w:t> </w:t>
      </w:r>
      <w:r>
        <w:rPr/>
        <w:t>Therefore,</w:t>
      </w:r>
      <w:r>
        <w:rPr>
          <w:spacing w:val="-1"/>
        </w:rPr>
        <w:t> </w:t>
      </w:r>
      <w:r>
        <w:rPr/>
        <w:t>looking</w:t>
      </w:r>
      <w:r>
        <w:rPr>
          <w:spacing w:val="-1"/>
        </w:rPr>
        <w:t> </w:t>
      </w:r>
      <w:r>
        <w:rPr/>
        <w:t>at</w:t>
      </w:r>
      <w:r>
        <w:rPr>
          <w:spacing w:val="-1"/>
        </w:rPr>
        <w:t> </w:t>
      </w:r>
      <w:r>
        <w:rPr/>
        <w:t>the</w:t>
      </w:r>
      <w:r>
        <w:rPr>
          <w:spacing w:val="-1"/>
        </w:rPr>
        <w:t> </w:t>
      </w:r>
      <w:r>
        <w:rPr/>
        <w:t>chart shows</w:t>
      </w:r>
      <w:r>
        <w:rPr>
          <w:spacing w:val="-1"/>
        </w:rPr>
        <w:t> </w:t>
      </w:r>
      <w:r>
        <w:rPr/>
        <w:t>the developing values closed at 1,757.50 and 1,782.50 on January 28, 2010, which essentially became the levels for the third layer of the static Camarilla indicator the following day, January 29.</w:t>
      </w:r>
    </w:p>
    <w:p>
      <w:pPr>
        <w:spacing w:after="0"/>
        <w:jc w:val="both"/>
        <w:sectPr>
          <w:headerReference w:type="even" r:id="rId244"/>
          <w:headerReference w:type="default" r:id="rId245"/>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223" name="image113.png"/>
            <wp:cNvGraphicFramePr>
              <a:graphicFrameLocks noChangeAspect="1"/>
            </wp:cNvGraphicFramePr>
            <a:graphic>
              <a:graphicData uri="http://schemas.openxmlformats.org/drawingml/2006/picture">
                <pic:pic>
                  <pic:nvPicPr>
                    <pic:cNvPr id="224" name="image113.png"/>
                    <pic:cNvPicPr/>
                  </pic:nvPicPr>
                  <pic:blipFill>
                    <a:blip r:embed="rId248"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8.1:</w:t>
      </w:r>
      <w:r>
        <w:rPr>
          <w:spacing w:val="1"/>
          <w:sz w:val="16"/>
        </w:rPr>
        <w:t> </w:t>
      </w:r>
      <w:r>
        <w:rPr>
          <w:sz w:val="16"/>
        </w:rPr>
        <w:t>The DC3 indicator</w:t>
      </w:r>
      <w:r>
        <w:rPr>
          <w:spacing w:val="-1"/>
          <w:sz w:val="16"/>
        </w:rPr>
        <w:t> </w:t>
      </w:r>
      <w:r>
        <w:rPr>
          <w:sz w:val="16"/>
        </w:rPr>
        <w:t>helps you</w:t>
      </w:r>
      <w:r>
        <w:rPr>
          <w:spacing w:val="-1"/>
          <w:sz w:val="16"/>
        </w:rPr>
        <w:t> </w:t>
      </w:r>
      <w:r>
        <w:rPr>
          <w:sz w:val="16"/>
        </w:rPr>
        <w:t>see the third</w:t>
      </w:r>
      <w:r>
        <w:rPr>
          <w:spacing w:val="-1"/>
          <w:sz w:val="16"/>
        </w:rPr>
        <w:t> </w:t>
      </w:r>
      <w:r>
        <w:rPr>
          <w:sz w:val="16"/>
        </w:rPr>
        <w:t>layer</w:t>
      </w:r>
      <w:r>
        <w:rPr>
          <w:spacing w:val="1"/>
          <w:sz w:val="16"/>
        </w:rPr>
        <w:t> </w:t>
      </w:r>
      <w:r>
        <w:rPr>
          <w:sz w:val="16"/>
        </w:rPr>
        <w:t>of</w:t>
      </w:r>
      <w:r>
        <w:rPr>
          <w:spacing w:val="-1"/>
          <w:sz w:val="16"/>
        </w:rPr>
        <w:t> </w:t>
      </w:r>
      <w:r>
        <w:rPr>
          <w:sz w:val="16"/>
        </w:rPr>
        <w:t>the Cams</w:t>
      </w:r>
      <w:r>
        <w:rPr>
          <w:spacing w:val="-1"/>
          <w:sz w:val="16"/>
        </w:rPr>
        <w:t> </w:t>
      </w:r>
      <w:r>
        <w:rPr>
          <w:sz w:val="16"/>
        </w:rPr>
        <w:t>for the next</w:t>
      </w:r>
      <w:r>
        <w:rPr>
          <w:spacing w:val="-1"/>
          <w:sz w:val="16"/>
        </w:rPr>
        <w:t> </w:t>
      </w:r>
      <w:r>
        <w:rPr>
          <w:spacing w:val="-4"/>
          <w:sz w:val="16"/>
        </w:rPr>
        <w:t>day.</w:t>
      </w:r>
    </w:p>
    <w:p>
      <w:pPr>
        <w:pStyle w:val="BodyText"/>
        <w:spacing w:before="2"/>
      </w:pPr>
    </w:p>
    <w:p>
      <w:pPr>
        <w:pStyle w:val="BodyText"/>
        <w:ind w:left="500" w:right="136" w:firstLine="432"/>
        <w:jc w:val="both"/>
      </w:pPr>
      <w:r>
        <w:rPr/>
        <w:t>I will use the DC3 indicator the rest of the chapter as I explain the most useful Camarilla pivot relationships. This indicator has been tremendous in helping me visualize and anticipate important, money-making Camarilla relationships ahead of other traders. It cannot be overstated how important preparation is to trading. Preparation allows you to analyze the market with a clear mind before real money is on the line and live bullets are in the air.</w:t>
      </w:r>
    </w:p>
    <w:p>
      <w:pPr>
        <w:pStyle w:val="BodyText"/>
        <w:spacing w:before="1"/>
      </w:pPr>
    </w:p>
    <w:p>
      <w:pPr>
        <w:spacing w:before="0"/>
        <w:ind w:left="358" w:right="0" w:firstLine="0"/>
        <w:jc w:val="center"/>
        <w:rPr>
          <w:i/>
          <w:sz w:val="22"/>
        </w:rPr>
      </w:pPr>
      <w:r>
        <w:rPr>
          <w:i/>
          <w:sz w:val="22"/>
        </w:rPr>
        <w:t>Preparation</w:t>
      </w:r>
      <w:r>
        <w:rPr>
          <w:i/>
          <w:spacing w:val="-4"/>
          <w:sz w:val="22"/>
        </w:rPr>
        <w:t> </w:t>
      </w:r>
      <w:r>
        <w:rPr>
          <w:i/>
          <w:sz w:val="22"/>
        </w:rPr>
        <w:t>is</w:t>
      </w:r>
      <w:r>
        <w:rPr>
          <w:i/>
          <w:spacing w:val="-3"/>
          <w:sz w:val="22"/>
        </w:rPr>
        <w:t> </w:t>
      </w:r>
      <w:r>
        <w:rPr>
          <w:i/>
          <w:sz w:val="22"/>
        </w:rPr>
        <w:t>what</w:t>
      </w:r>
      <w:r>
        <w:rPr>
          <w:i/>
          <w:spacing w:val="-4"/>
          <w:sz w:val="22"/>
        </w:rPr>
        <w:t> </w:t>
      </w:r>
      <w:r>
        <w:rPr>
          <w:i/>
          <w:sz w:val="22"/>
        </w:rPr>
        <w:t>separates</w:t>
      </w:r>
      <w:r>
        <w:rPr>
          <w:i/>
          <w:spacing w:val="-4"/>
          <w:sz w:val="22"/>
        </w:rPr>
        <w:t> </w:t>
      </w:r>
      <w:r>
        <w:rPr>
          <w:i/>
          <w:sz w:val="22"/>
        </w:rPr>
        <w:t>the</w:t>
      </w:r>
      <w:r>
        <w:rPr>
          <w:i/>
          <w:spacing w:val="-4"/>
          <w:sz w:val="22"/>
        </w:rPr>
        <w:t> </w:t>
      </w:r>
      <w:r>
        <w:rPr>
          <w:i/>
          <w:sz w:val="22"/>
        </w:rPr>
        <w:t>Pros</w:t>
      </w:r>
      <w:r>
        <w:rPr>
          <w:i/>
          <w:spacing w:val="-3"/>
          <w:sz w:val="22"/>
        </w:rPr>
        <w:t> </w:t>
      </w:r>
      <w:r>
        <w:rPr>
          <w:i/>
          <w:sz w:val="22"/>
        </w:rPr>
        <w:t>from</w:t>
      </w:r>
      <w:r>
        <w:rPr>
          <w:i/>
          <w:spacing w:val="-4"/>
          <w:sz w:val="22"/>
        </w:rPr>
        <w:t> </w:t>
      </w:r>
      <w:r>
        <w:rPr>
          <w:i/>
          <w:sz w:val="22"/>
        </w:rPr>
        <w:t>the</w:t>
      </w:r>
      <w:r>
        <w:rPr>
          <w:i/>
          <w:spacing w:val="-3"/>
          <w:sz w:val="22"/>
        </w:rPr>
        <w:t> </w:t>
      </w:r>
      <w:r>
        <w:rPr>
          <w:i/>
          <w:spacing w:val="-4"/>
          <w:sz w:val="22"/>
        </w:rPr>
        <w:t>Joes.</w:t>
      </w:r>
    </w:p>
    <w:p>
      <w:pPr>
        <w:pStyle w:val="BodyText"/>
        <w:spacing w:before="9"/>
        <w:rPr>
          <w:i/>
          <w:sz w:val="21"/>
        </w:rPr>
      </w:pPr>
    </w:p>
    <w:p>
      <w:pPr>
        <w:pStyle w:val="Heading3"/>
        <w:ind w:left="500"/>
      </w:pPr>
      <w:r>
        <w:rPr/>
        <w:pict>
          <v:shape style="position:absolute;margin-left:54.779999pt;margin-top:18.290308pt;width:341pt;height:.1pt;mso-position-horizontal-relative:page;mso-position-vertical-relative:paragraph;z-index:-15599616;mso-wrap-distance-left:0;mso-wrap-distance-right:0" id="docshape703" coordorigin="1096,366" coordsize="6820,0" path="m1096,366l7915,366e" filled="false" stroked="true" strokeweight=".75pt" strokecolor="#000000">
            <v:path arrowok="t"/>
            <v:stroke dashstyle="solid"/>
            <w10:wrap type="topAndBottom"/>
          </v:shape>
        </w:pict>
      </w:r>
      <w:bookmarkStart w:name="_TOC_250025" w:id="66"/>
      <w:r>
        <w:rPr>
          <w:smallCaps/>
        </w:rPr>
        <w:t>Pivot</w:t>
      </w:r>
      <w:r>
        <w:rPr>
          <w:smallCaps/>
          <w:spacing w:val="-14"/>
        </w:rPr>
        <w:t> </w:t>
      </w:r>
      <w:r>
        <w:rPr>
          <w:smallCaps/>
        </w:rPr>
        <w:t>Width</w:t>
      </w:r>
      <w:r>
        <w:rPr>
          <w:smallCaps/>
          <w:spacing w:val="-12"/>
        </w:rPr>
        <w:t> </w:t>
      </w:r>
      <w:bookmarkEnd w:id="66"/>
      <w:r>
        <w:rPr>
          <w:smallCaps/>
          <w:spacing w:val="-2"/>
        </w:rPr>
        <w:t>Analysis</w:t>
      </w:r>
    </w:p>
    <w:p>
      <w:pPr>
        <w:pStyle w:val="BodyText"/>
        <w:spacing w:before="202"/>
        <w:ind w:left="499" w:right="135" w:firstLine="432"/>
        <w:jc w:val="both"/>
      </w:pPr>
      <w:r>
        <w:rPr/>
        <w:t>By</w:t>
      </w:r>
      <w:r>
        <w:rPr>
          <w:spacing w:val="-3"/>
        </w:rPr>
        <w:t> </w:t>
      </w:r>
      <w:r>
        <w:rPr/>
        <w:t>now,</w:t>
      </w:r>
      <w:r>
        <w:rPr>
          <w:spacing w:val="-3"/>
        </w:rPr>
        <w:t> </w:t>
      </w:r>
      <w:r>
        <w:rPr/>
        <w:t>you</w:t>
      </w:r>
      <w:r>
        <w:rPr>
          <w:spacing w:val="-5"/>
        </w:rPr>
        <w:t> </w:t>
      </w:r>
      <w:r>
        <w:rPr/>
        <w:t>already</w:t>
      </w:r>
      <w:r>
        <w:rPr>
          <w:spacing w:val="-2"/>
        </w:rPr>
        <w:t> </w:t>
      </w:r>
      <w:r>
        <w:rPr/>
        <w:t>know</w:t>
      </w:r>
      <w:r>
        <w:rPr>
          <w:spacing w:val="-3"/>
        </w:rPr>
        <w:t> </w:t>
      </w:r>
      <w:r>
        <w:rPr/>
        <w:t>how</w:t>
      </w:r>
      <w:r>
        <w:rPr>
          <w:spacing w:val="-2"/>
        </w:rPr>
        <w:t> </w:t>
      </w:r>
      <w:r>
        <w:rPr/>
        <w:t>important</w:t>
      </w:r>
      <w:r>
        <w:rPr>
          <w:spacing w:val="-2"/>
        </w:rPr>
        <w:t> </w:t>
      </w:r>
      <w:r>
        <w:rPr/>
        <w:t>pivot</w:t>
      </w:r>
      <w:r>
        <w:rPr>
          <w:spacing w:val="-2"/>
        </w:rPr>
        <w:t> </w:t>
      </w:r>
      <w:r>
        <w:rPr/>
        <w:t>width</w:t>
      </w:r>
      <w:r>
        <w:rPr>
          <w:spacing w:val="-2"/>
        </w:rPr>
        <w:t> </w:t>
      </w:r>
      <w:r>
        <w:rPr/>
        <w:t>analysis</w:t>
      </w:r>
      <w:r>
        <w:rPr>
          <w:spacing w:val="-2"/>
        </w:rPr>
        <w:t> </w:t>
      </w:r>
      <w:r>
        <w:rPr/>
        <w:t>can</w:t>
      </w:r>
      <w:r>
        <w:rPr>
          <w:spacing w:val="-2"/>
        </w:rPr>
        <w:t> </w:t>
      </w:r>
      <w:r>
        <w:rPr/>
        <w:t>be</w:t>
      </w:r>
      <w:r>
        <w:rPr>
          <w:spacing w:val="-2"/>
        </w:rPr>
        <w:t> </w:t>
      </w:r>
      <w:r>
        <w:rPr/>
        <w:t>to anticipating potential market behavior. There is no doubt that pivot width analysis has been instrumental in my development as a trader and analyst. This analysis allows you to prepare for certain types of trading scenarios and utilize specific exit methodologies depending on the width of the pivots. As you recall, I judge the width of the value area when using this analysis with the Money Zone. For Floor Pivots, I use the width of the central pivot range. When using the Camarilla Equation for pivot width analysis, I use the width of the third layer of indicator, from L3 to H3.</w:t>
      </w:r>
    </w:p>
    <w:p>
      <w:pPr>
        <w:spacing w:after="0"/>
        <w:jc w:val="both"/>
        <w:sectPr>
          <w:footerReference w:type="default" r:id="rId246"/>
          <w:footerReference w:type="even" r:id="rId247"/>
          <w:pgSz w:w="8640" w:h="12960"/>
          <w:pgMar w:footer="1060" w:header="536" w:top="720" w:bottom="1260" w:left="580" w:right="580"/>
          <w:pgNumType w:start="203"/>
        </w:sectPr>
      </w:pPr>
    </w:p>
    <w:p>
      <w:pPr>
        <w:pStyle w:val="BodyText"/>
        <w:spacing w:before="5"/>
        <w:rPr>
          <w:sz w:val="18"/>
        </w:rPr>
      </w:pPr>
    </w:p>
    <w:p>
      <w:pPr>
        <w:pStyle w:val="BodyText"/>
        <w:spacing w:before="64"/>
        <w:ind w:left="140" w:right="496" w:firstLine="432"/>
        <w:jc w:val="both"/>
      </w:pPr>
      <w:r>
        <w:rPr/>
        <w:t>It’s such a simple, yet powerful concept. Pivot width plays an important role in your ability to anticipate market behavior. An abnormally wide pivot width usually leads to trading range activity, while an abnormally tight, or narrow, pivot width typically yields breakout and trending behavior. The key word here is “abnormally,” which is to say the pivots are unusually wide, or narrow. When the width of the pivots is unusually wide or unusually narrow, the chances for forecasting price behavior increases. If pivot width is of average size, then no real behavioral cues can be gleaned with any degree of accuracy.</w:t>
      </w:r>
      <w:r>
        <w:rPr>
          <w:spacing w:val="-2"/>
        </w:rPr>
        <w:t> </w:t>
      </w:r>
      <w:r>
        <w:rPr/>
        <w:t>Therefore,</w:t>
      </w:r>
      <w:r>
        <w:rPr>
          <w:spacing w:val="-2"/>
        </w:rPr>
        <w:t> </w:t>
      </w:r>
      <w:r>
        <w:rPr/>
        <w:t>you</w:t>
      </w:r>
      <w:r>
        <w:rPr>
          <w:spacing w:val="-4"/>
        </w:rPr>
        <w:t> </w:t>
      </w:r>
      <w:r>
        <w:rPr/>
        <w:t>must</w:t>
      </w:r>
      <w:r>
        <w:rPr>
          <w:spacing w:val="-2"/>
        </w:rPr>
        <w:t> </w:t>
      </w:r>
      <w:r>
        <w:rPr/>
        <w:t>be</w:t>
      </w:r>
      <w:r>
        <w:rPr>
          <w:spacing w:val="-2"/>
        </w:rPr>
        <w:t> </w:t>
      </w:r>
      <w:r>
        <w:rPr/>
        <w:t>disciplined</w:t>
      </w:r>
      <w:r>
        <w:rPr>
          <w:spacing w:val="-2"/>
        </w:rPr>
        <w:t> </w:t>
      </w:r>
      <w:r>
        <w:rPr/>
        <w:t>and</w:t>
      </w:r>
      <w:r>
        <w:rPr>
          <w:spacing w:val="-2"/>
        </w:rPr>
        <w:t> </w:t>
      </w:r>
      <w:r>
        <w:rPr/>
        <w:t>honest</w:t>
      </w:r>
      <w:r>
        <w:rPr>
          <w:spacing w:val="-2"/>
        </w:rPr>
        <w:t> </w:t>
      </w:r>
      <w:r>
        <w:rPr/>
        <w:t>in</w:t>
      </w:r>
      <w:r>
        <w:rPr>
          <w:spacing w:val="-2"/>
        </w:rPr>
        <w:t> </w:t>
      </w:r>
      <w:r>
        <w:rPr/>
        <w:t>your</w:t>
      </w:r>
      <w:r>
        <w:rPr>
          <w:spacing w:val="-2"/>
        </w:rPr>
        <w:t> </w:t>
      </w:r>
      <w:r>
        <w:rPr/>
        <w:t>approach</w:t>
      </w:r>
      <w:r>
        <w:rPr>
          <w:spacing w:val="-2"/>
        </w:rPr>
        <w:t> </w:t>
      </w:r>
      <w:r>
        <w:rPr/>
        <w:t>for deciphering important pivot width characteristics.</w:t>
      </w:r>
    </w:p>
    <w:p>
      <w:pPr>
        <w:pStyle w:val="BodyText"/>
        <w:ind w:left="140" w:right="495" w:firstLine="432"/>
        <w:jc w:val="both"/>
      </w:pPr>
      <w:r>
        <w:rPr/>
        <w:t>Let’s take a brief look at pivot width analysis in full effect in Figure 8.2, which is a five-minute chart of Crude Oil futures. Remember, an unusual pivot width allows you to get a better fix on potential price behavior for a particular session. On March 11, 2010, the third layer of the Camarilla pivots was extremely wide for this particular commodity, as the prior day had a wider range of movement than normal. Naturally, this wide-set pivot range allows us to anticipate a Trading Range or Sideways Day scenario, thereby allowing us to either sit on the sidelines or trade brief intraday bounces with tight stops and close targets. However, the quiet trading behavior on March 11 led to the creation of an unusually narrow pivot width for the following session, which allowed us to anticipate a potential trending session, which was indeed the case.</w:t>
      </w:r>
    </w:p>
    <w:p>
      <w:pPr>
        <w:pStyle w:val="BodyText"/>
        <w:ind w:left="140" w:right="495" w:firstLine="432"/>
        <w:jc w:val="both"/>
      </w:pPr>
      <w:r>
        <w:rPr/>
        <w:t>It is important not to overlook the opening price in relation to range and value conversation from Chapter 4. Remember, how the market opens the session with regards to the prior day’s range and value allows you to judge the market’s conviction. There is acceptance or rejection for every analytical forecast given. If the pivot width is abnormally wide for the following day, it is safe to anticipate a Sideways or Trading Range Day. However, acceptance of this view will take place if the market opens within the prior day’s range and within the third layer of the indicator for the current day, as was the case on March 11. If the market had opened the day outside the prior day’s range, or outside the third layer of the indicator, market conviction would have led to</w:t>
      </w:r>
      <w:r>
        <w:rPr>
          <w:spacing w:val="-1"/>
        </w:rPr>
        <w:t> </w:t>
      </w:r>
      <w:r>
        <w:rPr/>
        <w:t>a</w:t>
      </w:r>
      <w:r>
        <w:rPr>
          <w:spacing w:val="-1"/>
        </w:rPr>
        <w:t> </w:t>
      </w:r>
      <w:r>
        <w:rPr/>
        <w:t>different</w:t>
      </w:r>
      <w:r>
        <w:rPr>
          <w:spacing w:val="-1"/>
        </w:rPr>
        <w:t> </w:t>
      </w:r>
      <w:r>
        <w:rPr/>
        <w:t>outcome.</w:t>
      </w:r>
      <w:r>
        <w:rPr>
          <w:spacing w:val="-1"/>
        </w:rPr>
        <w:t> </w:t>
      </w:r>
      <w:r>
        <w:rPr/>
        <w:t>Likewise, acceptance</w:t>
      </w:r>
      <w:r>
        <w:rPr>
          <w:spacing w:val="-1"/>
        </w:rPr>
        <w:t> </w:t>
      </w:r>
      <w:r>
        <w:rPr/>
        <w:t>of</w:t>
      </w:r>
      <w:r>
        <w:rPr>
          <w:spacing w:val="-1"/>
        </w:rPr>
        <w:t> </w:t>
      </w:r>
      <w:r>
        <w:rPr/>
        <w:t>a</w:t>
      </w:r>
      <w:r>
        <w:rPr>
          <w:spacing w:val="-1"/>
        </w:rPr>
        <w:t> </w:t>
      </w:r>
      <w:r>
        <w:rPr/>
        <w:t>narrow</w:t>
      </w:r>
      <w:r>
        <w:rPr>
          <w:spacing w:val="-1"/>
        </w:rPr>
        <w:t> </w:t>
      </w:r>
      <w:r>
        <w:rPr/>
        <w:t>pivot</w:t>
      </w:r>
      <w:r>
        <w:rPr>
          <w:spacing w:val="-1"/>
        </w:rPr>
        <w:t> </w:t>
      </w:r>
      <w:r>
        <w:rPr/>
        <w:t>range</w:t>
      </w:r>
      <w:r>
        <w:rPr>
          <w:spacing w:val="-1"/>
        </w:rPr>
        <w:t> </w:t>
      </w:r>
      <w:r>
        <w:rPr/>
        <w:t>forecast occurs if price opens the day beyond the prior day’s price range and, preferably, outside the third layer of the Camarilla indicator. This indicates the market is ready to seek new value, thus confirming the breakout or trending behavior that narrow pivots typically forecast, which occurred on March 12.</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225" name="image114.png"/>
            <wp:cNvGraphicFramePr>
              <a:graphicFrameLocks noChangeAspect="1"/>
            </wp:cNvGraphicFramePr>
            <a:graphic>
              <a:graphicData uri="http://schemas.openxmlformats.org/drawingml/2006/picture">
                <pic:pic>
                  <pic:nvPicPr>
                    <pic:cNvPr id="226" name="image114.png"/>
                    <pic:cNvPicPr/>
                  </pic:nvPicPr>
                  <pic:blipFill>
                    <a:blip r:embed="rId249"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8.2:</w:t>
      </w:r>
      <w:r>
        <w:rPr>
          <w:spacing w:val="2"/>
          <w:sz w:val="16"/>
        </w:rPr>
        <w:t> </w:t>
      </w:r>
      <w:r>
        <w:rPr>
          <w:sz w:val="16"/>
        </w:rPr>
        <w:t>Extremely</w:t>
      </w:r>
      <w:r>
        <w:rPr>
          <w:spacing w:val="3"/>
          <w:sz w:val="16"/>
        </w:rPr>
        <w:t> </w:t>
      </w:r>
      <w:r>
        <w:rPr>
          <w:sz w:val="16"/>
        </w:rPr>
        <w:t>wide</w:t>
      </w:r>
      <w:r>
        <w:rPr>
          <w:spacing w:val="1"/>
          <w:sz w:val="16"/>
        </w:rPr>
        <w:t> </w:t>
      </w:r>
      <w:r>
        <w:rPr>
          <w:sz w:val="16"/>
        </w:rPr>
        <w:t>or</w:t>
      </w:r>
      <w:r>
        <w:rPr>
          <w:spacing w:val="2"/>
          <w:sz w:val="16"/>
        </w:rPr>
        <w:t> </w:t>
      </w:r>
      <w:r>
        <w:rPr>
          <w:sz w:val="16"/>
        </w:rPr>
        <w:t>narrow</w:t>
      </w:r>
      <w:r>
        <w:rPr>
          <w:spacing w:val="1"/>
          <w:sz w:val="16"/>
        </w:rPr>
        <w:t> </w:t>
      </w:r>
      <w:r>
        <w:rPr>
          <w:sz w:val="16"/>
        </w:rPr>
        <w:t>pivots</w:t>
      </w:r>
      <w:r>
        <w:rPr>
          <w:spacing w:val="1"/>
          <w:sz w:val="16"/>
        </w:rPr>
        <w:t> </w:t>
      </w:r>
      <w:r>
        <w:rPr>
          <w:sz w:val="16"/>
        </w:rPr>
        <w:t>can</w:t>
      </w:r>
      <w:r>
        <w:rPr>
          <w:spacing w:val="2"/>
          <w:sz w:val="16"/>
        </w:rPr>
        <w:t> </w:t>
      </w:r>
      <w:r>
        <w:rPr>
          <w:sz w:val="16"/>
        </w:rPr>
        <w:t>help</w:t>
      </w:r>
      <w:r>
        <w:rPr>
          <w:spacing w:val="1"/>
          <w:sz w:val="16"/>
        </w:rPr>
        <w:t> </w:t>
      </w:r>
      <w:r>
        <w:rPr>
          <w:sz w:val="16"/>
        </w:rPr>
        <w:t>decipher</w:t>
      </w:r>
      <w:r>
        <w:rPr>
          <w:spacing w:val="3"/>
          <w:sz w:val="16"/>
        </w:rPr>
        <w:t> </w:t>
      </w:r>
      <w:r>
        <w:rPr>
          <w:sz w:val="16"/>
        </w:rPr>
        <w:t>market</w:t>
      </w:r>
      <w:r>
        <w:rPr>
          <w:spacing w:val="2"/>
          <w:sz w:val="16"/>
        </w:rPr>
        <w:t> </w:t>
      </w:r>
      <w:r>
        <w:rPr>
          <w:spacing w:val="-2"/>
          <w:sz w:val="16"/>
        </w:rPr>
        <w:t>behavior</w:t>
      </w:r>
    </w:p>
    <w:p>
      <w:pPr>
        <w:pStyle w:val="BodyText"/>
        <w:spacing w:before="2"/>
      </w:pPr>
    </w:p>
    <w:p>
      <w:pPr>
        <w:pStyle w:val="BodyText"/>
        <w:ind w:left="500" w:right="135" w:firstLine="432"/>
        <w:jc w:val="both"/>
      </w:pPr>
      <w:r>
        <w:rPr/>
        <w:t>Let’s</w:t>
      </w:r>
      <w:r>
        <w:rPr>
          <w:spacing w:val="-2"/>
        </w:rPr>
        <w:t> </w:t>
      </w:r>
      <w:r>
        <w:rPr/>
        <w:t>take</w:t>
      </w:r>
      <w:r>
        <w:rPr>
          <w:spacing w:val="-2"/>
        </w:rPr>
        <w:t> </w:t>
      </w:r>
      <w:r>
        <w:rPr/>
        <w:t>another</w:t>
      </w:r>
      <w:r>
        <w:rPr>
          <w:spacing w:val="-2"/>
        </w:rPr>
        <w:t> </w:t>
      </w:r>
      <w:r>
        <w:rPr/>
        <w:t>look</w:t>
      </w:r>
      <w:r>
        <w:rPr>
          <w:spacing w:val="-2"/>
        </w:rPr>
        <w:t> </w:t>
      </w:r>
      <w:r>
        <w:rPr/>
        <w:t>at</w:t>
      </w:r>
      <w:r>
        <w:rPr>
          <w:spacing w:val="-2"/>
        </w:rPr>
        <w:t> </w:t>
      </w:r>
      <w:r>
        <w:rPr/>
        <w:t>how</w:t>
      </w:r>
      <w:r>
        <w:rPr>
          <w:spacing w:val="-2"/>
        </w:rPr>
        <w:t> </w:t>
      </w:r>
      <w:r>
        <w:rPr/>
        <w:t>the</w:t>
      </w:r>
      <w:r>
        <w:rPr>
          <w:spacing w:val="-2"/>
        </w:rPr>
        <w:t> </w:t>
      </w:r>
      <w:r>
        <w:rPr/>
        <w:t>unusual</w:t>
      </w:r>
      <w:r>
        <w:rPr>
          <w:spacing w:val="-2"/>
        </w:rPr>
        <w:t> </w:t>
      </w:r>
      <w:r>
        <w:rPr/>
        <w:t>width</w:t>
      </w:r>
      <w:r>
        <w:rPr>
          <w:spacing w:val="-2"/>
        </w:rPr>
        <w:t> </w:t>
      </w:r>
      <w:r>
        <w:rPr/>
        <w:t>of</w:t>
      </w:r>
      <w:r>
        <w:rPr>
          <w:spacing w:val="-2"/>
        </w:rPr>
        <w:t> </w:t>
      </w:r>
      <w:r>
        <w:rPr/>
        <w:t>the</w:t>
      </w:r>
      <w:r>
        <w:rPr>
          <w:spacing w:val="-2"/>
        </w:rPr>
        <w:t> </w:t>
      </w:r>
      <w:r>
        <w:rPr/>
        <w:t>third</w:t>
      </w:r>
      <w:r>
        <w:rPr>
          <w:spacing w:val="-2"/>
        </w:rPr>
        <w:t> </w:t>
      </w:r>
      <w:r>
        <w:rPr/>
        <w:t>layer</w:t>
      </w:r>
      <w:r>
        <w:rPr>
          <w:spacing w:val="-3"/>
        </w:rPr>
        <w:t> </w:t>
      </w:r>
      <w:r>
        <w:rPr/>
        <w:t>of</w:t>
      </w:r>
      <w:r>
        <w:rPr>
          <w:spacing w:val="-2"/>
        </w:rPr>
        <w:t> </w:t>
      </w:r>
      <w:r>
        <w:rPr/>
        <w:t>the pivots can influence price behavior. Figure 8.3 shows a three-day view of a fifteen-minute chart of Apple, Inc. (ticker: AAPL). Notice the first and third days have unusually wide pivots, which lead to quiet, sideways trading. Moreover, the quiet trading behavior of the first day led to the extremely narrow pivot width for the second day, which essentially led to an explosive breakout move. Of course, the breakout move of the second day led to the unusually wide pivots for the third day, which sparked sideways movement. Obviously, this isn’t rocket science. However, pivot width analysis allows you</w:t>
      </w:r>
      <w:r>
        <w:rPr>
          <w:spacing w:val="-2"/>
        </w:rPr>
        <w:t> </w:t>
      </w:r>
      <w:r>
        <w:rPr/>
        <w:t>to</w:t>
      </w:r>
      <w:r>
        <w:rPr>
          <w:spacing w:val="-1"/>
        </w:rPr>
        <w:t> </w:t>
      </w:r>
      <w:r>
        <w:rPr/>
        <w:t>forecast</w:t>
      </w:r>
      <w:r>
        <w:rPr>
          <w:spacing w:val="-1"/>
        </w:rPr>
        <w:t> </w:t>
      </w:r>
      <w:r>
        <w:rPr/>
        <w:t>potential</w:t>
      </w:r>
      <w:r>
        <w:rPr>
          <w:spacing w:val="-2"/>
        </w:rPr>
        <w:t> </w:t>
      </w:r>
      <w:r>
        <w:rPr/>
        <w:t>price</w:t>
      </w:r>
      <w:r>
        <w:rPr>
          <w:spacing w:val="-1"/>
        </w:rPr>
        <w:t> </w:t>
      </w:r>
      <w:r>
        <w:rPr/>
        <w:t>behavior</w:t>
      </w:r>
      <w:r>
        <w:rPr>
          <w:spacing w:val="-2"/>
        </w:rPr>
        <w:t> </w:t>
      </w:r>
      <w:r>
        <w:rPr/>
        <w:t>with</w:t>
      </w:r>
      <w:r>
        <w:rPr>
          <w:spacing w:val="-1"/>
        </w:rPr>
        <w:t> </w:t>
      </w:r>
      <w:r>
        <w:rPr/>
        <w:t>uncanny</w:t>
      </w:r>
      <w:r>
        <w:rPr>
          <w:spacing w:val="-2"/>
        </w:rPr>
        <w:t> </w:t>
      </w:r>
      <w:r>
        <w:rPr/>
        <w:t>accuracy,</w:t>
      </w:r>
      <w:r>
        <w:rPr>
          <w:spacing w:val="-1"/>
        </w:rPr>
        <w:t> </w:t>
      </w:r>
      <w:r>
        <w:rPr/>
        <w:t>which</w:t>
      </w:r>
      <w:r>
        <w:rPr>
          <w:spacing w:val="-1"/>
        </w:rPr>
        <w:t> </w:t>
      </w:r>
      <w:r>
        <w:rPr/>
        <w:t>is</w:t>
      </w:r>
      <w:r>
        <w:rPr>
          <w:spacing w:val="-1"/>
        </w:rPr>
        <w:t> </w:t>
      </w:r>
      <w:r>
        <w:rPr/>
        <w:t>why it remains a key staple in my trading arsenal.</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227" name="image115.png"/>
            <wp:cNvGraphicFramePr>
              <a:graphicFrameLocks noChangeAspect="1"/>
            </wp:cNvGraphicFramePr>
            <a:graphic>
              <a:graphicData uri="http://schemas.openxmlformats.org/drawingml/2006/picture">
                <pic:pic>
                  <pic:nvPicPr>
                    <pic:cNvPr id="228" name="image115.png"/>
                    <pic:cNvPicPr/>
                  </pic:nvPicPr>
                  <pic:blipFill>
                    <a:blip r:embed="rId250"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1"/>
          <w:sz w:val="16"/>
        </w:rPr>
        <w:t> </w:t>
      </w:r>
      <w:r>
        <w:rPr>
          <w:sz w:val="16"/>
        </w:rPr>
        <w:t>8.3:</w:t>
      </w:r>
      <w:r>
        <w:rPr>
          <w:spacing w:val="1"/>
          <w:sz w:val="16"/>
        </w:rPr>
        <w:t> </w:t>
      </w:r>
      <w:r>
        <w:rPr>
          <w:sz w:val="16"/>
        </w:rPr>
        <w:t>Pivot</w:t>
      </w:r>
      <w:r>
        <w:rPr>
          <w:spacing w:val="1"/>
          <w:sz w:val="16"/>
        </w:rPr>
        <w:t> </w:t>
      </w:r>
      <w:r>
        <w:rPr>
          <w:sz w:val="16"/>
        </w:rPr>
        <w:t>width</w:t>
      </w:r>
      <w:r>
        <w:rPr>
          <w:spacing w:val="1"/>
          <w:sz w:val="16"/>
        </w:rPr>
        <w:t> </w:t>
      </w:r>
      <w:r>
        <w:rPr>
          <w:sz w:val="16"/>
        </w:rPr>
        <w:t>accurately</w:t>
      </w:r>
      <w:r>
        <w:rPr>
          <w:spacing w:val="2"/>
          <w:sz w:val="16"/>
        </w:rPr>
        <w:t> </w:t>
      </w:r>
      <w:r>
        <w:rPr>
          <w:sz w:val="16"/>
        </w:rPr>
        <w:t>predicted</w:t>
      </w:r>
      <w:r>
        <w:rPr>
          <w:spacing w:val="1"/>
          <w:sz w:val="16"/>
        </w:rPr>
        <w:t> </w:t>
      </w:r>
      <w:r>
        <w:rPr>
          <w:sz w:val="16"/>
        </w:rPr>
        <w:t>trading</w:t>
      </w:r>
      <w:r>
        <w:rPr>
          <w:spacing w:val="2"/>
          <w:sz w:val="16"/>
        </w:rPr>
        <w:t> </w:t>
      </w:r>
      <w:r>
        <w:rPr>
          <w:sz w:val="16"/>
        </w:rPr>
        <w:t>behavior</w:t>
      </w:r>
      <w:r>
        <w:rPr>
          <w:spacing w:val="2"/>
          <w:sz w:val="16"/>
        </w:rPr>
        <w:t> </w:t>
      </w:r>
      <w:r>
        <w:rPr>
          <w:sz w:val="16"/>
        </w:rPr>
        <w:t>three</w:t>
      </w:r>
      <w:r>
        <w:rPr>
          <w:spacing w:val="1"/>
          <w:sz w:val="16"/>
        </w:rPr>
        <w:t> </w:t>
      </w:r>
      <w:r>
        <w:rPr>
          <w:sz w:val="16"/>
        </w:rPr>
        <w:t>days</w:t>
      </w:r>
      <w:r>
        <w:rPr>
          <w:spacing w:val="1"/>
          <w:sz w:val="16"/>
        </w:rPr>
        <w:t> </w:t>
      </w:r>
      <w:r>
        <w:rPr>
          <w:sz w:val="16"/>
        </w:rPr>
        <w:t>in</w:t>
      </w:r>
      <w:r>
        <w:rPr>
          <w:spacing w:val="1"/>
          <w:sz w:val="16"/>
        </w:rPr>
        <w:t> </w:t>
      </w:r>
      <w:r>
        <w:rPr>
          <w:sz w:val="16"/>
        </w:rPr>
        <w:t>a</w:t>
      </w:r>
      <w:r>
        <w:rPr>
          <w:spacing w:val="1"/>
          <w:sz w:val="16"/>
        </w:rPr>
        <w:t> </w:t>
      </w:r>
      <w:r>
        <w:rPr>
          <w:spacing w:val="-4"/>
          <w:sz w:val="16"/>
        </w:rPr>
        <w:t>row.</w:t>
      </w:r>
    </w:p>
    <w:p>
      <w:pPr>
        <w:pStyle w:val="BodyText"/>
        <w:spacing w:before="1"/>
      </w:pPr>
    </w:p>
    <w:p>
      <w:pPr>
        <w:pStyle w:val="Heading3"/>
      </w:pPr>
      <w:r>
        <w:rPr/>
        <w:pict>
          <v:shape style="position:absolute;margin-left:36.779999pt;margin-top:18.290300pt;width:341pt;height:.1pt;mso-position-horizontal-relative:page;mso-position-vertical-relative:paragraph;z-index:-15599104;mso-wrap-distance-left:0;mso-wrap-distance-right:0" id="docshape704" coordorigin="736,366" coordsize="6820,0" path="m736,366l7555,366e" filled="false" stroked="true" strokeweight=".75pt" strokecolor="#000000">
            <v:path arrowok="t"/>
            <v:stroke dashstyle="solid"/>
            <w10:wrap type="topAndBottom"/>
          </v:shape>
        </w:pict>
      </w:r>
      <w:bookmarkStart w:name="_TOC_250024" w:id="67"/>
      <w:r>
        <w:rPr>
          <w:smallCaps/>
          <w:spacing w:val="-6"/>
        </w:rPr>
        <w:t>Two-Day</w:t>
      </w:r>
      <w:r>
        <w:rPr>
          <w:smallCaps/>
          <w:spacing w:val="6"/>
        </w:rPr>
        <w:t> </w:t>
      </w:r>
      <w:r>
        <w:rPr>
          <w:smallCaps/>
          <w:spacing w:val="-6"/>
        </w:rPr>
        <w:t>Camarilla</w:t>
      </w:r>
      <w:r>
        <w:rPr>
          <w:smallCaps/>
          <w:spacing w:val="2"/>
        </w:rPr>
        <w:t> </w:t>
      </w:r>
      <w:bookmarkEnd w:id="67"/>
      <w:r>
        <w:rPr>
          <w:smallCaps/>
          <w:spacing w:val="-6"/>
        </w:rPr>
        <w:t>Relationships</w:t>
      </w:r>
    </w:p>
    <w:p>
      <w:pPr>
        <w:pStyle w:val="BodyText"/>
        <w:spacing w:before="202"/>
        <w:ind w:left="139" w:right="494" w:firstLine="432"/>
        <w:jc w:val="both"/>
      </w:pPr>
      <w:r>
        <w:rPr/>
        <w:t>Two-day relationships are extremely important when using pivots in your trading. These relationships give you directional bias and allow you to anticipate potential market behavior for the upcoming session. I have extensively covered the seven two-day relationships in Chapters 4 and 7</w:t>
      </w:r>
      <w:r>
        <w:rPr>
          <w:spacing w:val="40"/>
        </w:rPr>
        <w:t> </w:t>
      </w:r>
      <w:r>
        <w:rPr/>
        <w:t>using both the Money Zone and Central Pivot Range. These relationships are the same when using the Camarilla Equation, but the two-day analysis uses the third layer of the indicator, instead of the value area or the pivot range. Since I have already covered these topics in prior chapters, I will stick to real world application as it pertains to the Camarilla Equation. As a reminder, the seven types of two-day relationships are as follows: </w:t>
      </w:r>
      <w:r>
        <w:rPr>
          <w:i/>
        </w:rPr>
        <w:t>Higher Value</w:t>
      </w:r>
      <w:r>
        <w:rPr/>
        <w:t>, </w:t>
      </w:r>
      <w:r>
        <w:rPr>
          <w:i/>
        </w:rPr>
        <w:t>Overlapping Higher Value</w:t>
      </w:r>
      <w:r>
        <w:rPr/>
        <w:t>, </w:t>
      </w:r>
      <w:r>
        <w:rPr>
          <w:i/>
        </w:rPr>
        <w:t>Lower Value</w:t>
      </w:r>
      <w:r>
        <w:rPr/>
        <w:t>, </w:t>
      </w:r>
      <w:r>
        <w:rPr>
          <w:i/>
        </w:rPr>
        <w:t>Overlapping Lower Value</w:t>
      </w:r>
      <w:r>
        <w:rPr/>
        <w:t>, </w:t>
      </w:r>
      <w:r>
        <w:rPr>
          <w:i/>
        </w:rPr>
        <w:t>Unchanged</w:t>
      </w:r>
      <w:r>
        <w:rPr>
          <w:i/>
          <w:spacing w:val="-2"/>
        </w:rPr>
        <w:t> </w:t>
      </w:r>
      <w:r>
        <w:rPr>
          <w:i/>
        </w:rPr>
        <w:t>Value</w:t>
      </w:r>
      <w:r>
        <w:rPr/>
        <w:t>,</w:t>
      </w:r>
      <w:r>
        <w:rPr>
          <w:spacing w:val="-2"/>
        </w:rPr>
        <w:t> </w:t>
      </w:r>
      <w:r>
        <w:rPr>
          <w:i/>
        </w:rPr>
        <w:t>Outside</w:t>
      </w:r>
      <w:r>
        <w:rPr>
          <w:i/>
          <w:spacing w:val="-3"/>
        </w:rPr>
        <w:t> </w:t>
      </w:r>
      <w:r>
        <w:rPr>
          <w:i/>
        </w:rPr>
        <w:t>Value</w:t>
      </w:r>
      <w:r>
        <w:rPr/>
        <w:t>,</w:t>
      </w:r>
      <w:r>
        <w:rPr>
          <w:spacing w:val="-2"/>
        </w:rPr>
        <w:t> </w:t>
      </w:r>
      <w:r>
        <w:rPr/>
        <w:t>and</w:t>
      </w:r>
      <w:r>
        <w:rPr>
          <w:spacing w:val="-2"/>
        </w:rPr>
        <w:t> </w:t>
      </w:r>
      <w:r>
        <w:rPr>
          <w:i/>
        </w:rPr>
        <w:t>Inside</w:t>
      </w:r>
      <w:r>
        <w:rPr>
          <w:i/>
          <w:spacing w:val="-2"/>
        </w:rPr>
        <w:t> </w:t>
      </w:r>
      <w:r>
        <w:rPr>
          <w:i/>
        </w:rPr>
        <w:t>Value</w:t>
      </w:r>
      <w:r>
        <w:rPr>
          <w:i/>
          <w:spacing w:val="-2"/>
        </w:rPr>
        <w:t> </w:t>
      </w:r>
      <w:r>
        <w:rPr/>
        <w:t>(see</w:t>
      </w:r>
      <w:r>
        <w:rPr>
          <w:spacing w:val="-2"/>
        </w:rPr>
        <w:t> </w:t>
      </w:r>
      <w:r>
        <w:rPr/>
        <w:t>Table</w:t>
      </w:r>
      <w:r>
        <w:rPr>
          <w:spacing w:val="-2"/>
        </w:rPr>
        <w:t> </w:t>
      </w:r>
      <w:r>
        <w:rPr/>
        <w:t>8.1</w:t>
      </w:r>
      <w:r>
        <w:rPr>
          <w:spacing w:val="-3"/>
        </w:rPr>
        <w:t> </w:t>
      </w:r>
      <w:r>
        <w:rPr/>
        <w:t>and</w:t>
      </w:r>
      <w:r>
        <w:rPr>
          <w:spacing w:val="-2"/>
        </w:rPr>
        <w:t> </w:t>
      </w:r>
      <w:r>
        <w:rPr/>
        <w:t>Figure </w:t>
      </w:r>
      <w:r>
        <w:rPr>
          <w:spacing w:val="-2"/>
        </w:rPr>
        <w:t>8.4).</w:t>
      </w:r>
    </w:p>
    <w:p>
      <w:pPr>
        <w:spacing w:after="0"/>
        <w:jc w:val="both"/>
        <w:sectPr>
          <w:pgSz w:w="8640" w:h="12960"/>
          <w:pgMar w:header="579" w:footer="1060" w:top="760" w:bottom="1260" w:left="580" w:right="580"/>
        </w:sectPr>
      </w:pPr>
    </w:p>
    <w:p>
      <w:pPr>
        <w:pStyle w:val="BodyText"/>
        <w:spacing w:after="1"/>
        <w:rPr>
          <w:sz w:val="28"/>
        </w:rPr>
      </w:pPr>
    </w:p>
    <w:p>
      <w:pPr>
        <w:pStyle w:val="BodyText"/>
        <w:ind w:left="866"/>
        <w:rPr>
          <w:sz w:val="20"/>
        </w:rPr>
      </w:pPr>
      <w:r>
        <w:rPr>
          <w:sz w:val="20"/>
        </w:rPr>
        <w:pict>
          <v:group style="width:305.4pt;height:18pt;mso-position-horizontal-relative:char;mso-position-vertical-relative:line" id="docshapegroup705" coordorigin="0,0" coordsize="6108,360">
            <v:rect style="position:absolute;left:20;top:20;width:6068;height:340" id="docshape706" filled="true" fillcolor="#000000" stroked="false">
              <v:fill type="solid"/>
            </v:rect>
            <v:shape style="position:absolute;left:0;top:0;width:6089;height:21" id="docshape707" coordorigin="0,0" coordsize="6089,21" path="m6089,0l19,0,0,0,0,19,0,20,19,20,19,19,6089,19,6089,0xe" filled="true" fillcolor="#3f3f3f" stroked="false">
              <v:path arrowok="t"/>
              <v:fill type="solid"/>
            </v:shape>
            <v:rect style="position:absolute;left:19;top:19;width:6070;height:2" id="docshape708" filled="true" fillcolor="#000000" stroked="false">
              <v:fill type="solid"/>
            </v:rect>
            <v:shape style="position:absolute;left:0;top:0;width:6108;height:360" id="docshape709" coordorigin="0,0" coordsize="6108,360" path="m19,20l0,20,0,360,19,360,19,20xm6108,0l6089,0,6089,19,6089,20,6089,360,6108,360,6108,20,6108,19,6108,0xe" filled="true" fillcolor="#3f3f3f" stroked="false">
              <v:path arrowok="t"/>
              <v:fill type="solid"/>
            </v:shape>
            <v:shape style="position:absolute;left:19;top:19;width:6070;height:341" type="#_x0000_t202" id="docshape710" filled="false" stroked="false">
              <v:textbox inset="0,0,0,0">
                <w:txbxContent>
                  <w:p>
                    <w:pPr>
                      <w:spacing w:before="25"/>
                      <w:ind w:left="1301" w:right="0" w:firstLine="0"/>
                      <w:jc w:val="left"/>
                      <w:rPr>
                        <w:rFonts w:ascii="Verdana"/>
                        <w:sz w:val="24"/>
                      </w:rPr>
                    </w:pPr>
                    <w:r>
                      <w:rPr>
                        <w:rFonts w:ascii="Verdana"/>
                        <w:color w:val="FFFFFF"/>
                        <w:sz w:val="24"/>
                      </w:rPr>
                      <w:t>Two-Day</w:t>
                    </w:r>
                    <w:r>
                      <w:rPr>
                        <w:rFonts w:ascii="Verdana"/>
                        <w:color w:val="FFFFFF"/>
                        <w:spacing w:val="-5"/>
                        <w:sz w:val="24"/>
                      </w:rPr>
                      <w:t> </w:t>
                    </w:r>
                    <w:r>
                      <w:rPr>
                        <w:rFonts w:ascii="Verdana"/>
                        <w:color w:val="FFFFFF"/>
                        <w:sz w:val="24"/>
                      </w:rPr>
                      <w:t>Pivot</w:t>
                    </w:r>
                    <w:r>
                      <w:rPr>
                        <w:rFonts w:ascii="Verdana"/>
                        <w:color w:val="FFFFFF"/>
                        <w:spacing w:val="-4"/>
                        <w:sz w:val="24"/>
                      </w:rPr>
                      <w:t> </w:t>
                    </w:r>
                    <w:r>
                      <w:rPr>
                        <w:rFonts w:ascii="Verdana"/>
                        <w:color w:val="FFFFFF"/>
                        <w:spacing w:val="-2"/>
                        <w:sz w:val="24"/>
                      </w:rPr>
                      <w:t>Relationships</w:t>
                    </w:r>
                  </w:p>
                </w:txbxContent>
              </v:textbox>
              <w10:wrap type="none"/>
            </v:shape>
          </v:group>
        </w:pict>
      </w:r>
      <w:r>
        <w:rPr>
          <w:sz w:val="20"/>
        </w:rPr>
      </w:r>
    </w:p>
    <w:p>
      <w:pPr>
        <w:pStyle w:val="BodyText"/>
        <w:tabs>
          <w:tab w:pos="3934" w:val="left" w:leader="none"/>
        </w:tabs>
        <w:spacing w:line="321" w:lineRule="auto" w:before="3"/>
        <w:ind w:left="983" w:right="1693"/>
        <w:rPr>
          <w:rFonts w:ascii="Tahoma"/>
        </w:rPr>
      </w:pPr>
      <w:r>
        <w:rPr/>
        <w:pict>
          <v:rect style="position:absolute;margin-left:72.779999pt;margin-top:14.935305pt;width:304.44pt;height:.48004pt;mso-position-horizontal-relative:page;mso-position-vertical-relative:paragraph;z-index:15867392" id="docshape711" filled="true" fillcolor="#000000" stroked="false">
            <v:fill type="solid"/>
            <w10:wrap type="none"/>
          </v:rect>
        </w:pict>
      </w:r>
      <w:r>
        <w:rPr/>
        <w:pict>
          <v:rect style="position:absolute;margin-left:72.779999pt;margin-top:32.935303pt;width:304.44pt;height:.48004pt;mso-position-horizontal-relative:page;mso-position-vertical-relative:paragraph;z-index:15867904" id="docshape712" filled="true" fillcolor="#000000" stroked="false">
            <v:fill type="solid"/>
            <w10:wrap type="none"/>
          </v:rect>
        </w:pict>
      </w:r>
      <w:r>
        <w:rPr/>
        <w:pict>
          <v:rect style="position:absolute;margin-left:72.779999pt;margin-top:50.935364pt;width:304.44pt;height:.47998pt;mso-position-horizontal-relative:page;mso-position-vertical-relative:paragraph;z-index:15868416" id="docshape713" filled="true" fillcolor="#000000" stroked="false">
            <v:fill type="solid"/>
            <w10:wrap type="none"/>
          </v:rect>
        </w:pict>
      </w:r>
      <w:r>
        <w:rPr/>
        <w:pict>
          <v:rect style="position:absolute;margin-left:72.779999pt;margin-top:68.935333pt;width:304.44pt;height:.48001pt;mso-position-horizontal-relative:page;mso-position-vertical-relative:paragraph;z-index:15868928" id="docshape714" filled="true" fillcolor="#000000" stroked="false">
            <v:fill type="solid"/>
            <w10:wrap type="none"/>
          </v:rect>
        </w:pict>
      </w:r>
      <w:r>
        <w:rPr/>
        <w:pict>
          <v:rect style="position:absolute;margin-left:72.779999pt;margin-top:86.935333pt;width:304.44pt;height:.48001pt;mso-position-horizontal-relative:page;mso-position-vertical-relative:paragraph;z-index:15869440" id="docshape715" filled="true" fillcolor="#000000" stroked="false">
            <v:fill type="solid"/>
            <w10:wrap type="none"/>
          </v:rect>
        </w:pict>
      </w:r>
      <w:r>
        <w:rPr>
          <w:rFonts w:ascii="Tahoma"/>
        </w:rPr>
        <w:t>Higher Value</w:t>
        <w:tab/>
      </w:r>
      <w:r>
        <w:rPr>
          <w:rFonts w:ascii="Tahoma"/>
          <w:spacing w:val="-69"/>
        </w:rPr>
        <w:t> </w:t>
      </w:r>
      <w:r>
        <w:rPr>
          <w:rFonts w:ascii="Tahoma"/>
          <w:spacing w:val="-2"/>
        </w:rPr>
        <w:t>Bullish</w:t>
      </w:r>
      <w:r>
        <w:rPr>
          <w:rFonts w:ascii="Tahoma"/>
          <w:spacing w:val="80"/>
        </w:rPr>
        <w:t> </w:t>
      </w:r>
      <w:r>
        <w:rPr>
          <w:rFonts w:ascii="Tahoma"/>
        </w:rPr>
        <w:t>Overlapping Higher Value</w:t>
        <w:tab/>
      </w:r>
      <w:r>
        <w:rPr>
          <w:rFonts w:ascii="Tahoma"/>
          <w:spacing w:val="-68"/>
        </w:rPr>
        <w:t> </w:t>
      </w:r>
      <w:r>
        <w:rPr>
          <w:rFonts w:ascii="Tahoma"/>
        </w:rPr>
        <w:t>Moderately Bullish Lower Value</w:t>
        <w:tab/>
      </w:r>
      <w:r>
        <w:rPr>
          <w:rFonts w:ascii="Tahoma"/>
          <w:spacing w:val="-69"/>
        </w:rPr>
        <w:t> </w:t>
      </w:r>
      <w:r>
        <w:rPr>
          <w:rFonts w:ascii="Tahoma"/>
          <w:spacing w:val="-2"/>
        </w:rPr>
        <w:t>Bearish </w:t>
      </w:r>
      <w:r>
        <w:rPr>
          <w:rFonts w:ascii="Tahoma"/>
        </w:rPr>
        <w:t>Overlapping Lower Value</w:t>
        <w:tab/>
        <w:t>Moderately</w:t>
      </w:r>
      <w:r>
        <w:rPr>
          <w:rFonts w:ascii="Tahoma"/>
          <w:spacing w:val="-18"/>
        </w:rPr>
        <w:t> </w:t>
      </w:r>
      <w:r>
        <w:rPr>
          <w:rFonts w:ascii="Tahoma"/>
        </w:rPr>
        <w:t>Bearish Unchanged</w:t>
      </w:r>
      <w:r>
        <w:rPr>
          <w:rFonts w:ascii="Tahoma"/>
          <w:spacing w:val="-10"/>
        </w:rPr>
        <w:t> </w:t>
      </w:r>
      <w:r>
        <w:rPr>
          <w:rFonts w:ascii="Tahoma"/>
          <w:spacing w:val="-2"/>
        </w:rPr>
        <w:t>Value</w:t>
      </w:r>
      <w:r>
        <w:rPr>
          <w:rFonts w:ascii="Tahoma"/>
        </w:rPr>
        <w:tab/>
      </w:r>
      <w:r>
        <w:rPr>
          <w:rFonts w:ascii="Tahoma"/>
          <w:spacing w:val="-68"/>
        </w:rPr>
        <w:t> </w:t>
      </w:r>
      <w:r>
        <w:rPr>
          <w:rFonts w:ascii="Tahoma"/>
          <w:spacing w:val="-2"/>
        </w:rPr>
        <w:t>Sideways/Breakout</w:t>
      </w:r>
    </w:p>
    <w:p>
      <w:pPr>
        <w:pStyle w:val="BodyText"/>
        <w:tabs>
          <w:tab w:pos="3935" w:val="left" w:leader="none"/>
        </w:tabs>
        <w:spacing w:before="9"/>
        <w:ind w:left="983"/>
        <w:rPr>
          <w:rFonts w:ascii="Tahoma"/>
        </w:rPr>
      </w:pPr>
      <w:r>
        <w:rPr/>
        <w:pict>
          <v:rect style="position:absolute;margin-left:72.779999pt;margin-top:15.835371pt;width:304.44pt;height:.48001pt;mso-position-horizontal-relative:page;mso-position-vertical-relative:paragraph;z-index:-15598080;mso-wrap-distance-left:0;mso-wrap-distance-right:0" id="docshape716" filled="true" fillcolor="#000000" stroked="false">
            <v:fill type="solid"/>
            <w10:wrap type="topAndBottom"/>
          </v:rect>
        </w:pict>
      </w:r>
      <w:r>
        <w:rPr>
          <w:rFonts w:ascii="Tahoma"/>
        </w:rPr>
        <w:t>Outside</w:t>
      </w:r>
      <w:r>
        <w:rPr>
          <w:rFonts w:ascii="Tahoma"/>
          <w:spacing w:val="-13"/>
        </w:rPr>
        <w:t> </w:t>
      </w:r>
      <w:r>
        <w:rPr>
          <w:rFonts w:ascii="Tahoma"/>
          <w:spacing w:val="-2"/>
        </w:rPr>
        <w:t>Value</w:t>
      </w:r>
      <w:r>
        <w:rPr>
          <w:rFonts w:ascii="Tahoma"/>
        </w:rPr>
        <w:tab/>
      </w:r>
      <w:r>
        <w:rPr>
          <w:rFonts w:ascii="Tahoma"/>
          <w:spacing w:val="-2"/>
        </w:rPr>
        <w:t>Sideways</w:t>
      </w:r>
    </w:p>
    <w:p>
      <w:pPr>
        <w:pStyle w:val="BodyText"/>
        <w:tabs>
          <w:tab w:pos="3936" w:val="left" w:leader="none"/>
        </w:tabs>
        <w:spacing w:before="42" w:after="43"/>
        <w:ind w:left="983"/>
        <w:rPr>
          <w:rFonts w:ascii="Tahoma"/>
        </w:rPr>
      </w:pPr>
      <w:r>
        <w:rPr>
          <w:rFonts w:ascii="Tahoma"/>
        </w:rPr>
        <w:t>Inside</w:t>
      </w:r>
      <w:r>
        <w:rPr>
          <w:rFonts w:ascii="Tahoma"/>
          <w:spacing w:val="-5"/>
        </w:rPr>
        <w:t> </w:t>
      </w:r>
      <w:r>
        <w:rPr>
          <w:rFonts w:ascii="Tahoma"/>
          <w:spacing w:val="-2"/>
        </w:rPr>
        <w:t>Value</w:t>
      </w:r>
      <w:r>
        <w:rPr>
          <w:rFonts w:ascii="Tahoma"/>
        </w:rPr>
        <w:tab/>
      </w:r>
      <w:r>
        <w:rPr>
          <w:rFonts w:ascii="Tahoma"/>
          <w:spacing w:val="-2"/>
        </w:rPr>
        <w:t>Breakout</w:t>
      </w:r>
    </w:p>
    <w:p>
      <w:pPr>
        <w:pStyle w:val="BodyText"/>
        <w:spacing w:line="20" w:lineRule="exact"/>
        <w:ind w:left="861"/>
        <w:rPr>
          <w:rFonts w:ascii="Tahoma"/>
          <w:sz w:val="2"/>
        </w:rPr>
      </w:pPr>
      <w:r>
        <w:rPr>
          <w:rFonts w:ascii="Tahoma"/>
          <w:sz w:val="2"/>
        </w:rPr>
        <w:pict>
          <v:group style="width:305.2pt;height:.5pt;mso-position-horizontal-relative:char;mso-position-vertical-relative:line" id="docshapegroup717" coordorigin="0,0" coordsize="6104,10">
            <v:shape style="position:absolute;left:0;top:0;width:6104;height:10" id="docshape718" coordorigin="0,0" coordsize="6104,10" path="m6103,0l2966,0,2952,0,0,0,0,10,2952,10,2966,10,6103,10,6103,0xe" filled="true" fillcolor="#000000" stroked="false">
              <v:path arrowok="t"/>
              <v:fill type="solid"/>
            </v:shape>
          </v:group>
        </w:pict>
      </w:r>
      <w:r>
        <w:rPr>
          <w:rFonts w:ascii="Tahoma"/>
          <w:sz w:val="2"/>
        </w:rPr>
      </w:r>
    </w:p>
    <w:p>
      <w:pPr>
        <w:spacing w:before="0"/>
        <w:ind w:left="931" w:right="0" w:firstLine="0"/>
        <w:jc w:val="left"/>
        <w:rPr>
          <w:sz w:val="16"/>
        </w:rPr>
      </w:pPr>
      <w:r>
        <w:rPr>
          <w:sz w:val="16"/>
        </w:rPr>
        <w:t>TABLE</w:t>
      </w:r>
      <w:r>
        <w:rPr>
          <w:spacing w:val="9"/>
          <w:sz w:val="16"/>
        </w:rPr>
        <w:t> </w:t>
      </w:r>
      <w:r>
        <w:rPr>
          <w:sz w:val="16"/>
        </w:rPr>
        <w:t>8.1:</w:t>
      </w:r>
      <w:r>
        <w:rPr>
          <w:spacing w:val="9"/>
          <w:sz w:val="16"/>
        </w:rPr>
        <w:t> </w:t>
      </w:r>
      <w:r>
        <w:rPr>
          <w:sz w:val="16"/>
        </w:rPr>
        <w:t>Two-day</w:t>
      </w:r>
      <w:r>
        <w:rPr>
          <w:spacing w:val="9"/>
          <w:sz w:val="16"/>
        </w:rPr>
        <w:t> </w:t>
      </w:r>
      <w:r>
        <w:rPr>
          <w:spacing w:val="-2"/>
          <w:sz w:val="16"/>
        </w:rPr>
        <w:t>relationships</w:t>
      </w:r>
    </w:p>
    <w:p>
      <w:pPr>
        <w:pStyle w:val="BodyText"/>
        <w:spacing w:before="5" w:after="1"/>
        <w:rPr>
          <w:sz w:val="20"/>
        </w:rPr>
      </w:pPr>
    </w:p>
    <w:tbl>
      <w:tblPr>
        <w:tblW w:w="0" w:type="auto"/>
        <w:jc w:val="left"/>
        <w:tblInd w:w="9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33"/>
        <w:gridCol w:w="615"/>
        <w:gridCol w:w="929"/>
        <w:gridCol w:w="909"/>
        <w:gridCol w:w="571"/>
        <w:gridCol w:w="1487"/>
      </w:tblGrid>
      <w:tr>
        <w:trPr>
          <w:trHeight w:val="535" w:hRule="atLeast"/>
        </w:trPr>
        <w:tc>
          <w:tcPr>
            <w:tcW w:w="5944" w:type="dxa"/>
            <w:gridSpan w:val="6"/>
            <w:tcBorders>
              <w:top w:val="nil"/>
              <w:bottom w:val="nil"/>
            </w:tcBorders>
            <w:shd w:val="clear" w:color="auto" w:fill="000000"/>
          </w:tcPr>
          <w:p>
            <w:pPr>
              <w:pStyle w:val="TableParagraph"/>
              <w:spacing w:before="98"/>
              <w:ind w:left="972" w:right="957"/>
              <w:jc w:val="center"/>
              <w:rPr>
                <w:rFonts w:ascii="Verdana"/>
                <w:sz w:val="28"/>
              </w:rPr>
            </w:pPr>
            <w:r>
              <w:rPr>
                <w:rFonts w:ascii="Verdana"/>
                <w:color w:val="FFFFFF"/>
                <w:sz w:val="28"/>
              </w:rPr>
              <w:t>Two-Day</w:t>
            </w:r>
            <w:r>
              <w:rPr>
                <w:rFonts w:ascii="Verdana"/>
                <w:color w:val="FFFFFF"/>
                <w:spacing w:val="-6"/>
                <w:sz w:val="28"/>
              </w:rPr>
              <w:t> </w:t>
            </w:r>
            <w:r>
              <w:rPr>
                <w:rFonts w:ascii="Verdana"/>
                <w:color w:val="FFFFFF"/>
                <w:sz w:val="28"/>
              </w:rPr>
              <w:t>Pivot</w:t>
            </w:r>
            <w:r>
              <w:rPr>
                <w:rFonts w:ascii="Verdana"/>
                <w:color w:val="FFFFFF"/>
                <w:spacing w:val="-6"/>
                <w:sz w:val="28"/>
              </w:rPr>
              <w:t> </w:t>
            </w:r>
            <w:r>
              <w:rPr>
                <w:rFonts w:ascii="Verdana"/>
                <w:color w:val="FFFFFF"/>
                <w:spacing w:val="-2"/>
                <w:sz w:val="28"/>
              </w:rPr>
              <w:t>Relationships</w:t>
            </w:r>
          </w:p>
        </w:tc>
      </w:tr>
      <w:tr>
        <w:trPr>
          <w:trHeight w:val="1818" w:hRule="atLeast"/>
        </w:trPr>
        <w:tc>
          <w:tcPr>
            <w:tcW w:w="2048" w:type="dxa"/>
            <w:gridSpan w:val="2"/>
            <w:tcBorders>
              <w:top w:val="nil"/>
            </w:tcBorders>
          </w:tcPr>
          <w:p>
            <w:pPr>
              <w:pStyle w:val="TableParagraph"/>
              <w:spacing w:before="3"/>
              <w:rPr>
                <w:rFonts w:ascii="Times New Roman"/>
                <w:sz w:val="26"/>
              </w:rPr>
            </w:pPr>
          </w:p>
          <w:p>
            <w:pPr>
              <w:pStyle w:val="TableParagraph"/>
              <w:ind w:left="558"/>
              <w:rPr>
                <w:rFonts w:ascii="Times New Roman"/>
                <w:sz w:val="20"/>
              </w:rPr>
            </w:pPr>
            <w:r>
              <w:rPr>
                <w:rFonts w:ascii="Times New Roman"/>
                <w:sz w:val="20"/>
              </w:rPr>
              <w:pict>
                <v:group style="width:22.45pt;height:29.2pt;mso-position-horizontal-relative:char;mso-position-vertical-relative:line" id="docshapegroup719" coordorigin="0,0" coordsize="449,584">
                  <v:rect style="position:absolute;left:7;top:7;width:434;height:569" id="docshape720" filled="true" fillcolor="#000000" stroked="false">
                    <v:fill type="solid"/>
                  </v:rect>
                  <v:rect style="position:absolute;left:7;top:7;width:434;height:569" id="docshape721" filled="false" stroked="true" strokeweight=".75pt" strokecolor="#000000">
                    <v:stroke dashstyle="solid"/>
                  </v:rect>
                </v:group>
              </w:pict>
            </w:r>
            <w:r>
              <w:rPr>
                <w:rFonts w:ascii="Times New Roman"/>
                <w:sz w:val="20"/>
              </w:rPr>
            </w:r>
            <w:r>
              <w:rPr>
                <w:rFonts w:ascii="Times New Roman"/>
                <w:spacing w:val="129"/>
                <w:sz w:val="20"/>
              </w:rPr>
              <w:t> </w:t>
            </w:r>
            <w:r>
              <w:rPr>
                <w:rFonts w:ascii="Times New Roman"/>
                <w:spacing w:val="129"/>
                <w:sz w:val="20"/>
              </w:rPr>
              <w:pict>
                <v:group style="width:22.45pt;height:29.2pt;mso-position-horizontal-relative:char;mso-position-vertical-relative:line" id="docshapegroup722" coordorigin="0,0" coordsize="449,584">
                  <v:rect style="position:absolute;left:7;top:7;width:435;height:569" id="docshape723" filled="true" fillcolor="#000000" stroked="false">
                    <v:fill type="solid"/>
                  </v:rect>
                  <v:rect style="position:absolute;left:7;top:7;width:434;height:569" id="docshape724" filled="false" stroked="true" strokeweight=".75pt" strokecolor="#000000">
                    <v:stroke dashstyle="solid"/>
                  </v:rect>
                </v:group>
              </w:pict>
            </w:r>
            <w:r>
              <w:rPr>
                <w:rFonts w:ascii="Times New Roman"/>
                <w:spacing w:val="129"/>
                <w:sz w:val="20"/>
              </w:rPr>
            </w:r>
          </w:p>
          <w:p>
            <w:pPr>
              <w:pStyle w:val="TableParagraph"/>
              <w:spacing w:before="137"/>
              <w:ind w:left="813" w:hanging="302"/>
              <w:rPr>
                <w:sz w:val="24"/>
              </w:rPr>
            </w:pPr>
            <w:r>
              <w:rPr>
                <w:spacing w:val="-2"/>
                <w:sz w:val="24"/>
              </w:rPr>
              <w:t>Unchanged Value</w:t>
            </w:r>
          </w:p>
        </w:tc>
        <w:tc>
          <w:tcPr>
            <w:tcW w:w="1838" w:type="dxa"/>
            <w:gridSpan w:val="2"/>
            <w:tcBorders>
              <w:top w:val="nil"/>
            </w:tcBorders>
          </w:tcPr>
          <w:p>
            <w:pPr>
              <w:pStyle w:val="TableParagraph"/>
              <w:spacing w:before="4"/>
              <w:rPr>
                <w:rFonts w:ascii="Times New Roman"/>
                <w:sz w:val="14"/>
              </w:rPr>
            </w:pPr>
          </w:p>
          <w:p>
            <w:pPr>
              <w:pStyle w:val="TableParagraph"/>
              <w:ind w:left="377"/>
              <w:rPr>
                <w:rFonts w:ascii="Times New Roman"/>
                <w:sz w:val="20"/>
              </w:rPr>
            </w:pPr>
            <w:r>
              <w:rPr>
                <w:rFonts w:ascii="Times New Roman"/>
                <w:position w:val="13"/>
                <w:sz w:val="20"/>
              </w:rPr>
              <w:pict>
                <v:group style="width:22.5pt;height:29.2pt;mso-position-horizontal-relative:char;mso-position-vertical-relative:line" id="docshapegroup725" coordorigin="0,0" coordsize="450,584">
                  <v:rect style="position:absolute;left:7;top:7;width:435;height:569" id="docshape726" filled="true" fillcolor="#000000" stroked="false">
                    <v:fill type="solid"/>
                  </v:rect>
                  <v:rect style="position:absolute;left:7;top:7;width:435;height:569" id="docshape727" filled="false" stroked="true" strokeweight=".75pt" strokecolor="#000000">
                    <v:stroke dashstyle="solid"/>
                  </v:rect>
                </v:group>
              </w:pict>
            </w:r>
            <w:r>
              <w:rPr>
                <w:rFonts w:ascii="Times New Roman"/>
                <w:position w:val="13"/>
                <w:sz w:val="20"/>
              </w:rPr>
            </w:r>
            <w:r>
              <w:rPr>
                <w:rFonts w:ascii="Times New Roman"/>
                <w:spacing w:val="114"/>
                <w:position w:val="13"/>
                <w:sz w:val="20"/>
              </w:rPr>
              <w:t> </w:t>
            </w:r>
            <w:r>
              <w:rPr>
                <w:rFonts w:ascii="Times New Roman"/>
                <w:spacing w:val="114"/>
                <w:sz w:val="20"/>
              </w:rPr>
              <w:pict>
                <v:group style="width:22.5pt;height:42.45pt;mso-position-horizontal-relative:char;mso-position-vertical-relative:line" id="docshapegroup728" coordorigin="0,0" coordsize="450,849">
                  <v:rect style="position:absolute;left:8;top:7;width:434;height:834" id="docshape729" filled="true" fillcolor="#000000" stroked="false">
                    <v:fill type="solid"/>
                  </v:rect>
                  <v:rect style="position:absolute;left:7;top:7;width:435;height:834" id="docshape730" filled="false" stroked="true" strokeweight=".75pt" strokecolor="#000000">
                    <v:stroke dashstyle="solid"/>
                  </v:rect>
                </v:group>
              </w:pict>
            </w:r>
            <w:r>
              <w:rPr>
                <w:rFonts w:ascii="Times New Roman"/>
                <w:spacing w:val="114"/>
                <w:sz w:val="20"/>
              </w:rPr>
            </w:r>
          </w:p>
          <w:p>
            <w:pPr>
              <w:pStyle w:val="TableParagraph"/>
              <w:spacing w:before="4"/>
              <w:ind w:left="626" w:right="497" w:hanging="111"/>
              <w:rPr>
                <w:sz w:val="24"/>
              </w:rPr>
            </w:pPr>
            <w:r>
              <w:rPr>
                <w:spacing w:val="-2"/>
                <w:sz w:val="24"/>
              </w:rPr>
              <w:t>Outside Value</w:t>
            </w:r>
          </w:p>
        </w:tc>
        <w:tc>
          <w:tcPr>
            <w:tcW w:w="2058" w:type="dxa"/>
            <w:gridSpan w:val="2"/>
            <w:tcBorders>
              <w:top w:val="nil"/>
            </w:tcBorders>
          </w:tcPr>
          <w:p>
            <w:pPr>
              <w:pStyle w:val="TableParagraph"/>
              <w:spacing w:before="3"/>
              <w:rPr>
                <w:rFonts w:ascii="Times New Roman"/>
                <w:sz w:val="26"/>
              </w:rPr>
            </w:pPr>
          </w:p>
          <w:p>
            <w:pPr>
              <w:pStyle w:val="TableParagraph"/>
              <w:ind w:left="399"/>
              <w:rPr>
                <w:rFonts w:ascii="Times New Roman"/>
                <w:sz w:val="20"/>
              </w:rPr>
            </w:pPr>
            <w:r>
              <w:rPr>
                <w:rFonts w:ascii="Times New Roman"/>
                <w:sz w:val="20"/>
              </w:rPr>
              <w:pict>
                <v:group style="width:22.5pt;height:29.2pt;mso-position-horizontal-relative:char;mso-position-vertical-relative:line" id="docshapegroup731" coordorigin="0,0" coordsize="450,584">
                  <v:rect style="position:absolute;left:7;top:7;width:435;height:569" id="docshape732" filled="true" fillcolor="#000000" stroked="false">
                    <v:fill type="solid"/>
                  </v:rect>
                  <v:rect style="position:absolute;left:7;top:7;width:435;height:569" id="docshape733" filled="false" stroked="true" strokeweight=".75pt" strokecolor="#000000">
                    <v:stroke dashstyle="solid"/>
                  </v:rect>
                </v:group>
              </w:pict>
            </w:r>
            <w:r>
              <w:rPr>
                <w:rFonts w:ascii="Times New Roman"/>
                <w:sz w:val="20"/>
              </w:rPr>
            </w:r>
            <w:r>
              <w:rPr>
                <w:rFonts w:ascii="Times New Roman"/>
                <w:spacing w:val="114"/>
                <w:sz w:val="20"/>
              </w:rPr>
              <w:t> </w:t>
            </w:r>
            <w:r>
              <w:rPr>
                <w:rFonts w:ascii="Times New Roman"/>
                <w:spacing w:val="114"/>
                <w:position w:val="6"/>
                <w:sz w:val="20"/>
              </w:rPr>
              <w:pict>
                <v:group style="width:22.5pt;height:21.9pt;mso-position-horizontal-relative:char;mso-position-vertical-relative:line" id="docshapegroup734" coordorigin="0,0" coordsize="450,438">
                  <v:rect style="position:absolute;left:8;top:7;width:434;height:423" id="docshape735" filled="true" fillcolor="#000000" stroked="false">
                    <v:fill type="solid"/>
                  </v:rect>
                  <v:rect style="position:absolute;left:7;top:7;width:435;height:423" id="docshape736" filled="false" stroked="true" strokeweight=".75pt" strokecolor="#000000">
                    <v:stroke dashstyle="solid"/>
                  </v:rect>
                </v:group>
              </w:pict>
            </w:r>
            <w:r>
              <w:rPr>
                <w:rFonts w:ascii="Times New Roman"/>
                <w:spacing w:val="114"/>
                <w:position w:val="6"/>
                <w:sz w:val="20"/>
              </w:rPr>
            </w:r>
          </w:p>
          <w:p>
            <w:pPr>
              <w:pStyle w:val="TableParagraph"/>
              <w:spacing w:before="133"/>
              <w:ind w:left="661" w:right="759" w:hanging="30"/>
              <w:rPr>
                <w:sz w:val="24"/>
              </w:rPr>
            </w:pPr>
            <w:r>
              <w:rPr>
                <w:spacing w:val="-2"/>
                <w:sz w:val="24"/>
              </w:rPr>
              <w:t>Inside Value</w:t>
            </w:r>
          </w:p>
        </w:tc>
      </w:tr>
      <w:tr>
        <w:trPr>
          <w:trHeight w:val="2335" w:hRule="atLeast"/>
        </w:trPr>
        <w:tc>
          <w:tcPr>
            <w:tcW w:w="1433" w:type="dxa"/>
          </w:tcPr>
          <w:p>
            <w:pPr>
              <w:pStyle w:val="TableParagraph"/>
              <w:spacing w:before="8"/>
              <w:rPr>
                <w:rFonts w:ascii="Times New Roman"/>
                <w:sz w:val="24"/>
              </w:rPr>
            </w:pPr>
          </w:p>
          <w:p>
            <w:pPr>
              <w:pStyle w:val="TableParagraph"/>
              <w:ind w:left="784"/>
              <w:rPr>
                <w:rFonts w:ascii="Times New Roman"/>
                <w:sz w:val="20"/>
              </w:rPr>
            </w:pPr>
            <w:r>
              <w:rPr>
                <w:rFonts w:ascii="Times New Roman"/>
                <w:sz w:val="20"/>
              </w:rPr>
              <w:pict>
                <v:group style="width:22.5pt;height:29.2pt;mso-position-horizontal-relative:char;mso-position-vertical-relative:line" id="docshapegroup737" coordorigin="0,0" coordsize="450,584">
                  <v:rect style="position:absolute;left:7;top:7;width:435;height:570" id="docshape738" filled="true" fillcolor="#000000" stroked="false">
                    <v:fill type="solid"/>
                  </v:rect>
                  <v:rect style="position:absolute;left:7;top:7;width:435;height:569" id="docshape739" filled="false" stroked="true" strokeweight=".75pt" strokecolor="#000000">
                    <v:stroke dashstyle="solid"/>
                  </v:rect>
                </v:group>
              </w:pict>
            </w:r>
            <w:r>
              <w:rPr>
                <w:rFonts w:ascii="Times New Roman"/>
                <w:sz w:val="20"/>
              </w:rPr>
            </w:r>
          </w:p>
          <w:p>
            <w:pPr>
              <w:pStyle w:val="TableParagraph"/>
              <w:spacing w:before="3"/>
              <w:rPr>
                <w:rFonts w:ascii="Times New Roman"/>
                <w:sz w:val="9"/>
              </w:rPr>
            </w:pPr>
          </w:p>
          <w:p>
            <w:pPr>
              <w:pStyle w:val="TableParagraph"/>
              <w:ind w:left="149"/>
              <w:rPr>
                <w:rFonts w:ascii="Times New Roman"/>
                <w:sz w:val="20"/>
              </w:rPr>
            </w:pPr>
            <w:r>
              <w:rPr>
                <w:rFonts w:ascii="Times New Roman"/>
                <w:sz w:val="20"/>
              </w:rPr>
              <w:pict>
                <v:group style="width:22.45pt;height:29.2pt;mso-position-horizontal-relative:char;mso-position-vertical-relative:line" id="docshapegroup740" coordorigin="0,0" coordsize="449,584">
                  <v:rect style="position:absolute;left:7;top:7;width:435;height:569" id="docshape741" filled="true" fillcolor="#000000" stroked="false">
                    <v:fill type="solid"/>
                  </v:rect>
                  <v:rect style="position:absolute;left:7;top:7;width:434;height:569" id="docshape742" filled="false" stroked="true" strokeweight=".75pt" strokecolor="#000000">
                    <v:stroke dashstyle="solid"/>
                  </v:rect>
                </v:group>
              </w:pict>
            </w:r>
            <w:r>
              <w:rPr>
                <w:rFonts w:ascii="Times New Roman"/>
                <w:sz w:val="20"/>
              </w:rPr>
            </w:r>
          </w:p>
          <w:p>
            <w:pPr>
              <w:pStyle w:val="TableParagraph"/>
              <w:spacing w:before="24"/>
              <w:ind w:left="393" w:right="377" w:hanging="57"/>
              <w:rPr>
                <w:sz w:val="24"/>
              </w:rPr>
            </w:pPr>
            <w:r>
              <w:rPr>
                <w:spacing w:val="-2"/>
                <w:sz w:val="24"/>
              </w:rPr>
              <w:t>Higher Value</w:t>
            </w:r>
          </w:p>
        </w:tc>
        <w:tc>
          <w:tcPr>
            <w:tcW w:w="1544" w:type="dxa"/>
            <w:gridSpan w:val="2"/>
          </w:tcPr>
          <w:p>
            <w:pPr>
              <w:pStyle w:val="TableParagraph"/>
              <w:rPr>
                <w:rFonts w:ascii="Times New Roman"/>
                <w:sz w:val="20"/>
              </w:rPr>
            </w:pPr>
          </w:p>
          <w:p>
            <w:pPr>
              <w:pStyle w:val="TableParagraph"/>
              <w:spacing w:before="3" w:after="1"/>
              <w:rPr>
                <w:rFonts w:ascii="Times New Roman"/>
                <w:sz w:val="21"/>
              </w:rPr>
            </w:pPr>
          </w:p>
          <w:p>
            <w:pPr>
              <w:pStyle w:val="TableParagraph"/>
              <w:ind w:left="225"/>
              <w:rPr>
                <w:rFonts w:ascii="Times New Roman"/>
                <w:sz w:val="20"/>
              </w:rPr>
            </w:pPr>
            <w:r>
              <w:rPr>
                <w:rFonts w:ascii="Times New Roman"/>
                <w:sz w:val="20"/>
              </w:rPr>
              <w:pict>
                <v:group style="width:22.5pt;height:29.2pt;mso-position-horizontal-relative:char;mso-position-vertical-relative:line" id="docshapegroup743" coordorigin="0,0" coordsize="450,584">
                  <v:rect style="position:absolute;left:7;top:7;width:435;height:569" id="docshape744" filled="true" fillcolor="#000000" stroked="false">
                    <v:fill type="solid"/>
                  </v:rect>
                  <v:rect style="position:absolute;left:7;top:7;width:435;height:569" id="docshape745" filled="false" stroked="true" strokeweight=".75pt" strokecolor="#000000">
                    <v:stroke dashstyle="solid"/>
                  </v:rect>
                </v:group>
              </w:pict>
            </w:r>
            <w:r>
              <w:rPr>
                <w:rFonts w:ascii="Times New Roman"/>
                <w:sz w:val="20"/>
              </w:rPr>
            </w:r>
            <w:r>
              <w:rPr>
                <w:rFonts w:ascii="Times New Roman"/>
                <w:spacing w:val="114"/>
                <w:sz w:val="20"/>
              </w:rPr>
              <w:t> </w:t>
            </w:r>
            <w:r>
              <w:rPr>
                <w:rFonts w:ascii="Times New Roman"/>
                <w:spacing w:val="114"/>
                <w:position w:val="30"/>
                <w:sz w:val="20"/>
              </w:rPr>
              <w:pict>
                <v:group style="width:22.5pt;height:29.25pt;mso-position-horizontal-relative:char;mso-position-vertical-relative:line" id="docshapegroup746" coordorigin="0,0" coordsize="450,585">
                  <v:rect style="position:absolute;left:7;top:8;width:435;height:569" id="docshape747" filled="true" fillcolor="#000000" stroked="false">
                    <v:fill type="solid"/>
                  </v:rect>
                  <v:rect style="position:absolute;left:7;top:7;width:435;height:570" id="docshape748" filled="false" stroked="true" strokeweight=".75pt" strokecolor="#000000">
                    <v:stroke dashstyle="solid"/>
                  </v:rect>
                </v:group>
              </w:pict>
            </w:r>
            <w:r>
              <w:rPr>
                <w:rFonts w:ascii="Times New Roman"/>
                <w:spacing w:val="114"/>
                <w:position w:val="30"/>
                <w:sz w:val="20"/>
              </w:rPr>
            </w:r>
          </w:p>
          <w:p>
            <w:pPr>
              <w:pStyle w:val="TableParagraph"/>
              <w:spacing w:before="2"/>
              <w:rPr>
                <w:rFonts w:ascii="Times New Roman"/>
                <w:sz w:val="20"/>
              </w:rPr>
            </w:pPr>
          </w:p>
          <w:p>
            <w:pPr>
              <w:pStyle w:val="TableParagraph"/>
              <w:ind w:left="89" w:right="74" w:firstLine="43"/>
              <w:rPr>
                <w:sz w:val="24"/>
              </w:rPr>
            </w:pPr>
            <w:r>
              <w:rPr>
                <w:spacing w:val="-2"/>
                <w:sz w:val="24"/>
              </w:rPr>
              <w:t>Overlapping </w:t>
            </w:r>
            <w:r>
              <w:rPr>
                <w:sz w:val="24"/>
              </w:rPr>
              <w:t>Higher </w:t>
            </w:r>
            <w:r>
              <w:rPr>
                <w:spacing w:val="-2"/>
                <w:sz w:val="24"/>
              </w:rPr>
              <w:t>Value</w:t>
            </w:r>
          </w:p>
        </w:tc>
        <w:tc>
          <w:tcPr>
            <w:tcW w:w="1480" w:type="dxa"/>
            <w:gridSpan w:val="2"/>
          </w:tcPr>
          <w:p>
            <w:pPr>
              <w:pStyle w:val="TableParagraph"/>
              <w:spacing w:before="4" w:after="1"/>
              <w:rPr>
                <w:rFonts w:ascii="Times New Roman"/>
                <w:sz w:val="24"/>
              </w:rPr>
            </w:pPr>
          </w:p>
          <w:p>
            <w:pPr>
              <w:pStyle w:val="TableParagraph"/>
              <w:ind w:left="203"/>
              <w:rPr>
                <w:rFonts w:ascii="Times New Roman"/>
                <w:sz w:val="20"/>
              </w:rPr>
            </w:pPr>
            <w:r>
              <w:rPr>
                <w:rFonts w:ascii="Times New Roman"/>
                <w:sz w:val="20"/>
              </w:rPr>
              <w:pict>
                <v:group style="width:22.45pt;height:29.2pt;mso-position-horizontal-relative:char;mso-position-vertical-relative:line" id="docshapegroup749" coordorigin="0,0" coordsize="449,584">
                  <v:rect style="position:absolute;left:7;top:7;width:434;height:569" id="docshape750" filled="true" fillcolor="#000000" stroked="false">
                    <v:fill type="solid"/>
                  </v:rect>
                  <v:rect style="position:absolute;left:7;top:7;width:434;height:569" id="docshape751" filled="false" stroked="true" strokeweight=".75pt" strokecolor="#000000">
                    <v:stroke dashstyle="solid"/>
                  </v:rect>
                </v:group>
              </w:pict>
            </w:r>
            <w:r>
              <w:rPr>
                <w:rFonts w:ascii="Times New Roman"/>
                <w:sz w:val="20"/>
              </w:rPr>
            </w:r>
          </w:p>
          <w:p>
            <w:pPr>
              <w:pStyle w:val="TableParagraph"/>
              <w:rPr>
                <w:rFonts w:ascii="Times New Roman"/>
                <w:sz w:val="10"/>
              </w:rPr>
            </w:pPr>
          </w:p>
          <w:p>
            <w:pPr>
              <w:pStyle w:val="TableParagraph"/>
              <w:ind w:left="838"/>
              <w:rPr>
                <w:rFonts w:ascii="Times New Roman"/>
                <w:sz w:val="20"/>
              </w:rPr>
            </w:pPr>
            <w:r>
              <w:rPr>
                <w:rFonts w:ascii="Times New Roman"/>
                <w:sz w:val="20"/>
              </w:rPr>
              <w:pict>
                <v:group style="width:22.45pt;height:29.2pt;mso-position-horizontal-relative:char;mso-position-vertical-relative:line" id="docshapegroup752" coordorigin="0,0" coordsize="449,584">
                  <v:rect style="position:absolute;left:7;top:7;width:435;height:569" id="docshape753" filled="true" fillcolor="#000000" stroked="false">
                    <v:fill type="solid"/>
                  </v:rect>
                  <v:rect style="position:absolute;left:7;top:7;width:434;height:569" id="docshape754" filled="false" stroked="true" strokeweight=".75pt" strokecolor="#000000">
                    <v:stroke dashstyle="solid"/>
                  </v:rect>
                </v:group>
              </w:pict>
            </w:r>
            <w:r>
              <w:rPr>
                <w:rFonts w:ascii="Times New Roman"/>
                <w:sz w:val="20"/>
              </w:rPr>
            </w:r>
          </w:p>
          <w:p>
            <w:pPr>
              <w:pStyle w:val="TableParagraph"/>
              <w:spacing w:before="17"/>
              <w:ind w:left="428" w:right="414" w:hanging="28"/>
              <w:rPr>
                <w:sz w:val="24"/>
              </w:rPr>
            </w:pPr>
            <w:r>
              <w:rPr>
                <w:spacing w:val="-2"/>
                <w:sz w:val="24"/>
              </w:rPr>
              <w:t>Lower Value</w:t>
            </w:r>
          </w:p>
        </w:tc>
        <w:tc>
          <w:tcPr>
            <w:tcW w:w="1487" w:type="dxa"/>
          </w:tcPr>
          <w:p>
            <w:pPr>
              <w:pStyle w:val="TableParagraph"/>
              <w:rPr>
                <w:rFonts w:ascii="Times New Roman"/>
                <w:sz w:val="20"/>
              </w:rPr>
            </w:pPr>
          </w:p>
          <w:p>
            <w:pPr>
              <w:pStyle w:val="TableParagraph"/>
              <w:spacing w:before="2"/>
              <w:rPr>
                <w:rFonts w:ascii="Times New Roman"/>
                <w:sz w:val="21"/>
              </w:rPr>
            </w:pPr>
          </w:p>
          <w:p>
            <w:pPr>
              <w:pStyle w:val="TableParagraph"/>
              <w:ind w:left="240"/>
              <w:rPr>
                <w:rFonts w:ascii="Times New Roman"/>
                <w:sz w:val="20"/>
              </w:rPr>
            </w:pPr>
            <w:r>
              <w:rPr>
                <w:rFonts w:ascii="Times New Roman"/>
                <w:position w:val="31"/>
                <w:sz w:val="20"/>
              </w:rPr>
              <w:pict>
                <v:group style="width:22.45pt;height:29.2pt;mso-position-horizontal-relative:char;mso-position-vertical-relative:line" id="docshapegroup755" coordorigin="0,0" coordsize="449,584">
                  <v:rect style="position:absolute;left:7;top:7;width:435;height:569" id="docshape756" filled="true" fillcolor="#000000" stroked="false">
                    <v:fill type="solid"/>
                  </v:rect>
                  <v:rect style="position:absolute;left:7;top:7;width:434;height:569" id="docshape757" filled="false" stroked="true" strokeweight=".75pt" strokecolor="#000000">
                    <v:stroke dashstyle="solid"/>
                  </v:rect>
                </v:group>
              </w:pict>
            </w:r>
            <w:r>
              <w:rPr>
                <w:rFonts w:ascii="Times New Roman"/>
                <w:position w:val="31"/>
                <w:sz w:val="20"/>
              </w:rPr>
            </w:r>
            <w:r>
              <w:rPr>
                <w:rFonts w:ascii="Times New Roman"/>
                <w:spacing w:val="129"/>
                <w:position w:val="31"/>
                <w:sz w:val="20"/>
              </w:rPr>
              <w:t> </w:t>
            </w:r>
            <w:r>
              <w:rPr>
                <w:rFonts w:ascii="Times New Roman"/>
                <w:spacing w:val="129"/>
                <w:sz w:val="20"/>
              </w:rPr>
              <w:pict>
                <v:group style="width:22.5pt;height:29.2pt;mso-position-horizontal-relative:char;mso-position-vertical-relative:line" id="docshapegroup758" coordorigin="0,0" coordsize="450,584">
                  <v:rect style="position:absolute;left:7;top:7;width:435;height:569" id="docshape759" filled="true" fillcolor="#000000" stroked="false">
                    <v:fill type="solid"/>
                  </v:rect>
                  <v:rect style="position:absolute;left:7;top:7;width:435;height:569" id="docshape760" filled="false" stroked="true" strokeweight=".75pt" strokecolor="#000000">
                    <v:stroke dashstyle="solid"/>
                  </v:rect>
                </v:group>
              </w:pict>
            </w:r>
            <w:r>
              <w:rPr>
                <w:rFonts w:ascii="Times New Roman"/>
                <w:spacing w:val="129"/>
                <w:sz w:val="20"/>
              </w:rPr>
            </w:r>
          </w:p>
          <w:p>
            <w:pPr>
              <w:pStyle w:val="TableParagraph"/>
              <w:spacing w:before="5"/>
              <w:rPr>
                <w:rFonts w:ascii="Times New Roman"/>
                <w:sz w:val="20"/>
              </w:rPr>
            </w:pPr>
          </w:p>
          <w:p>
            <w:pPr>
              <w:pStyle w:val="TableParagraph"/>
              <w:ind w:left="78" w:right="84" w:firstLine="15"/>
              <w:rPr>
                <w:sz w:val="24"/>
              </w:rPr>
            </w:pPr>
            <w:r>
              <w:rPr>
                <w:spacing w:val="-2"/>
                <w:sz w:val="24"/>
              </w:rPr>
              <w:t>Overlapping </w:t>
            </w:r>
            <w:r>
              <w:rPr>
                <w:sz w:val="24"/>
              </w:rPr>
              <w:t>Lower </w:t>
            </w:r>
            <w:r>
              <w:rPr>
                <w:spacing w:val="-2"/>
                <w:sz w:val="24"/>
              </w:rPr>
              <w:t>Value</w:t>
            </w:r>
          </w:p>
        </w:tc>
      </w:tr>
    </w:tbl>
    <w:p>
      <w:pPr>
        <w:spacing w:before="6"/>
        <w:ind w:left="931" w:right="0" w:firstLine="0"/>
        <w:jc w:val="left"/>
        <w:rPr>
          <w:sz w:val="16"/>
        </w:rPr>
      </w:pPr>
      <w:r>
        <w:rPr>
          <w:sz w:val="16"/>
        </w:rPr>
        <w:t>FIGURE</w:t>
      </w:r>
      <w:r>
        <w:rPr>
          <w:spacing w:val="3"/>
          <w:sz w:val="16"/>
        </w:rPr>
        <w:t> </w:t>
      </w:r>
      <w:r>
        <w:rPr>
          <w:sz w:val="16"/>
        </w:rPr>
        <w:t>8.4:</w:t>
      </w:r>
      <w:r>
        <w:rPr>
          <w:spacing w:val="4"/>
          <w:sz w:val="16"/>
        </w:rPr>
        <w:t> </w:t>
      </w:r>
      <w:r>
        <w:rPr>
          <w:sz w:val="16"/>
        </w:rPr>
        <w:t>Diagram</w:t>
      </w:r>
      <w:r>
        <w:rPr>
          <w:spacing w:val="5"/>
          <w:sz w:val="16"/>
        </w:rPr>
        <w:t> </w:t>
      </w:r>
      <w:r>
        <w:rPr>
          <w:sz w:val="16"/>
        </w:rPr>
        <w:t>of</w:t>
      </w:r>
      <w:r>
        <w:rPr>
          <w:spacing w:val="3"/>
          <w:sz w:val="16"/>
        </w:rPr>
        <w:t> </w:t>
      </w:r>
      <w:r>
        <w:rPr>
          <w:sz w:val="16"/>
        </w:rPr>
        <w:t>the</w:t>
      </w:r>
      <w:r>
        <w:rPr>
          <w:spacing w:val="3"/>
          <w:sz w:val="16"/>
        </w:rPr>
        <w:t> </w:t>
      </w:r>
      <w:r>
        <w:rPr>
          <w:sz w:val="16"/>
        </w:rPr>
        <w:t>seven</w:t>
      </w:r>
      <w:r>
        <w:rPr>
          <w:spacing w:val="4"/>
          <w:sz w:val="16"/>
        </w:rPr>
        <w:t> </w:t>
      </w:r>
      <w:r>
        <w:rPr>
          <w:sz w:val="16"/>
        </w:rPr>
        <w:t>two-day</w:t>
      </w:r>
      <w:r>
        <w:rPr>
          <w:spacing w:val="4"/>
          <w:sz w:val="16"/>
        </w:rPr>
        <w:t> </w:t>
      </w:r>
      <w:r>
        <w:rPr>
          <w:spacing w:val="-2"/>
          <w:sz w:val="16"/>
        </w:rPr>
        <w:t>relationships</w:t>
      </w:r>
    </w:p>
    <w:p>
      <w:pPr>
        <w:pStyle w:val="BodyText"/>
        <w:spacing w:before="1"/>
      </w:pPr>
    </w:p>
    <w:p>
      <w:pPr>
        <w:pStyle w:val="BodyText"/>
        <w:spacing w:before="1"/>
        <w:ind w:left="500" w:right="136" w:firstLine="432"/>
        <w:jc w:val="both"/>
      </w:pPr>
      <w:r>
        <w:rPr/>
        <w:t>When using two-day pivot analysis, a developing pivot indicator becomes a huge asset, as it allows you to see the next day’s pivots on your charts before a tick is even recorded, unlike a spreadsheet or pivot calculator. This allows you to properly prepare for the upcoming day and visualize the market’s anticipated behavior. Of course, the market will not always behave as expected, but preparing for a course of action allows you to know when</w:t>
      </w:r>
      <w:r>
        <w:rPr>
          <w:spacing w:val="40"/>
        </w:rPr>
        <w:t> </w:t>
      </w:r>
      <w:r>
        <w:rPr/>
        <w:t>the market is following the script, or tossing the script out the window.</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firstLine="432"/>
        <w:jc w:val="both"/>
      </w:pPr>
      <w:r>
        <w:rPr/>
        <w:t>Let’s take a look at Figure 8.5, which shows the initial example used to explain the DC3 indicator earlier in the chapter. In this five-minute chart of the</w:t>
      </w:r>
      <w:r>
        <w:rPr>
          <w:spacing w:val="-3"/>
        </w:rPr>
        <w:t> </w:t>
      </w:r>
      <w:r>
        <w:rPr/>
        <w:t>E-Mini</w:t>
      </w:r>
      <w:r>
        <w:rPr>
          <w:spacing w:val="-3"/>
        </w:rPr>
        <w:t> </w:t>
      </w:r>
      <w:r>
        <w:rPr/>
        <w:t>NASDAQ</w:t>
      </w:r>
      <w:r>
        <w:rPr>
          <w:spacing w:val="-3"/>
        </w:rPr>
        <w:t> </w:t>
      </w:r>
      <w:r>
        <w:rPr/>
        <w:t>100</w:t>
      </w:r>
      <w:r>
        <w:rPr>
          <w:spacing w:val="-4"/>
        </w:rPr>
        <w:t> </w:t>
      </w:r>
      <w:r>
        <w:rPr/>
        <w:t>futures</w:t>
      </w:r>
      <w:r>
        <w:rPr>
          <w:spacing w:val="-3"/>
        </w:rPr>
        <w:t> </w:t>
      </w:r>
      <w:r>
        <w:rPr/>
        <w:t>contract,</w:t>
      </w:r>
      <w:r>
        <w:rPr>
          <w:spacing w:val="-3"/>
        </w:rPr>
        <w:t> </w:t>
      </w:r>
      <w:r>
        <w:rPr/>
        <w:t>price</w:t>
      </w:r>
      <w:r>
        <w:rPr>
          <w:spacing w:val="-3"/>
        </w:rPr>
        <w:t> </w:t>
      </w:r>
      <w:r>
        <w:rPr/>
        <w:t>dropped</w:t>
      </w:r>
      <w:r>
        <w:rPr>
          <w:spacing w:val="-3"/>
        </w:rPr>
        <w:t> </w:t>
      </w:r>
      <w:r>
        <w:rPr/>
        <w:t>steadily</w:t>
      </w:r>
      <w:r>
        <w:rPr>
          <w:spacing w:val="-4"/>
        </w:rPr>
        <w:t> </w:t>
      </w:r>
      <w:r>
        <w:rPr/>
        <w:t>throughout the morning on January 28, 2010, and eventually settled within a range from 1,760 to 1,780 to end the day. As you can see, the day’s third layer of the static Camarilla indicator ranged from 1,800 to 1,819 on this day, but the ending values for the DC3 indicator showed that the third layer of the Cams would be vastly lower in the following session, thereby creating a two-day Lower Value relationship. This relationship has the most bearish connotation and should be used to sell any pull-back to the H3 pivot level in the</w:t>
      </w:r>
      <w:r>
        <w:rPr>
          <w:spacing w:val="40"/>
        </w:rPr>
        <w:t> </w:t>
      </w:r>
      <w:r>
        <w:rPr/>
        <w:t>upcoming day, especially if the relationship forms in the midst of a bearish trend.</w:t>
      </w:r>
      <w:r>
        <w:rPr>
          <w:spacing w:val="-2"/>
        </w:rPr>
        <w:t> </w:t>
      </w:r>
      <w:r>
        <w:rPr/>
        <w:t>Therefore,</w:t>
      </w:r>
      <w:r>
        <w:rPr>
          <w:spacing w:val="-2"/>
        </w:rPr>
        <w:t> </w:t>
      </w:r>
      <w:r>
        <w:rPr/>
        <w:t>any</w:t>
      </w:r>
      <w:r>
        <w:rPr>
          <w:spacing w:val="-2"/>
        </w:rPr>
        <w:t> </w:t>
      </w:r>
      <w:r>
        <w:rPr/>
        <w:t>pull-back</w:t>
      </w:r>
      <w:r>
        <w:rPr>
          <w:spacing w:val="-2"/>
        </w:rPr>
        <w:t> </w:t>
      </w:r>
      <w:r>
        <w:rPr/>
        <w:t>to</w:t>
      </w:r>
      <w:r>
        <w:rPr>
          <w:spacing w:val="-2"/>
        </w:rPr>
        <w:t> </w:t>
      </w:r>
      <w:r>
        <w:rPr/>
        <w:t>the</w:t>
      </w:r>
      <w:r>
        <w:rPr>
          <w:spacing w:val="-2"/>
        </w:rPr>
        <w:t> </w:t>
      </w:r>
      <w:r>
        <w:rPr/>
        <w:t>1,780</w:t>
      </w:r>
      <w:r>
        <w:rPr>
          <w:spacing w:val="-2"/>
        </w:rPr>
        <w:t> </w:t>
      </w:r>
      <w:r>
        <w:rPr/>
        <w:t>to</w:t>
      </w:r>
      <w:r>
        <w:rPr>
          <w:spacing w:val="-2"/>
        </w:rPr>
        <w:t> </w:t>
      </w:r>
      <w:r>
        <w:rPr/>
        <w:t>1,785</w:t>
      </w:r>
      <w:r>
        <w:rPr>
          <w:spacing w:val="-4"/>
        </w:rPr>
        <w:t> </w:t>
      </w:r>
      <w:r>
        <w:rPr/>
        <w:t>zone</w:t>
      </w:r>
      <w:r>
        <w:rPr>
          <w:spacing w:val="-2"/>
        </w:rPr>
        <w:t> </w:t>
      </w:r>
      <w:r>
        <w:rPr/>
        <w:t>should</w:t>
      </w:r>
      <w:r>
        <w:rPr>
          <w:spacing w:val="-3"/>
        </w:rPr>
        <w:t> </w:t>
      </w:r>
      <w:r>
        <w:rPr/>
        <w:t>be</w:t>
      </w:r>
      <w:r>
        <w:rPr>
          <w:spacing w:val="-2"/>
        </w:rPr>
        <w:t> </w:t>
      </w:r>
      <w:r>
        <w:rPr/>
        <w:t>seen</w:t>
      </w:r>
      <w:r>
        <w:rPr>
          <w:spacing w:val="-2"/>
        </w:rPr>
        <w:t> </w:t>
      </w:r>
      <w:r>
        <w:rPr/>
        <w:t>as a selling opportunity in the following day.</w:t>
      </w:r>
    </w:p>
    <w:p>
      <w:pPr>
        <w:pStyle w:val="BodyText"/>
        <w:spacing w:before="2"/>
        <w:rPr>
          <w:sz w:val="20"/>
        </w:rPr>
      </w:pPr>
      <w:r>
        <w:rPr/>
        <w:drawing>
          <wp:anchor distT="0" distB="0" distL="0" distR="0" allowOverlap="1" layoutInCell="1" locked="0" behindDoc="0" simplePos="0" relativeHeight="276">
            <wp:simplePos x="0" y="0"/>
            <wp:positionH relativeFrom="page">
              <wp:posOffset>457200</wp:posOffset>
            </wp:positionH>
            <wp:positionV relativeFrom="paragraph">
              <wp:posOffset>162981</wp:posOffset>
            </wp:positionV>
            <wp:extent cx="4343302" cy="3111722"/>
            <wp:effectExtent l="0" t="0" r="0" b="0"/>
            <wp:wrapTopAndBottom/>
            <wp:docPr id="229" name="image116.png"/>
            <wp:cNvGraphicFramePr>
              <a:graphicFrameLocks noChangeAspect="1"/>
            </wp:cNvGraphicFramePr>
            <a:graphic>
              <a:graphicData uri="http://schemas.openxmlformats.org/drawingml/2006/picture">
                <pic:pic>
                  <pic:nvPicPr>
                    <pic:cNvPr id="230" name="image116.png"/>
                    <pic:cNvPicPr/>
                  </pic:nvPicPr>
                  <pic:blipFill>
                    <a:blip r:embed="rId251" cstate="print"/>
                    <a:stretch>
                      <a:fillRect/>
                    </a:stretch>
                  </pic:blipFill>
                  <pic:spPr>
                    <a:xfrm>
                      <a:off x="0" y="0"/>
                      <a:ext cx="4343302" cy="3111722"/>
                    </a:xfrm>
                    <a:prstGeom prst="rect">
                      <a:avLst/>
                    </a:prstGeom>
                  </pic:spPr>
                </pic:pic>
              </a:graphicData>
            </a:graphic>
          </wp:anchor>
        </w:drawing>
      </w:r>
    </w:p>
    <w:p>
      <w:pPr>
        <w:spacing w:before="0"/>
        <w:ind w:left="140" w:right="0" w:firstLine="0"/>
        <w:jc w:val="left"/>
        <w:rPr>
          <w:sz w:val="16"/>
        </w:rPr>
      </w:pPr>
      <w:r>
        <w:rPr>
          <w:sz w:val="16"/>
        </w:rPr>
        <w:t>FIGURE 8.5:</w:t>
      </w:r>
      <w:r>
        <w:rPr>
          <w:spacing w:val="2"/>
          <w:sz w:val="16"/>
        </w:rPr>
        <w:t> </w:t>
      </w:r>
      <w:r>
        <w:rPr>
          <w:sz w:val="16"/>
        </w:rPr>
        <w:t>Identifying a</w:t>
      </w:r>
      <w:r>
        <w:rPr>
          <w:spacing w:val="1"/>
          <w:sz w:val="16"/>
        </w:rPr>
        <w:t> </w:t>
      </w:r>
      <w:r>
        <w:rPr>
          <w:sz w:val="16"/>
        </w:rPr>
        <w:t>Lower</w:t>
      </w:r>
      <w:r>
        <w:rPr>
          <w:spacing w:val="1"/>
          <w:sz w:val="16"/>
        </w:rPr>
        <w:t> </w:t>
      </w:r>
      <w:r>
        <w:rPr>
          <w:sz w:val="16"/>
        </w:rPr>
        <w:t>Value</w:t>
      </w:r>
      <w:r>
        <w:rPr>
          <w:spacing w:val="1"/>
          <w:sz w:val="16"/>
        </w:rPr>
        <w:t> </w:t>
      </w:r>
      <w:r>
        <w:rPr>
          <w:sz w:val="16"/>
        </w:rPr>
        <w:t>relationship</w:t>
      </w:r>
      <w:r>
        <w:rPr>
          <w:spacing w:val="-1"/>
          <w:sz w:val="16"/>
        </w:rPr>
        <w:t> </w:t>
      </w:r>
      <w:r>
        <w:rPr>
          <w:sz w:val="16"/>
        </w:rPr>
        <w:t>using</w:t>
      </w:r>
      <w:r>
        <w:rPr>
          <w:spacing w:val="1"/>
          <w:sz w:val="16"/>
        </w:rPr>
        <w:t> </w:t>
      </w:r>
      <w:r>
        <w:rPr>
          <w:sz w:val="16"/>
        </w:rPr>
        <w:t>the DC3 </w:t>
      </w:r>
      <w:r>
        <w:rPr>
          <w:spacing w:val="-2"/>
          <w:sz w:val="16"/>
        </w:rPr>
        <w:t>indicator</w:t>
      </w:r>
    </w:p>
    <w:p>
      <w:pPr>
        <w:pStyle w:val="BodyText"/>
        <w:spacing w:before="8"/>
        <w:rPr>
          <w:sz w:val="21"/>
        </w:rPr>
      </w:pPr>
    </w:p>
    <w:p>
      <w:pPr>
        <w:pStyle w:val="BodyText"/>
        <w:ind w:left="140" w:right="496" w:firstLine="432"/>
        <w:jc w:val="both"/>
      </w:pPr>
      <w:r>
        <w:rPr/>
        <w:t>The Lower Value relationship in the chart above gives us a course of action for the following session. If the market opens at or below the H3 pivot level, we will look to sell any pull-back up to this point, as this opening price would indicate acceptance of the current two-day relationship. Selling any pull-back will also carry with it an expected outcome of reaching a new low within</w:t>
      </w:r>
      <w:r>
        <w:rPr>
          <w:spacing w:val="72"/>
          <w:w w:val="150"/>
        </w:rPr>
        <w:t> </w:t>
      </w:r>
      <w:r>
        <w:rPr/>
        <w:t>the</w:t>
      </w:r>
      <w:r>
        <w:rPr>
          <w:spacing w:val="73"/>
          <w:w w:val="150"/>
        </w:rPr>
        <w:t> </w:t>
      </w:r>
      <w:r>
        <w:rPr/>
        <w:t>current</w:t>
      </w:r>
      <w:r>
        <w:rPr>
          <w:spacing w:val="73"/>
          <w:w w:val="150"/>
        </w:rPr>
        <w:t> </w:t>
      </w:r>
      <w:r>
        <w:rPr/>
        <w:t>bearish</w:t>
      </w:r>
      <w:r>
        <w:rPr>
          <w:spacing w:val="72"/>
          <w:w w:val="150"/>
        </w:rPr>
        <w:t> </w:t>
      </w:r>
      <w:r>
        <w:rPr/>
        <w:t>trend.</w:t>
      </w:r>
      <w:r>
        <w:rPr>
          <w:spacing w:val="73"/>
          <w:w w:val="150"/>
        </w:rPr>
        <w:t> </w:t>
      </w:r>
      <w:r>
        <w:rPr/>
        <w:t>However,</w:t>
      </w:r>
      <w:r>
        <w:rPr>
          <w:spacing w:val="73"/>
          <w:w w:val="150"/>
        </w:rPr>
        <w:t> </w:t>
      </w:r>
      <w:r>
        <w:rPr/>
        <w:t>rejection</w:t>
      </w:r>
      <w:r>
        <w:rPr>
          <w:spacing w:val="72"/>
          <w:w w:val="150"/>
        </w:rPr>
        <w:t> </w:t>
      </w:r>
      <w:r>
        <w:rPr/>
        <w:t>of</w:t>
      </w:r>
      <w:r>
        <w:rPr>
          <w:spacing w:val="73"/>
          <w:w w:val="150"/>
        </w:rPr>
        <w:t> </w:t>
      </w:r>
      <w:r>
        <w:rPr/>
        <w:t>the</w:t>
      </w:r>
      <w:r>
        <w:rPr>
          <w:spacing w:val="73"/>
          <w:w w:val="150"/>
        </w:rPr>
        <w:t> </w:t>
      </w:r>
      <w:r>
        <w:rPr/>
        <w:t>two-</w:t>
      </w:r>
      <w:r>
        <w:rPr>
          <w:spacing w:val="-5"/>
        </w:rPr>
        <w:t>day</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9"/>
        <w:jc w:val="both"/>
      </w:pPr>
      <w:r>
        <w:rPr/>
        <w:t>relationship will occur if price opens above the H3 pivot level, as this</w:t>
      </w:r>
      <w:r>
        <w:rPr>
          <w:spacing w:val="40"/>
        </w:rPr>
        <w:t> </w:t>
      </w:r>
      <w:r>
        <w:rPr/>
        <w:t>opening behavior would indicate a vast change in sentiment from the prior day, thereby leading to a potential advance.</w:t>
      </w:r>
    </w:p>
    <w:p>
      <w:pPr>
        <w:pStyle w:val="BodyText"/>
        <w:spacing w:before="1"/>
        <w:ind w:left="500" w:right="135" w:firstLine="432"/>
        <w:jc w:val="both"/>
      </w:pPr>
      <w:r>
        <w:rPr/>
        <w:t>Let’s take a look at Figure 8.6 to see how the following day transpired. Price opened the day </w:t>
      </w:r>
      <w:r>
        <w:rPr>
          <w:i/>
        </w:rPr>
        <w:t>precisely </w:t>
      </w:r>
      <w:r>
        <w:rPr/>
        <w:t>at the H3 pivot level, which poses an interesting</w:t>
      </w:r>
      <w:r>
        <w:rPr>
          <w:spacing w:val="-2"/>
        </w:rPr>
        <w:t> </w:t>
      </w:r>
      <w:r>
        <w:rPr/>
        <w:t>dilemma:</w:t>
      </w:r>
      <w:r>
        <w:rPr>
          <w:spacing w:val="-2"/>
        </w:rPr>
        <w:t> </w:t>
      </w:r>
      <w:r>
        <w:rPr/>
        <w:t>do</w:t>
      </w:r>
      <w:r>
        <w:rPr>
          <w:spacing w:val="-2"/>
        </w:rPr>
        <w:t> </w:t>
      </w:r>
      <w:r>
        <w:rPr/>
        <w:t>we</w:t>
      </w:r>
      <w:r>
        <w:rPr>
          <w:spacing w:val="-1"/>
        </w:rPr>
        <w:t> </w:t>
      </w:r>
      <w:r>
        <w:rPr/>
        <w:t>sell</w:t>
      </w:r>
      <w:r>
        <w:rPr>
          <w:spacing w:val="-2"/>
        </w:rPr>
        <w:t> </w:t>
      </w:r>
      <w:r>
        <w:rPr/>
        <w:t>this</w:t>
      </w:r>
      <w:r>
        <w:rPr>
          <w:spacing w:val="-2"/>
        </w:rPr>
        <w:t> </w:t>
      </w:r>
      <w:r>
        <w:rPr/>
        <w:t>“pull-back”</w:t>
      </w:r>
      <w:r>
        <w:rPr>
          <w:spacing w:val="-2"/>
        </w:rPr>
        <w:t> </w:t>
      </w:r>
      <w:r>
        <w:rPr/>
        <w:t>or</w:t>
      </w:r>
      <w:r>
        <w:rPr>
          <w:spacing w:val="-2"/>
        </w:rPr>
        <w:t> </w:t>
      </w:r>
      <w:r>
        <w:rPr/>
        <w:t>buy</w:t>
      </w:r>
      <w:r>
        <w:rPr>
          <w:spacing w:val="-2"/>
        </w:rPr>
        <w:t> </w:t>
      </w:r>
      <w:r>
        <w:rPr/>
        <w:t>the</w:t>
      </w:r>
      <w:r>
        <w:rPr>
          <w:spacing w:val="-2"/>
        </w:rPr>
        <w:t> </w:t>
      </w:r>
      <w:r>
        <w:rPr/>
        <w:t>“rejection”?</w:t>
      </w:r>
      <w:r>
        <w:rPr>
          <w:spacing w:val="-2"/>
        </w:rPr>
        <w:t> </w:t>
      </w:r>
      <w:r>
        <w:rPr/>
        <w:t>Since price opened right at the H3 pivot level, neither acceptance nor rejection has been confirmed, but I would err on the side of acceptance, since price hasn’t opened beyond the H3 pivot level. I would then look for any signs of weakness in order to confirm a potential drop to new lows. In this case, price was not able to confidently rise above H3 and instead formed a lower high before dropping to L3 support, and lower. In essence, our initial two-day pivot analysis helped us reveal 1,780 to 1,785 as the sell zone in this chart, which turned out to be spot on.</w:t>
      </w:r>
    </w:p>
    <w:p>
      <w:pPr>
        <w:pStyle w:val="BodyText"/>
        <w:rPr>
          <w:sz w:val="20"/>
        </w:rPr>
      </w:pPr>
      <w:r>
        <w:rPr/>
        <w:drawing>
          <wp:anchor distT="0" distB="0" distL="0" distR="0" allowOverlap="1" layoutInCell="1" locked="0" behindDoc="0" simplePos="0" relativeHeight="277">
            <wp:simplePos x="0" y="0"/>
            <wp:positionH relativeFrom="page">
              <wp:posOffset>685800</wp:posOffset>
            </wp:positionH>
            <wp:positionV relativeFrom="paragraph">
              <wp:posOffset>161676</wp:posOffset>
            </wp:positionV>
            <wp:extent cx="4342239" cy="3111722"/>
            <wp:effectExtent l="0" t="0" r="0" b="0"/>
            <wp:wrapTopAndBottom/>
            <wp:docPr id="231" name="image117.png"/>
            <wp:cNvGraphicFramePr>
              <a:graphicFrameLocks noChangeAspect="1"/>
            </wp:cNvGraphicFramePr>
            <a:graphic>
              <a:graphicData uri="http://schemas.openxmlformats.org/drawingml/2006/picture">
                <pic:pic>
                  <pic:nvPicPr>
                    <pic:cNvPr id="232" name="image117.png"/>
                    <pic:cNvPicPr/>
                  </pic:nvPicPr>
                  <pic:blipFill>
                    <a:blip r:embed="rId252" cstate="print"/>
                    <a:stretch>
                      <a:fillRect/>
                    </a:stretch>
                  </pic:blipFill>
                  <pic:spPr>
                    <a:xfrm>
                      <a:off x="0" y="0"/>
                      <a:ext cx="4342239" cy="3111722"/>
                    </a:xfrm>
                    <a:prstGeom prst="rect">
                      <a:avLst/>
                    </a:prstGeom>
                  </pic:spPr>
                </pic:pic>
              </a:graphicData>
            </a:graphic>
          </wp:anchor>
        </w:drawing>
      </w:r>
    </w:p>
    <w:p>
      <w:pPr>
        <w:spacing w:before="0"/>
        <w:ind w:left="500" w:right="0" w:firstLine="0"/>
        <w:jc w:val="both"/>
        <w:rPr>
          <w:sz w:val="16"/>
        </w:rPr>
      </w:pPr>
      <w:r>
        <w:rPr>
          <w:sz w:val="16"/>
        </w:rPr>
        <w:t>FIGURE 8.6:</w:t>
      </w:r>
      <w:r>
        <w:rPr>
          <w:spacing w:val="1"/>
          <w:sz w:val="16"/>
        </w:rPr>
        <w:t> </w:t>
      </w:r>
      <w:r>
        <w:rPr>
          <w:sz w:val="16"/>
        </w:rPr>
        <w:t>Sell</w:t>
      </w:r>
      <w:r>
        <w:rPr>
          <w:spacing w:val="2"/>
          <w:sz w:val="16"/>
        </w:rPr>
        <w:t> </w:t>
      </w:r>
      <w:r>
        <w:rPr>
          <w:sz w:val="16"/>
        </w:rPr>
        <w:t>the</w:t>
      </w:r>
      <w:r>
        <w:rPr>
          <w:spacing w:val="1"/>
          <w:sz w:val="16"/>
        </w:rPr>
        <w:t> </w:t>
      </w:r>
      <w:r>
        <w:rPr>
          <w:sz w:val="16"/>
        </w:rPr>
        <w:t>pull-back</w:t>
      </w:r>
      <w:r>
        <w:rPr>
          <w:spacing w:val="1"/>
          <w:sz w:val="16"/>
        </w:rPr>
        <w:t> </w:t>
      </w:r>
      <w:r>
        <w:rPr>
          <w:sz w:val="16"/>
        </w:rPr>
        <w:t>to</w:t>
      </w:r>
      <w:r>
        <w:rPr>
          <w:spacing w:val="1"/>
          <w:sz w:val="16"/>
        </w:rPr>
        <w:t> </w:t>
      </w:r>
      <w:r>
        <w:rPr>
          <w:sz w:val="16"/>
        </w:rPr>
        <w:t>H3</w:t>
      </w:r>
      <w:r>
        <w:rPr>
          <w:spacing w:val="1"/>
          <w:sz w:val="16"/>
        </w:rPr>
        <w:t> </w:t>
      </w:r>
      <w:r>
        <w:rPr>
          <w:sz w:val="16"/>
        </w:rPr>
        <w:t>when</w:t>
      </w:r>
      <w:r>
        <w:rPr>
          <w:spacing w:val="1"/>
          <w:sz w:val="16"/>
        </w:rPr>
        <w:t> </w:t>
      </w:r>
      <w:r>
        <w:rPr>
          <w:sz w:val="16"/>
        </w:rPr>
        <w:t>a</w:t>
      </w:r>
      <w:r>
        <w:rPr>
          <w:spacing w:val="1"/>
          <w:sz w:val="16"/>
        </w:rPr>
        <w:t> </w:t>
      </w:r>
      <w:r>
        <w:rPr>
          <w:sz w:val="16"/>
        </w:rPr>
        <w:t>Lower</w:t>
      </w:r>
      <w:r>
        <w:rPr>
          <w:spacing w:val="1"/>
          <w:sz w:val="16"/>
        </w:rPr>
        <w:t> </w:t>
      </w:r>
      <w:r>
        <w:rPr>
          <w:sz w:val="16"/>
        </w:rPr>
        <w:t>Value</w:t>
      </w:r>
      <w:r>
        <w:rPr>
          <w:spacing w:val="1"/>
          <w:sz w:val="16"/>
        </w:rPr>
        <w:t> </w:t>
      </w:r>
      <w:r>
        <w:rPr>
          <w:sz w:val="16"/>
        </w:rPr>
        <w:t>relationship</w:t>
      </w:r>
      <w:r>
        <w:rPr>
          <w:spacing w:val="1"/>
          <w:sz w:val="16"/>
        </w:rPr>
        <w:t> </w:t>
      </w:r>
      <w:r>
        <w:rPr>
          <w:spacing w:val="-2"/>
          <w:sz w:val="16"/>
        </w:rPr>
        <w:t>forms.</w:t>
      </w:r>
    </w:p>
    <w:p>
      <w:pPr>
        <w:pStyle w:val="BodyText"/>
        <w:spacing w:before="9"/>
        <w:rPr>
          <w:sz w:val="21"/>
        </w:rPr>
      </w:pPr>
    </w:p>
    <w:p>
      <w:pPr>
        <w:pStyle w:val="BodyText"/>
        <w:ind w:left="500" w:right="134" w:firstLine="432"/>
        <w:jc w:val="both"/>
      </w:pPr>
      <w:r>
        <w:rPr/>
        <w:t>Keep in mind there were several factors that led to the successful outcome of our initial analysis. First, the market had been in an existing downtrend over the prior two weeks, which means responsive sellers will be looking to sell any pull-backs in price. Therefore, you are aligning yourself with</w:t>
      </w:r>
      <w:r>
        <w:rPr>
          <w:spacing w:val="61"/>
        </w:rPr>
        <w:t> </w:t>
      </w:r>
      <w:r>
        <w:rPr/>
        <w:t>the</w:t>
      </w:r>
      <w:r>
        <w:rPr>
          <w:spacing w:val="62"/>
        </w:rPr>
        <w:t> </w:t>
      </w:r>
      <w:r>
        <w:rPr/>
        <w:t>right</w:t>
      </w:r>
      <w:r>
        <w:rPr>
          <w:spacing w:val="62"/>
        </w:rPr>
        <w:t> </w:t>
      </w:r>
      <w:r>
        <w:rPr/>
        <w:t>side</w:t>
      </w:r>
      <w:r>
        <w:rPr>
          <w:spacing w:val="61"/>
        </w:rPr>
        <w:t> </w:t>
      </w:r>
      <w:r>
        <w:rPr/>
        <w:t>of</w:t>
      </w:r>
      <w:r>
        <w:rPr>
          <w:spacing w:val="62"/>
        </w:rPr>
        <w:t> </w:t>
      </w:r>
      <w:r>
        <w:rPr/>
        <w:t>the</w:t>
      </w:r>
      <w:r>
        <w:rPr>
          <w:spacing w:val="63"/>
        </w:rPr>
        <w:t> </w:t>
      </w:r>
      <w:r>
        <w:rPr/>
        <w:t>market.</w:t>
      </w:r>
      <w:r>
        <w:rPr>
          <w:spacing w:val="60"/>
        </w:rPr>
        <w:t> </w:t>
      </w:r>
      <w:r>
        <w:rPr/>
        <w:t>Secondly,</w:t>
      </w:r>
      <w:r>
        <w:rPr>
          <w:spacing w:val="62"/>
        </w:rPr>
        <w:t> </w:t>
      </w:r>
      <w:r>
        <w:rPr/>
        <w:t>the</w:t>
      </w:r>
      <w:r>
        <w:rPr>
          <w:spacing w:val="62"/>
        </w:rPr>
        <w:t> </w:t>
      </w:r>
      <w:r>
        <w:rPr/>
        <w:t>two-day</w:t>
      </w:r>
      <w:r>
        <w:rPr>
          <w:spacing w:val="62"/>
        </w:rPr>
        <w:t> </w:t>
      </w:r>
      <w:r>
        <w:rPr/>
        <w:t>Lower</w:t>
      </w:r>
      <w:r>
        <w:rPr>
          <w:spacing w:val="61"/>
        </w:rPr>
        <w:t> </w:t>
      </w:r>
      <w:r>
        <w:rPr>
          <w:spacing w:val="-2"/>
        </w:rPr>
        <w:t>Value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jc w:val="both"/>
      </w:pPr>
      <w:r>
        <w:rPr/>
        <w:t>relationship is the most bearish Camarilla relationship. This relationship indicates weakness for the upcoming session, which is complemented by the two-week downtrend. And last, while the opening price did not show full acceptance of our initial analysis, it also didn’t reject our directional bias, thereby allowing us to scout H3 for a potential sell entry, which turned out to be the right pivot to watch for action.</w:t>
      </w:r>
    </w:p>
    <w:p>
      <w:pPr>
        <w:pStyle w:val="BodyText"/>
        <w:ind w:left="140" w:right="496" w:firstLine="432"/>
        <w:jc w:val="both"/>
      </w:pPr>
      <w:r>
        <w:rPr/>
        <w:t>This is the type of pre-trade analysis that allows you to prepare properly for the next day’s price activity. If price trades according to the script, then you have already identified the action levels for the upcoming market. Likewise, you will not be caught flat-footed if price completely disregards</w:t>
      </w:r>
      <w:r>
        <w:rPr>
          <w:spacing w:val="40"/>
        </w:rPr>
        <w:t> </w:t>
      </w:r>
      <w:r>
        <w:rPr/>
        <w:t>the day’s script, as you will be able to identify price behavior that is not consistent with your analysis. As a matter of fact, many of the biggest days occur when the market completely disregards the day’s script and behaves in a manner that is unexpected.</w:t>
      </w:r>
    </w:p>
    <w:p>
      <w:pPr>
        <w:pStyle w:val="BodyText"/>
        <w:spacing w:before="1"/>
        <w:ind w:left="140" w:right="495" w:firstLine="432"/>
        <w:jc w:val="both"/>
      </w:pPr>
      <w:r>
        <w:rPr/>
        <w:t>One of the main components of two-day pivot analysis is acceptance or rejection</w:t>
      </w:r>
      <w:r>
        <w:rPr/>
        <w:t> of an expected outcome by way of the day’s opening print. It becomes especially important to pay attention to the opening print of the day when the market has developed a clear trend, whether it’s a three-day trend</w:t>
      </w:r>
      <w:r>
        <w:rPr>
          <w:spacing w:val="40"/>
        </w:rPr>
        <w:t> </w:t>
      </w:r>
      <w:r>
        <w:rPr/>
        <w:t>or longer, as its location will alert you to the Camarilla level that offers the best shot at a solid trade entry. Therefore, when the market develops a two- day trending Camarilla relationship, like Higher Value, Overlapping Higher Value, Lower Value, or Overlapping Lower Value, watching the opening print of the day will give you clues as to which pivot to play for a reversal.</w:t>
      </w:r>
    </w:p>
    <w:p>
      <w:pPr>
        <w:pStyle w:val="BodyText"/>
        <w:ind w:left="140" w:right="495" w:firstLine="432"/>
        <w:jc w:val="both"/>
      </w:pPr>
      <w:r>
        <w:rPr/>
        <w:t>For example, when the market is trending higher and has developed a Higher</w:t>
      </w:r>
      <w:r>
        <w:rPr>
          <w:spacing w:val="-2"/>
        </w:rPr>
        <w:t> </w:t>
      </w:r>
      <w:r>
        <w:rPr/>
        <w:t>Value</w:t>
      </w:r>
      <w:r>
        <w:rPr>
          <w:spacing w:val="-1"/>
        </w:rPr>
        <w:t> </w:t>
      </w:r>
      <w:r>
        <w:rPr/>
        <w:t>or</w:t>
      </w:r>
      <w:r>
        <w:rPr>
          <w:spacing w:val="-2"/>
        </w:rPr>
        <w:t> </w:t>
      </w:r>
      <w:r>
        <w:rPr/>
        <w:t>Overlapping</w:t>
      </w:r>
      <w:r>
        <w:rPr>
          <w:spacing w:val="-2"/>
        </w:rPr>
        <w:t> </w:t>
      </w:r>
      <w:r>
        <w:rPr/>
        <w:t>Higher</w:t>
      </w:r>
      <w:r>
        <w:rPr>
          <w:spacing w:val="-2"/>
        </w:rPr>
        <w:t> </w:t>
      </w:r>
      <w:r>
        <w:rPr/>
        <w:t>Value</w:t>
      </w:r>
      <w:r>
        <w:rPr>
          <w:spacing w:val="-2"/>
        </w:rPr>
        <w:t> </w:t>
      </w:r>
      <w:r>
        <w:rPr/>
        <w:t>relationship,</w:t>
      </w:r>
      <w:r>
        <w:rPr>
          <w:spacing w:val="-2"/>
        </w:rPr>
        <w:t> </w:t>
      </w:r>
      <w:r>
        <w:rPr/>
        <w:t>you</w:t>
      </w:r>
      <w:r>
        <w:rPr>
          <w:spacing w:val="-2"/>
        </w:rPr>
        <w:t> </w:t>
      </w:r>
      <w:r>
        <w:rPr/>
        <w:t>will</w:t>
      </w:r>
      <w:r>
        <w:rPr>
          <w:spacing w:val="-2"/>
        </w:rPr>
        <w:t> </w:t>
      </w:r>
      <w:r>
        <w:rPr/>
        <w:t>look</w:t>
      </w:r>
      <w:r>
        <w:rPr>
          <w:spacing w:val="-2"/>
        </w:rPr>
        <w:t> </w:t>
      </w:r>
      <w:r>
        <w:rPr/>
        <w:t>to</w:t>
      </w:r>
      <w:r>
        <w:rPr>
          <w:spacing w:val="-2"/>
        </w:rPr>
        <w:t> </w:t>
      </w:r>
      <w:r>
        <w:rPr/>
        <w:t>buy a pull-back at either H3 or L3, depending on where the market opens the session. If the market opens the session above H3, then the H3 pivot level becomes the pivot to watch for a bullish bounce. If the market opens the session</w:t>
      </w:r>
      <w:r>
        <w:rPr>
          <w:spacing w:val="-1"/>
        </w:rPr>
        <w:t> </w:t>
      </w:r>
      <w:r>
        <w:rPr/>
        <w:t>below</w:t>
      </w:r>
      <w:r>
        <w:rPr>
          <w:spacing w:val="-1"/>
        </w:rPr>
        <w:t> </w:t>
      </w:r>
      <w:r>
        <w:rPr/>
        <w:t>H3,</w:t>
      </w:r>
      <w:r>
        <w:rPr>
          <w:spacing w:val="-1"/>
        </w:rPr>
        <w:t> </w:t>
      </w:r>
      <w:r>
        <w:rPr/>
        <w:t>but</w:t>
      </w:r>
      <w:r>
        <w:rPr>
          <w:spacing w:val="-1"/>
        </w:rPr>
        <w:t> </w:t>
      </w:r>
      <w:r>
        <w:rPr/>
        <w:t>above</w:t>
      </w:r>
      <w:r>
        <w:rPr>
          <w:spacing w:val="-1"/>
        </w:rPr>
        <w:t> </w:t>
      </w:r>
      <w:r>
        <w:rPr/>
        <w:t>L3,</w:t>
      </w:r>
      <w:r>
        <w:rPr>
          <w:spacing w:val="-1"/>
        </w:rPr>
        <w:t> </w:t>
      </w:r>
      <w:r>
        <w:rPr/>
        <w:t>then</w:t>
      </w:r>
      <w:r>
        <w:rPr>
          <w:spacing w:val="-2"/>
        </w:rPr>
        <w:t> </w:t>
      </w:r>
      <w:r>
        <w:rPr/>
        <w:t>the</w:t>
      </w:r>
      <w:r>
        <w:rPr>
          <w:spacing w:val="-1"/>
        </w:rPr>
        <w:t> </w:t>
      </w:r>
      <w:r>
        <w:rPr/>
        <w:t>L3</w:t>
      </w:r>
      <w:r>
        <w:rPr>
          <w:spacing w:val="-1"/>
        </w:rPr>
        <w:t> </w:t>
      </w:r>
      <w:r>
        <w:rPr/>
        <w:t>pivot</w:t>
      </w:r>
      <w:r>
        <w:rPr>
          <w:spacing w:val="-1"/>
        </w:rPr>
        <w:t> </w:t>
      </w:r>
      <w:r>
        <w:rPr/>
        <w:t>level</w:t>
      </w:r>
      <w:r>
        <w:rPr>
          <w:spacing w:val="-1"/>
        </w:rPr>
        <w:t> </w:t>
      </w:r>
      <w:r>
        <w:rPr/>
        <w:t>becomes the</w:t>
      </w:r>
      <w:r>
        <w:rPr>
          <w:spacing w:val="-1"/>
        </w:rPr>
        <w:t> </w:t>
      </w:r>
      <w:r>
        <w:rPr/>
        <w:t>pivot</w:t>
      </w:r>
      <w:r>
        <w:rPr>
          <w:spacing w:val="-1"/>
        </w:rPr>
        <w:t> </w:t>
      </w:r>
      <w:r>
        <w:rPr/>
        <w:t>to watch for a buying opportunity. Of course, if price opens the session in an unexpected manner beyond the L3 pivot level, and especially below L4, you will</w:t>
      </w:r>
      <w:r>
        <w:rPr>
          <w:spacing w:val="-1"/>
        </w:rPr>
        <w:t> </w:t>
      </w:r>
      <w:r>
        <w:rPr/>
        <w:t>look</w:t>
      </w:r>
      <w:r>
        <w:rPr>
          <w:spacing w:val="-1"/>
        </w:rPr>
        <w:t> </w:t>
      </w:r>
      <w:r>
        <w:rPr/>
        <w:t>to</w:t>
      </w:r>
      <w:r>
        <w:rPr>
          <w:spacing w:val="-1"/>
        </w:rPr>
        <w:t> </w:t>
      </w:r>
      <w:r>
        <w:rPr/>
        <w:t>sell</w:t>
      </w:r>
      <w:r>
        <w:rPr>
          <w:spacing w:val="-1"/>
        </w:rPr>
        <w:t> </w:t>
      </w:r>
      <w:r>
        <w:rPr/>
        <w:t>the market,</w:t>
      </w:r>
      <w:r>
        <w:rPr>
          <w:spacing w:val="-1"/>
        </w:rPr>
        <w:t> </w:t>
      </w:r>
      <w:r>
        <w:rPr/>
        <w:t>as</w:t>
      </w:r>
      <w:r>
        <w:rPr>
          <w:spacing w:val="-1"/>
        </w:rPr>
        <w:t> </w:t>
      </w:r>
      <w:r>
        <w:rPr/>
        <w:t>the</w:t>
      </w:r>
      <w:r>
        <w:rPr>
          <w:spacing w:val="-1"/>
        </w:rPr>
        <w:t> </w:t>
      </w:r>
      <w:r>
        <w:rPr/>
        <w:t>tide</w:t>
      </w:r>
      <w:r>
        <w:rPr>
          <w:spacing w:val="-1"/>
        </w:rPr>
        <w:t> </w:t>
      </w:r>
      <w:r>
        <w:rPr/>
        <w:t>has</w:t>
      </w:r>
      <w:r>
        <w:rPr>
          <w:spacing w:val="-1"/>
        </w:rPr>
        <w:t> </w:t>
      </w:r>
      <w:r>
        <w:rPr/>
        <w:t>likely</w:t>
      </w:r>
      <w:r>
        <w:rPr>
          <w:spacing w:val="-1"/>
        </w:rPr>
        <w:t> </w:t>
      </w:r>
      <w:r>
        <w:rPr/>
        <w:t>changed</w:t>
      </w:r>
      <w:r>
        <w:rPr>
          <w:spacing w:val="-1"/>
        </w:rPr>
        <w:t> </w:t>
      </w:r>
      <w:r>
        <w:rPr/>
        <w:t>and</w:t>
      </w:r>
      <w:r>
        <w:rPr>
          <w:spacing w:val="-1"/>
        </w:rPr>
        <w:t> </w:t>
      </w:r>
      <w:r>
        <w:rPr/>
        <w:t>a</w:t>
      </w:r>
      <w:r>
        <w:rPr>
          <w:spacing w:val="-1"/>
        </w:rPr>
        <w:t> </w:t>
      </w:r>
      <w:r>
        <w:rPr/>
        <w:t>decline</w:t>
      </w:r>
      <w:r>
        <w:rPr>
          <w:spacing w:val="-1"/>
        </w:rPr>
        <w:t> </w:t>
      </w:r>
      <w:r>
        <w:rPr/>
        <w:t>could be ahead.</w:t>
      </w:r>
    </w:p>
    <w:p>
      <w:pPr>
        <w:pStyle w:val="BodyText"/>
        <w:ind w:left="140" w:right="496" w:firstLine="432"/>
        <w:jc w:val="both"/>
      </w:pPr>
      <w:r>
        <w:rPr/>
        <w:t>In a bearish trend, you will look to sell any pull-back to L3 or H3, depending on where the market opens the session. Therefore, you will be looking to “sell the rips” if a Lower Value or Overlapping Lower Value relationship has formed, but the day’s opening price will tell you which Camarilla pivot level to play. If price opens the day below L3, then you will look to sell a pull-back at the L3 pivot level. If the market opens the session above L3, but below H3, then you will look to sell any pull-back to the H3 pivot level. Again, a major gap against the trend above the H3 or H4 pivot levels</w:t>
      </w:r>
      <w:r>
        <w:rPr>
          <w:spacing w:val="5"/>
        </w:rPr>
        <w:t> </w:t>
      </w:r>
      <w:r>
        <w:rPr/>
        <w:t>indicates</w:t>
      </w:r>
      <w:r>
        <w:rPr>
          <w:spacing w:val="6"/>
        </w:rPr>
        <w:t> </w:t>
      </w:r>
      <w:r>
        <w:rPr/>
        <w:t>a</w:t>
      </w:r>
      <w:r>
        <w:rPr>
          <w:spacing w:val="6"/>
        </w:rPr>
        <w:t> </w:t>
      </w:r>
      <w:r>
        <w:rPr/>
        <w:t>likely</w:t>
      </w:r>
      <w:r>
        <w:rPr>
          <w:spacing w:val="6"/>
        </w:rPr>
        <w:t> </w:t>
      </w:r>
      <w:r>
        <w:rPr/>
        <w:t>change</w:t>
      </w:r>
      <w:r>
        <w:rPr>
          <w:spacing w:val="6"/>
        </w:rPr>
        <w:t> </w:t>
      </w:r>
      <w:r>
        <w:rPr/>
        <w:t>in</w:t>
      </w:r>
      <w:r>
        <w:rPr>
          <w:spacing w:val="6"/>
        </w:rPr>
        <w:t> </w:t>
      </w:r>
      <w:r>
        <w:rPr/>
        <w:t>trend.</w:t>
      </w:r>
      <w:r>
        <w:rPr>
          <w:spacing w:val="5"/>
        </w:rPr>
        <w:t> </w:t>
      </w:r>
      <w:r>
        <w:rPr/>
        <w:t>Therefore,</w:t>
      </w:r>
      <w:r>
        <w:rPr>
          <w:spacing w:val="6"/>
        </w:rPr>
        <w:t> </w:t>
      </w:r>
      <w:r>
        <w:rPr/>
        <w:t>you</w:t>
      </w:r>
      <w:r>
        <w:rPr>
          <w:spacing w:val="6"/>
        </w:rPr>
        <w:t> </w:t>
      </w:r>
      <w:r>
        <w:rPr/>
        <w:t>will</w:t>
      </w:r>
      <w:r>
        <w:rPr>
          <w:spacing w:val="5"/>
        </w:rPr>
        <w:t> </w:t>
      </w:r>
      <w:r>
        <w:rPr/>
        <w:t>look</w:t>
      </w:r>
      <w:r>
        <w:rPr>
          <w:spacing w:val="6"/>
        </w:rPr>
        <w:t> </w:t>
      </w:r>
      <w:r>
        <w:rPr/>
        <w:t>to</w:t>
      </w:r>
      <w:r>
        <w:rPr>
          <w:spacing w:val="6"/>
        </w:rPr>
        <w:t> </w:t>
      </w:r>
      <w:r>
        <w:rPr/>
        <w:t>buy</w:t>
      </w:r>
      <w:r>
        <w:rPr>
          <w:spacing w:val="5"/>
        </w:rPr>
        <w:t> </w:t>
      </w:r>
      <w:r>
        <w:rPr>
          <w:spacing w:val="-5"/>
        </w:rPr>
        <w:t>any</w:t>
      </w:r>
    </w:p>
    <w:p>
      <w:pPr>
        <w:spacing w:after="0"/>
        <w:jc w:val="both"/>
        <w:sectPr>
          <w:pgSz w:w="8640" w:h="12960"/>
          <w:pgMar w:header="579" w:footer="1060" w:top="760" w:bottom="1180" w:left="580" w:right="580"/>
        </w:sectPr>
      </w:pPr>
    </w:p>
    <w:p>
      <w:pPr>
        <w:pStyle w:val="BodyText"/>
        <w:spacing w:before="3"/>
      </w:pPr>
    </w:p>
    <w:p>
      <w:pPr>
        <w:pStyle w:val="BodyText"/>
        <w:spacing w:before="64"/>
        <w:ind w:left="500" w:right="135"/>
        <w:jc w:val="both"/>
      </w:pPr>
      <w:r>
        <w:rPr/>
        <w:t>pull-back at H4, or maybe even H3, as the market is likely headed higher.</w:t>
      </w:r>
      <w:r>
        <w:rPr>
          <w:spacing w:val="40"/>
        </w:rPr>
        <w:t> </w:t>
      </w:r>
      <w:r>
        <w:rPr/>
        <w:t>The concepts for both the bullish and bearish entry options have been illustrated in Figures 8.7 and 8.8.</w:t>
      </w:r>
    </w:p>
    <w:p>
      <w:pPr>
        <w:pStyle w:val="BodyText"/>
        <w:spacing w:before="1"/>
        <w:rPr>
          <w:sz w:val="16"/>
        </w:rPr>
      </w:pPr>
      <w:r>
        <w:rPr/>
        <w:pict>
          <v:group style="position:absolute;margin-left:78.480003pt;margin-top:10.483622pt;width:290.9pt;height:473.15pt;mso-position-horizontal-relative:page;mso-position-vertical-relative:paragraph;z-index:-15586304;mso-wrap-distance-left:0;mso-wrap-distance-right:0" id="docshapegroup761" coordorigin="1570,210" coordsize="5818,9463">
            <v:shape style="position:absolute;left:1620;top:217;width:5760;height:9448" id="docshape762" coordorigin="1620,217" coordsize="5760,9448" path="m7380,5117l1621,5117,1621,9665,7380,9665,7380,5117xm7380,217l1621,217,1621,4710,7380,4710,7380,217xm7379,228l1620,228,1620,786,7379,786,7379,228xe" filled="false" stroked="true" strokeweight=".75pt" strokecolor="#000000">
              <v:path arrowok="t"/>
              <v:stroke dashstyle="solid"/>
            </v:shape>
            <v:shape style="position:absolute;left:4260;top:1682;width:2505;height:2170" id="docshape763" coordorigin="4260,1682" coordsize="2505,2170" path="m4265,3187l4705,3187m5324,3187l6764,3187m4260,1682l4710,1682m5329,1682l6760,1682m4260,3852l4710,3852m5329,3852l6760,3852e" filled="false" stroked="true" strokeweight=".75pt" strokecolor="#000000">
              <v:path arrowok="t"/>
              <v:stroke dashstyle="solid"/>
            </v:shape>
            <v:shape style="position:absolute;left:2708;top:2639;width:792;height:1317" id="docshape764" coordorigin="2708,2640" coordsize="792,1317" path="m2851,3456l2708,3456,2708,3956,2851,3956,2851,3456xm3500,2640l3356,2640,3356,3119,3500,3119,3500,2640xe" filled="false" stroked="true" strokeweight=".75pt" strokecolor="#000000">
              <v:path arrowok="t"/>
              <v:stroke dashstyle="solid"/>
            </v:shape>
            <v:rect style="position:absolute;left:2497;top:3568;width:143;height:388" id="docshape765" filled="true" fillcolor="#000000" stroked="false">
              <v:fill type="solid"/>
            </v:rect>
            <v:rect style="position:absolute;left:2497;top:3568;width:143;height:388" id="docshape766" filled="false" stroked="true" strokeweight=".75pt" strokecolor="#000000">
              <v:stroke dashstyle="solid"/>
            </v:rect>
            <v:line style="position:absolute" from="2569,3569" to="2570,3336" stroked="true" strokeweight=".75pt" strokecolor="#000000">
              <v:stroke dashstyle="solid"/>
            </v:line>
            <v:rect style="position:absolute;left:2064;top:3956;width:143;height:107" id="docshape767" filled="false" stroked="true" strokeweight=".75pt" strokecolor="#000000">
              <v:stroke dashstyle="solid"/>
            </v:rect>
            <v:line style="position:absolute" from="2137,3956" to="2138,3740" stroked="true" strokeweight=".75pt" strokecolor="#000000">
              <v:stroke dashstyle="solid"/>
            </v:line>
            <v:line style="position:absolute" from="2136,4241" to="2136,4063" stroked="true" strokeweight=".75pt" strokecolor="#000000">
              <v:stroke dashstyle="solid"/>
            </v:line>
            <v:line style="position:absolute" from="3215,3084" to="3216,2995" stroked="true" strokeweight=".75pt" strokecolor="#000000">
              <v:stroke dashstyle="solid"/>
            </v:line>
            <v:line style="position:absolute" from="3214,3504" to="3214,3607" stroked="true" strokeweight=".75pt" strokecolor="#000000">
              <v:stroke dashstyle="solid"/>
            </v:line>
            <v:shape style="position:absolute;left:3141;top:2201;width:574;height:1302" id="docshape768" coordorigin="3142,2202" coordsize="574,1302" path="m3284,3096l3142,3096,3142,3504,3284,3504,3284,3096xm3715,2202l3572,2202,3572,2680,3715,2680,3715,2202xe" filled="false" stroked="true" strokeweight=".75pt" strokecolor="#000000">
              <v:path arrowok="t"/>
              <v:stroke dashstyle="solid"/>
            </v:shape>
            <v:line style="position:absolute" from="3641,2190" to="3642,2102" stroked="true" strokeweight=".75pt" strokecolor="#000000">
              <v:stroke dashstyle="solid"/>
            </v:line>
            <v:rect style="position:absolute;left:2924;top:3386;width:143;height:107" id="docshape769" filled="true" fillcolor="#000000" stroked="false">
              <v:fill type="solid"/>
            </v:rect>
            <v:rect style="position:absolute;left:2924;top:3386;width:143;height:107" id="docshape770" filled="false" stroked="true" strokeweight=".75pt" strokecolor="#000000">
              <v:stroke dashstyle="solid"/>
            </v:rect>
            <v:line style="position:absolute" from="2996,3386" to="2998,3170" stroked="true" strokeweight=".75pt" strokecolor="#000000">
              <v:stroke dashstyle="solid"/>
            </v:line>
            <v:line style="position:absolute" from="2996,3671" to="2996,3493" stroked="true" strokeweight=".75pt" strokecolor="#000000">
              <v:stroke dashstyle="solid"/>
            </v:line>
            <v:shape style="position:absolute;left:4959;top:2595;width:120;height:404" id="docshape771" coordorigin="4960,2596" coordsize="120,404" path="m5012,2879l4960,2879,5020,2999,5066,2906,5020,2906,5015,2904,5012,2899,5012,2879xm5018,2596l5014,2598,5011,2604,5012,2899,5015,2904,5020,2906,5026,2904,5027,2898,5027,2604,5024,2598,5018,2596xm5080,2879l5027,2879,5027,2898,5026,2904,5020,2906,5066,2906,5080,2879xe" filled="true" fillcolor="#000000" stroked="false">
              <v:path arrowok="t"/>
              <v:fill type="solid"/>
            </v:shape>
            <v:shape style="position:absolute;left:4964;top:1210;width:120;height:264" type="#_x0000_t75" id="docshape772" stroked="false">
              <v:imagedata r:id="rId253" o:title=""/>
            </v:shape>
            <v:shape style="position:absolute;left:4972;top:4029;width:120;height:328" type="#_x0000_t75" id="docshape773" stroked="false">
              <v:imagedata r:id="rId254" o:title=""/>
            </v:shape>
            <v:line style="position:absolute" from="2353,3566" to="2354,3479" stroked="true" strokeweight=".75pt" strokecolor="#000000">
              <v:stroke dashstyle="solid"/>
            </v:line>
            <v:line style="position:absolute" from="2352,3986" to="2352,4091" stroked="true" strokeweight=".75pt" strokecolor="#000000">
              <v:stroke dashstyle="solid"/>
            </v:line>
            <v:shape style="position:absolute;left:1620;top:898;width:5759;height:4786" id="docshape774" coordorigin="1620,899" coordsize="5759,4786" path="m2423,3578l2280,3578,2280,3986,2423,3986,2423,3578xm5324,899l4710,899,4710,1847,5324,1847,5324,899xm5324,2322l4710,2322,4710,3343,5324,3343,5324,2322xm5321,3700l4706,3700,4706,4610,5321,4610,5321,3700xm7379,5126l1620,5126,1620,5684,7379,5684,7379,5126xe" filled="false" stroked="true" strokeweight=".75pt" strokecolor="#000000">
              <v:path arrowok="t"/>
              <v:stroke dashstyle="solid"/>
            </v:shape>
            <v:shape style="position:absolute;left:4251;top:6589;width:2506;height:2170" id="docshape775" coordorigin="4252,6589" coordsize="2506,2170" path="m4256,7278l4697,7278m5316,7278l6757,7278m4252,6589l4702,6589m5321,6589l6752,6589m4252,8759l4702,8759m5321,8759l6752,8759e" filled="false" stroked="true" strokeweight=".75pt" strokecolor="#000000">
              <v:path arrowok="t"/>
              <v:stroke dashstyle="solid"/>
            </v:shape>
            <v:rect style="position:absolute;left:2703;top:6667;width:144;height:500" id="docshape776" filled="true" fillcolor="#000000" stroked="false">
              <v:fill type="solid"/>
            </v:rect>
            <v:rect style="position:absolute;left:2703;top:6665;width:143;height:501" id="docshape777" filled="false" stroked="true" strokeweight=".75pt" strokecolor="#000000">
              <v:stroke dashstyle="solid"/>
            </v:rect>
            <v:rect style="position:absolute;left:3778;top:7670;width:143;height:479" id="docshape778" filled="true" fillcolor="#000000" stroked="false">
              <v:fill type="solid"/>
            </v:rect>
            <v:shape style="position:absolute;left:2923;top:6777;width:999;height:1372" id="docshape779" coordorigin="2923,6778" coordsize="999,1372" path="m3922,7670l3779,7670,3779,8149,3922,8149,3922,7670xm3066,6778l2923,6778,2923,7165,3066,7165,3066,6778xe" filled="false" stroked="true" strokeweight=".75pt" strokecolor="#000000">
              <v:path arrowok="t"/>
              <v:stroke dashstyle="solid"/>
            </v:shape>
            <v:line style="position:absolute" from="2995,6778" to="2996,6545" stroked="true" strokeweight=".75pt" strokecolor="#000000">
              <v:stroke dashstyle="solid"/>
            </v:line>
            <v:rect style="position:absolute;left:3141;top:6784;width:144;height:107" id="docshape780" filled="true" fillcolor="#000000" stroked="false">
              <v:fill type="solid"/>
            </v:rect>
            <v:rect style="position:absolute;left:3141;top:6784;width:143;height:107" id="docshape781" filled="false" stroked="true" strokeweight=".75pt" strokecolor="#000000">
              <v:stroke dashstyle="solid"/>
            </v:rect>
            <v:line style="position:absolute" from="3215,6785" to="3216,6569" stroked="true" strokeweight=".75pt" strokecolor="#000000">
              <v:stroke dashstyle="solid"/>
            </v:line>
            <v:line style="position:absolute" from="3214,7068" to="3214,6892" stroked="true" strokeweight=".75pt" strokecolor="#000000">
              <v:stroke dashstyle="solid"/>
            </v:line>
            <v:rect style="position:absolute;left:3349;top:6899;width:143;height:296" id="docshape782" filled="true" fillcolor="#000000" stroked="false">
              <v:fill type="solid"/>
            </v:rect>
            <v:rect style="position:absolute;left:3349;top:6899;width:143;height:296" id="docshape783" filled="false" stroked="true" strokeweight=".75pt" strokecolor="#000000">
              <v:stroke dashstyle="solid"/>
            </v:rect>
            <v:line style="position:absolute" from="3422,6931" to="3422,6800" stroked="true" strokeweight=".75pt" strokecolor="#000000">
              <v:stroke dashstyle="solid"/>
            </v:line>
            <v:line style="position:absolute" from="3422,7297" to="3421,7147" stroked="true" strokeweight=".75pt" strokecolor="#000000">
              <v:stroke dashstyle="solid"/>
            </v:line>
            <v:line style="position:absolute" from="2562,6246" to="2563,6157" stroked="true" strokeweight=".75pt" strokecolor="#000000">
              <v:stroke dashstyle="solid"/>
            </v:line>
            <v:line style="position:absolute" from="2561,6769" to="2561,6593" stroked="true" strokeweight=".75pt" strokecolor="#000000">
              <v:stroke dashstyle="solid"/>
            </v:line>
            <v:rect style="position:absolute;left:2488;top:6257;width:143;height:408" id="docshape784" filled="true" fillcolor="#000000" stroked="false">
              <v:fill type="solid"/>
            </v:rect>
            <v:rect style="position:absolute;left:2488;top:6257;width:143;height:408" id="docshape785" filled="false" stroked="true" strokeweight=".75pt" strokecolor="#000000">
              <v:stroke dashstyle="solid"/>
            </v:rect>
            <v:rect style="position:absolute;left:3564;top:7201;width:143;height:477" id="docshape786" filled="true" fillcolor="#000000" stroked="false">
              <v:fill type="solid"/>
            </v:rect>
            <v:rect style="position:absolute;left:3564;top:7199;width:143;height:478" id="docshape787" filled="false" stroked="true" strokeweight=".75pt" strokecolor="#000000">
              <v:stroke dashstyle="solid"/>
            </v:rect>
            <v:line style="position:absolute" from="3632,7188" to="3634,7100" stroked="true" strokeweight=".75pt" strokecolor="#000000">
              <v:stroke dashstyle="solid"/>
            </v:line>
            <v:rect style="position:absolute;left:2271;top:6254;width:143;height:107" id="docshape788" filled="false" stroked="true" strokeweight=".75pt" strokecolor="#000000">
              <v:stroke dashstyle="solid"/>
            </v:rect>
            <v:line style="position:absolute" from="2345,6254" to="2346,6038" stroked="true" strokeweight=".75pt" strokecolor="#000000">
              <v:stroke dashstyle="solid"/>
            </v:line>
            <v:line style="position:absolute" from="2344,6539" to="2344,6361" stroked="true" strokeweight=".75pt" strokecolor="#000000">
              <v:stroke dashstyle="solid"/>
            </v:line>
            <v:shape style="position:absolute;left:4951;top:7481;width:120;height:359" type="#_x0000_t75" id="docshape789" stroked="false">
              <v:imagedata r:id="rId255" o:title=""/>
            </v:shape>
            <v:shape style="position:absolute;left:4956;top:6117;width:120;height:264" type="#_x0000_t75" id="docshape790" stroked="false">
              <v:imagedata r:id="rId256" o:title=""/>
            </v:shape>
            <v:shape style="position:absolute;left:4964;top:8936;width:120;height:328" type="#_x0000_t75" id="docshape791" stroked="false">
              <v:imagedata r:id="rId257" o:title=""/>
            </v:shape>
            <v:shape style="position:absolute;left:4705;top:5809;width:616;height:3713" id="docshape792" coordorigin="4705,5809" coordsize="616,3713" path="m5321,8611l4706,8611,4706,9522,5321,9522,5321,8611xm5321,7128l4706,7128,4706,8110,5321,8110,5321,7128xm5318,5809l4705,5809,4705,6745,5318,6745,5318,5809xe" filled="false" stroked="true" strokeweight=".75pt" strokecolor="#000000">
              <v:path arrowok="t"/>
              <v:stroke dashstyle="solid"/>
            </v:shape>
            <v:shape style="position:absolute;left:3974;top:1604;width:265;height:201" type="#_x0000_t202" id="docshape793" filled="false" stroked="false">
              <v:textbox inset="0,0,0,0">
                <w:txbxContent>
                  <w:p>
                    <w:pPr>
                      <w:spacing w:line="199" w:lineRule="exact" w:before="0"/>
                      <w:ind w:left="0" w:right="0" w:firstLine="0"/>
                      <w:jc w:val="left"/>
                      <w:rPr>
                        <w:rFonts w:ascii="Tahoma"/>
                        <w:sz w:val="20"/>
                      </w:rPr>
                    </w:pPr>
                    <w:r>
                      <w:rPr>
                        <w:rFonts w:ascii="Tahoma"/>
                        <w:spacing w:val="-5"/>
                        <w:sz w:val="20"/>
                      </w:rPr>
                      <w:t>H3</w:t>
                    </w:r>
                  </w:p>
                </w:txbxContent>
              </v:textbox>
              <w10:wrap type="none"/>
            </v:shape>
            <v:shape style="position:absolute;left:3986;top:3110;width:229;height:201" type="#_x0000_t202" id="docshape794" filled="false" stroked="false">
              <v:textbox inset="0,0,0,0">
                <w:txbxContent>
                  <w:p>
                    <w:pPr>
                      <w:spacing w:line="199" w:lineRule="exact" w:before="0"/>
                      <w:ind w:left="0" w:right="0" w:firstLine="0"/>
                      <w:jc w:val="left"/>
                      <w:rPr>
                        <w:rFonts w:ascii="Tahoma"/>
                        <w:sz w:val="20"/>
                      </w:rPr>
                    </w:pPr>
                    <w:r>
                      <w:rPr>
                        <w:rFonts w:ascii="Tahoma"/>
                        <w:spacing w:val="-5"/>
                        <w:sz w:val="20"/>
                      </w:rPr>
                      <w:t>L3</w:t>
                    </w:r>
                  </w:p>
                </w:txbxContent>
              </v:textbox>
              <w10:wrap type="none"/>
            </v:shape>
            <v:shape style="position:absolute;left:3981;top:3780;width:229;height:201" type="#_x0000_t202" id="docshape795" filled="false" stroked="false">
              <v:textbox inset="0,0,0,0">
                <w:txbxContent>
                  <w:p>
                    <w:pPr>
                      <w:spacing w:line="199" w:lineRule="exact" w:before="0"/>
                      <w:ind w:left="0" w:right="0" w:firstLine="0"/>
                      <w:jc w:val="left"/>
                      <w:rPr>
                        <w:rFonts w:ascii="Tahoma"/>
                        <w:sz w:val="20"/>
                      </w:rPr>
                    </w:pPr>
                    <w:r>
                      <w:rPr>
                        <w:rFonts w:ascii="Tahoma"/>
                        <w:spacing w:val="-5"/>
                        <w:sz w:val="20"/>
                      </w:rPr>
                      <w:t>L4</w:t>
                    </w:r>
                  </w:p>
                </w:txbxContent>
              </v:textbox>
              <w10:wrap type="none"/>
            </v:shape>
            <v:shape style="position:absolute;left:1569;top:4706;width:3900;height:194" type="#_x0000_t202" id="docshape796" filled="false" stroked="false">
              <v:textbox inset="0,0,0,0">
                <w:txbxContent>
                  <w:p>
                    <w:pPr>
                      <w:spacing w:before="7"/>
                      <w:ind w:left="0" w:right="0" w:firstLine="0"/>
                      <w:jc w:val="left"/>
                      <w:rPr>
                        <w:sz w:val="16"/>
                      </w:rPr>
                    </w:pPr>
                    <w:r>
                      <w:rPr>
                        <w:sz w:val="16"/>
                      </w:rPr>
                      <w:t>FIGURE</w:t>
                    </w:r>
                    <w:r>
                      <w:rPr>
                        <w:spacing w:val="2"/>
                        <w:sz w:val="16"/>
                      </w:rPr>
                      <w:t> </w:t>
                    </w:r>
                    <w:r>
                      <w:rPr>
                        <w:sz w:val="16"/>
                      </w:rPr>
                      <w:t>8.7:</w:t>
                    </w:r>
                    <w:r>
                      <w:rPr>
                        <w:spacing w:val="3"/>
                        <w:sz w:val="16"/>
                      </w:rPr>
                      <w:t> </w:t>
                    </w:r>
                    <w:r>
                      <w:rPr>
                        <w:sz w:val="16"/>
                      </w:rPr>
                      <w:t>Three</w:t>
                    </w:r>
                    <w:r>
                      <w:rPr>
                        <w:spacing w:val="3"/>
                        <w:sz w:val="16"/>
                      </w:rPr>
                      <w:t> </w:t>
                    </w:r>
                    <w:r>
                      <w:rPr>
                        <w:sz w:val="16"/>
                      </w:rPr>
                      <w:t>types</w:t>
                    </w:r>
                    <w:r>
                      <w:rPr>
                        <w:spacing w:val="2"/>
                        <w:sz w:val="16"/>
                      </w:rPr>
                      <w:t> </w:t>
                    </w:r>
                    <w:r>
                      <w:rPr>
                        <w:sz w:val="16"/>
                      </w:rPr>
                      <w:t>of</w:t>
                    </w:r>
                    <w:r>
                      <w:rPr>
                        <w:spacing w:val="2"/>
                        <w:sz w:val="16"/>
                      </w:rPr>
                      <w:t> </w:t>
                    </w:r>
                    <w:r>
                      <w:rPr>
                        <w:sz w:val="16"/>
                      </w:rPr>
                      <w:t>entry</w:t>
                    </w:r>
                    <w:r>
                      <w:rPr>
                        <w:spacing w:val="2"/>
                        <w:sz w:val="16"/>
                      </w:rPr>
                      <w:t> </w:t>
                    </w:r>
                    <w:r>
                      <w:rPr>
                        <w:sz w:val="16"/>
                      </w:rPr>
                      <w:t>options</w:t>
                    </w:r>
                    <w:r>
                      <w:rPr>
                        <w:spacing w:val="3"/>
                        <w:sz w:val="16"/>
                      </w:rPr>
                      <w:t> </w:t>
                    </w:r>
                    <w:r>
                      <w:rPr>
                        <w:sz w:val="16"/>
                      </w:rPr>
                      <w:t>in</w:t>
                    </w:r>
                    <w:r>
                      <w:rPr>
                        <w:spacing w:val="2"/>
                        <w:sz w:val="16"/>
                      </w:rPr>
                      <w:t> </w:t>
                    </w:r>
                    <w:r>
                      <w:rPr>
                        <w:sz w:val="16"/>
                      </w:rPr>
                      <w:t>a</w:t>
                    </w:r>
                    <w:r>
                      <w:rPr>
                        <w:spacing w:val="2"/>
                        <w:sz w:val="16"/>
                      </w:rPr>
                      <w:t> </w:t>
                    </w:r>
                    <w:r>
                      <w:rPr>
                        <w:sz w:val="16"/>
                      </w:rPr>
                      <w:t>bullish</w:t>
                    </w:r>
                    <w:r>
                      <w:rPr>
                        <w:spacing w:val="3"/>
                        <w:sz w:val="16"/>
                      </w:rPr>
                      <w:t> </w:t>
                    </w:r>
                    <w:r>
                      <w:rPr>
                        <w:spacing w:val="-2"/>
                        <w:sz w:val="16"/>
                      </w:rPr>
                      <w:t>trend</w:t>
                    </w:r>
                  </w:p>
                </w:txbxContent>
              </v:textbox>
              <w10:wrap type="none"/>
            </v:shape>
            <v:shape style="position:absolute;left:3966;top:6510;width:265;height:201" type="#_x0000_t202" id="docshape797" filled="false" stroked="false">
              <v:textbox inset="0,0,0,0">
                <w:txbxContent>
                  <w:p>
                    <w:pPr>
                      <w:spacing w:line="199" w:lineRule="exact" w:before="0"/>
                      <w:ind w:left="0" w:right="0" w:firstLine="0"/>
                      <w:jc w:val="left"/>
                      <w:rPr>
                        <w:rFonts w:ascii="Tahoma"/>
                        <w:sz w:val="20"/>
                      </w:rPr>
                    </w:pPr>
                    <w:r>
                      <w:rPr>
                        <w:rFonts w:ascii="Tahoma"/>
                        <w:spacing w:val="-5"/>
                        <w:sz w:val="20"/>
                      </w:rPr>
                      <w:t>H4</w:t>
                    </w:r>
                  </w:p>
                </w:txbxContent>
              </v:textbox>
              <w10:wrap type="none"/>
            </v:shape>
            <v:shape style="position:absolute;left:3978;top:7200;width:265;height:201" type="#_x0000_t202" id="docshape798" filled="false" stroked="false">
              <v:textbox inset="0,0,0,0">
                <w:txbxContent>
                  <w:p>
                    <w:pPr>
                      <w:spacing w:line="199" w:lineRule="exact" w:before="0"/>
                      <w:ind w:left="0" w:right="0" w:firstLine="0"/>
                      <w:jc w:val="left"/>
                      <w:rPr>
                        <w:rFonts w:ascii="Tahoma"/>
                        <w:sz w:val="20"/>
                      </w:rPr>
                    </w:pPr>
                    <w:r>
                      <w:rPr>
                        <w:rFonts w:ascii="Tahoma"/>
                        <w:spacing w:val="-5"/>
                        <w:sz w:val="20"/>
                      </w:rPr>
                      <w:t>H3</w:t>
                    </w:r>
                  </w:p>
                </w:txbxContent>
              </v:textbox>
              <w10:wrap type="none"/>
            </v:shape>
            <v:shape style="position:absolute;left:4012;top:8688;width:229;height:201" type="#_x0000_t202" id="docshape799" filled="false" stroked="false">
              <v:textbox inset="0,0,0,0">
                <w:txbxContent>
                  <w:p>
                    <w:pPr>
                      <w:spacing w:line="199" w:lineRule="exact" w:before="0"/>
                      <w:ind w:left="0" w:right="0" w:firstLine="0"/>
                      <w:jc w:val="left"/>
                      <w:rPr>
                        <w:rFonts w:ascii="Tahoma"/>
                        <w:sz w:val="20"/>
                      </w:rPr>
                    </w:pPr>
                    <w:r>
                      <w:rPr>
                        <w:rFonts w:ascii="Tahoma"/>
                        <w:spacing w:val="-5"/>
                        <w:sz w:val="20"/>
                      </w:rPr>
                      <w:t>L3</w:t>
                    </w:r>
                  </w:p>
                </w:txbxContent>
              </v:textbox>
              <w10:wrap type="none"/>
            </v:shape>
            <v:shape style="position:absolute;left:1612;top:5109;width:5774;height:583" type="#_x0000_t202" id="docshape800" filled="true" fillcolor="#000000" stroked="false">
              <v:textbox inset="0,0,0,0">
                <w:txbxContent>
                  <w:p>
                    <w:pPr>
                      <w:spacing w:before="95"/>
                      <w:ind w:left="613" w:right="0" w:firstLine="0"/>
                      <w:jc w:val="left"/>
                      <w:rPr>
                        <w:rFonts w:ascii="Verdana"/>
                        <w:color w:val="000000"/>
                        <w:sz w:val="28"/>
                      </w:rPr>
                    </w:pPr>
                    <w:r>
                      <w:rPr>
                        <w:rFonts w:ascii="Verdana"/>
                        <w:color w:val="FFFFFF"/>
                        <w:sz w:val="28"/>
                      </w:rPr>
                      <w:t>Entry</w:t>
                    </w:r>
                    <w:r>
                      <w:rPr>
                        <w:rFonts w:ascii="Verdana"/>
                        <w:color w:val="FFFFFF"/>
                        <w:spacing w:val="-15"/>
                        <w:sz w:val="28"/>
                      </w:rPr>
                      <w:t> </w:t>
                    </w:r>
                    <w:r>
                      <w:rPr>
                        <w:rFonts w:ascii="Verdana"/>
                        <w:color w:val="FFFFFF"/>
                        <w:sz w:val="28"/>
                      </w:rPr>
                      <w:t>Options</w:t>
                    </w:r>
                    <w:r>
                      <w:rPr>
                        <w:rFonts w:ascii="Verdana"/>
                        <w:color w:val="FFFFFF"/>
                        <w:spacing w:val="-15"/>
                        <w:sz w:val="28"/>
                      </w:rPr>
                      <w:t> </w:t>
                    </w:r>
                    <w:r>
                      <w:rPr>
                        <w:rFonts w:ascii="Verdana"/>
                        <w:color w:val="FFFFFF"/>
                        <w:sz w:val="28"/>
                      </w:rPr>
                      <w:t>in</w:t>
                    </w:r>
                    <w:r>
                      <w:rPr>
                        <w:rFonts w:ascii="Verdana"/>
                        <w:color w:val="FFFFFF"/>
                        <w:spacing w:val="-15"/>
                        <w:sz w:val="28"/>
                      </w:rPr>
                      <w:t> </w:t>
                    </w:r>
                    <w:r>
                      <w:rPr>
                        <w:rFonts w:ascii="Verdana"/>
                        <w:color w:val="FFFFFF"/>
                        <w:sz w:val="28"/>
                      </w:rPr>
                      <w:t>a</w:t>
                    </w:r>
                    <w:r>
                      <w:rPr>
                        <w:rFonts w:ascii="Verdana"/>
                        <w:color w:val="FFFFFF"/>
                        <w:spacing w:val="-14"/>
                        <w:sz w:val="28"/>
                      </w:rPr>
                      <w:t> </w:t>
                    </w:r>
                    <w:r>
                      <w:rPr>
                        <w:rFonts w:ascii="Verdana"/>
                        <w:color w:val="FFFFFF"/>
                        <w:sz w:val="28"/>
                      </w:rPr>
                      <w:t>Bearish</w:t>
                    </w:r>
                    <w:r>
                      <w:rPr>
                        <w:rFonts w:ascii="Verdana"/>
                        <w:color w:val="FFFFFF"/>
                        <w:spacing w:val="-14"/>
                        <w:sz w:val="28"/>
                      </w:rPr>
                      <w:t> </w:t>
                    </w:r>
                    <w:r>
                      <w:rPr>
                        <w:rFonts w:ascii="Verdana"/>
                        <w:color w:val="FFFFFF"/>
                        <w:spacing w:val="-2"/>
                        <w:sz w:val="28"/>
                      </w:rPr>
                      <w:t>Trend</w:t>
                    </w:r>
                  </w:p>
                </w:txbxContent>
              </v:textbox>
              <v:fill type="solid"/>
              <w10:wrap type="none"/>
            </v:shape>
            <v:shape style="position:absolute;left:4779;top:9293;width:490;height:201" type="#_x0000_t202" id="docshape801" filled="false" stroked="false">
              <v:textbox inset="0,0,0,0">
                <w:txbxContent>
                  <w:p>
                    <w:pPr>
                      <w:spacing w:line="199" w:lineRule="exact" w:before="0"/>
                      <w:ind w:left="0" w:right="0" w:firstLine="0"/>
                      <w:jc w:val="left"/>
                      <w:rPr>
                        <w:rFonts w:ascii="Tahoma"/>
                        <w:sz w:val="20"/>
                      </w:rPr>
                    </w:pPr>
                    <w:r>
                      <w:rPr>
                        <w:rFonts w:ascii="Tahoma"/>
                        <w:spacing w:val="-4"/>
                        <w:sz w:val="20"/>
                      </w:rPr>
                      <w:t>Open</w:t>
                    </w:r>
                  </w:p>
                </w:txbxContent>
              </v:textbox>
              <w10:wrap type="none"/>
            </v:shape>
            <v:shape style="position:absolute;left:4856;top:8669;width:329;height:201" type="#_x0000_t202" id="docshape802" filled="false" stroked="false">
              <v:textbox inset="0,0,0,0">
                <w:txbxContent>
                  <w:p>
                    <w:pPr>
                      <w:spacing w:line="199" w:lineRule="exact" w:before="0"/>
                      <w:ind w:left="0" w:right="0" w:firstLine="0"/>
                      <w:jc w:val="left"/>
                      <w:rPr>
                        <w:rFonts w:ascii="Tahoma"/>
                        <w:sz w:val="20"/>
                      </w:rPr>
                    </w:pPr>
                    <w:r>
                      <w:rPr>
                        <w:rFonts w:ascii="Tahoma"/>
                        <w:spacing w:val="-4"/>
                        <w:sz w:val="20"/>
                      </w:rPr>
                      <w:t>Sell</w:t>
                    </w:r>
                  </w:p>
                </w:txbxContent>
              </v:textbox>
              <w10:wrap type="none"/>
            </v:shape>
            <v:shape style="position:absolute;left:4780;top:7852;width:490;height:201" type="#_x0000_t202" id="docshape803" filled="false" stroked="false">
              <v:textbox inset="0,0,0,0">
                <w:txbxContent>
                  <w:p>
                    <w:pPr>
                      <w:spacing w:line="199" w:lineRule="exact" w:before="0"/>
                      <w:ind w:left="0" w:right="0" w:firstLine="0"/>
                      <w:jc w:val="left"/>
                      <w:rPr>
                        <w:rFonts w:ascii="Tahoma"/>
                        <w:sz w:val="20"/>
                      </w:rPr>
                    </w:pPr>
                    <w:r>
                      <w:rPr>
                        <w:rFonts w:ascii="Tahoma"/>
                        <w:spacing w:val="-4"/>
                        <w:sz w:val="20"/>
                      </w:rPr>
                      <w:t>Open</w:t>
                    </w:r>
                  </w:p>
                </w:txbxContent>
              </v:textbox>
              <w10:wrap type="none"/>
            </v:shape>
            <v:shape style="position:absolute;left:4851;top:7198;width:329;height:201" type="#_x0000_t202" id="docshape804" filled="false" stroked="false">
              <v:textbox inset="0,0,0,0">
                <w:txbxContent>
                  <w:p>
                    <w:pPr>
                      <w:spacing w:line="199" w:lineRule="exact" w:before="0"/>
                      <w:ind w:left="0" w:right="0" w:firstLine="0"/>
                      <w:jc w:val="left"/>
                      <w:rPr>
                        <w:rFonts w:ascii="Tahoma"/>
                        <w:sz w:val="20"/>
                      </w:rPr>
                    </w:pPr>
                    <w:r>
                      <w:rPr>
                        <w:rFonts w:ascii="Tahoma"/>
                        <w:spacing w:val="-4"/>
                        <w:sz w:val="20"/>
                      </w:rPr>
                      <w:t>Sell</w:t>
                    </w:r>
                  </w:p>
                </w:txbxContent>
              </v:textbox>
              <w10:wrap type="none"/>
            </v:shape>
            <v:shape style="position:absolute;left:4846;top:6504;width:349;height:201" type="#_x0000_t202" id="docshape805" filled="false" stroked="false">
              <v:textbox inset="0,0,0,0">
                <w:txbxContent>
                  <w:p>
                    <w:pPr>
                      <w:spacing w:line="199" w:lineRule="exact" w:before="0"/>
                      <w:ind w:left="0" w:right="0" w:firstLine="0"/>
                      <w:jc w:val="left"/>
                      <w:rPr>
                        <w:rFonts w:ascii="Tahoma"/>
                        <w:sz w:val="20"/>
                      </w:rPr>
                    </w:pPr>
                    <w:r>
                      <w:rPr>
                        <w:rFonts w:ascii="Tahoma"/>
                        <w:spacing w:val="-5"/>
                        <w:sz w:val="20"/>
                      </w:rPr>
                      <w:t>Buy</w:t>
                    </w:r>
                  </w:p>
                </w:txbxContent>
              </v:textbox>
              <w10:wrap type="none"/>
            </v:shape>
            <v:shape style="position:absolute;left:4779;top:5864;width:490;height:201" type="#_x0000_t202" id="docshape806" filled="false" stroked="false">
              <v:textbox inset="0,0,0,0">
                <w:txbxContent>
                  <w:p>
                    <w:pPr>
                      <w:spacing w:line="199" w:lineRule="exact" w:before="0"/>
                      <w:ind w:left="0" w:right="0" w:firstLine="0"/>
                      <w:jc w:val="left"/>
                      <w:rPr>
                        <w:rFonts w:ascii="Tahoma"/>
                        <w:sz w:val="20"/>
                      </w:rPr>
                    </w:pPr>
                    <w:r>
                      <w:rPr>
                        <w:rFonts w:ascii="Tahoma"/>
                        <w:spacing w:val="-4"/>
                        <w:sz w:val="20"/>
                      </w:rPr>
                      <w:t>Open</w:t>
                    </w:r>
                  </w:p>
                </w:txbxContent>
              </v:textbox>
              <w10:wrap type="none"/>
            </v:shape>
            <v:shape style="position:absolute;left:1612;top:209;width:5774;height:584" type="#_x0000_t202" id="docshape807" filled="true" fillcolor="#000000" stroked="false">
              <v:textbox inset="0,0,0,0">
                <w:txbxContent>
                  <w:p>
                    <w:pPr>
                      <w:spacing w:before="95"/>
                      <w:ind w:left="666" w:right="0" w:firstLine="0"/>
                      <w:jc w:val="left"/>
                      <w:rPr>
                        <w:rFonts w:ascii="Verdana"/>
                        <w:color w:val="000000"/>
                        <w:sz w:val="28"/>
                      </w:rPr>
                    </w:pPr>
                    <w:r>
                      <w:rPr>
                        <w:rFonts w:ascii="Verdana"/>
                        <w:color w:val="FFFFFF"/>
                        <w:sz w:val="28"/>
                      </w:rPr>
                      <w:t>Entry</w:t>
                    </w:r>
                    <w:r>
                      <w:rPr>
                        <w:rFonts w:ascii="Verdana"/>
                        <w:color w:val="FFFFFF"/>
                        <w:spacing w:val="-11"/>
                        <w:sz w:val="28"/>
                      </w:rPr>
                      <w:t> </w:t>
                    </w:r>
                    <w:r>
                      <w:rPr>
                        <w:rFonts w:ascii="Verdana"/>
                        <w:color w:val="FFFFFF"/>
                        <w:sz w:val="28"/>
                      </w:rPr>
                      <w:t>Options</w:t>
                    </w:r>
                    <w:r>
                      <w:rPr>
                        <w:rFonts w:ascii="Verdana"/>
                        <w:color w:val="FFFFFF"/>
                        <w:spacing w:val="-11"/>
                        <w:sz w:val="28"/>
                      </w:rPr>
                      <w:t> </w:t>
                    </w:r>
                    <w:r>
                      <w:rPr>
                        <w:rFonts w:ascii="Verdana"/>
                        <w:color w:val="FFFFFF"/>
                        <w:sz w:val="28"/>
                      </w:rPr>
                      <w:t>in</w:t>
                    </w:r>
                    <w:r>
                      <w:rPr>
                        <w:rFonts w:ascii="Verdana"/>
                        <w:color w:val="FFFFFF"/>
                        <w:spacing w:val="-12"/>
                        <w:sz w:val="28"/>
                      </w:rPr>
                      <w:t> </w:t>
                    </w:r>
                    <w:r>
                      <w:rPr>
                        <w:rFonts w:ascii="Verdana"/>
                        <w:color w:val="FFFFFF"/>
                        <w:sz w:val="28"/>
                      </w:rPr>
                      <w:t>a</w:t>
                    </w:r>
                    <w:r>
                      <w:rPr>
                        <w:rFonts w:ascii="Verdana"/>
                        <w:color w:val="FFFFFF"/>
                        <w:spacing w:val="-10"/>
                        <w:sz w:val="28"/>
                      </w:rPr>
                      <w:t> </w:t>
                    </w:r>
                    <w:r>
                      <w:rPr>
                        <w:rFonts w:ascii="Verdana"/>
                        <w:color w:val="FFFFFF"/>
                        <w:sz w:val="28"/>
                      </w:rPr>
                      <w:t>Bullish</w:t>
                    </w:r>
                    <w:r>
                      <w:rPr>
                        <w:rFonts w:ascii="Verdana"/>
                        <w:color w:val="FFFFFF"/>
                        <w:spacing w:val="-11"/>
                        <w:sz w:val="28"/>
                      </w:rPr>
                      <w:t> </w:t>
                    </w:r>
                    <w:r>
                      <w:rPr>
                        <w:rFonts w:ascii="Verdana"/>
                        <w:color w:val="FFFFFF"/>
                        <w:spacing w:val="-2"/>
                        <w:sz w:val="28"/>
                      </w:rPr>
                      <w:t>Trend</w:t>
                    </w:r>
                  </w:p>
                </w:txbxContent>
              </v:textbox>
              <v:fill type="solid"/>
              <w10:wrap type="none"/>
            </v:shape>
            <v:shape style="position:absolute;left:4788;top:4386;width:490;height:201" type="#_x0000_t202" id="docshape808" filled="false" stroked="false">
              <v:textbox inset="0,0,0,0">
                <w:txbxContent>
                  <w:p>
                    <w:pPr>
                      <w:spacing w:line="199" w:lineRule="exact" w:before="0"/>
                      <w:ind w:left="0" w:right="0" w:firstLine="0"/>
                      <w:jc w:val="left"/>
                      <w:rPr>
                        <w:rFonts w:ascii="Tahoma"/>
                        <w:sz w:val="20"/>
                      </w:rPr>
                    </w:pPr>
                    <w:r>
                      <w:rPr>
                        <w:rFonts w:ascii="Tahoma"/>
                        <w:spacing w:val="-4"/>
                        <w:sz w:val="20"/>
                      </w:rPr>
                      <w:t>Open</w:t>
                    </w:r>
                  </w:p>
                </w:txbxContent>
              </v:textbox>
              <w10:wrap type="none"/>
            </v:shape>
            <v:shape style="position:absolute;left:4864;top:3762;width:329;height:201" type="#_x0000_t202" id="docshape809" filled="false" stroked="false">
              <v:textbox inset="0,0,0,0">
                <w:txbxContent>
                  <w:p>
                    <w:pPr>
                      <w:spacing w:line="199" w:lineRule="exact" w:before="0"/>
                      <w:ind w:left="0" w:right="0" w:firstLine="0"/>
                      <w:jc w:val="left"/>
                      <w:rPr>
                        <w:rFonts w:ascii="Tahoma"/>
                        <w:sz w:val="20"/>
                      </w:rPr>
                    </w:pPr>
                    <w:r>
                      <w:rPr>
                        <w:rFonts w:ascii="Tahoma"/>
                        <w:spacing w:val="-4"/>
                        <w:sz w:val="20"/>
                      </w:rPr>
                      <w:t>Sell</w:t>
                    </w:r>
                  </w:p>
                </w:txbxContent>
              </v:textbox>
              <w10:wrap type="none"/>
            </v:shape>
            <v:shape style="position:absolute;left:4850;top:3107;width:349;height:201" type="#_x0000_t202" id="docshape810" filled="false" stroked="false">
              <v:textbox inset="0,0,0,0">
                <w:txbxContent>
                  <w:p>
                    <w:pPr>
                      <w:spacing w:line="199" w:lineRule="exact" w:before="0"/>
                      <w:ind w:left="0" w:right="0" w:firstLine="0"/>
                      <w:jc w:val="left"/>
                      <w:rPr>
                        <w:rFonts w:ascii="Tahoma"/>
                        <w:sz w:val="20"/>
                      </w:rPr>
                    </w:pPr>
                    <w:r>
                      <w:rPr>
                        <w:rFonts w:ascii="Tahoma"/>
                        <w:spacing w:val="-5"/>
                        <w:sz w:val="20"/>
                      </w:rPr>
                      <w:t>Buy</w:t>
                    </w:r>
                  </w:p>
                </w:txbxContent>
              </v:textbox>
              <w10:wrap type="none"/>
            </v:shape>
            <v:shape style="position:absolute;left:4780;top:2367;width:490;height:201" type="#_x0000_t202" id="docshape811" filled="false" stroked="false">
              <v:textbox inset="0,0,0,0">
                <w:txbxContent>
                  <w:p>
                    <w:pPr>
                      <w:spacing w:line="199" w:lineRule="exact" w:before="0"/>
                      <w:ind w:left="0" w:right="0" w:firstLine="0"/>
                      <w:jc w:val="left"/>
                      <w:rPr>
                        <w:rFonts w:ascii="Tahoma"/>
                        <w:sz w:val="20"/>
                      </w:rPr>
                    </w:pPr>
                    <w:r>
                      <w:rPr>
                        <w:rFonts w:ascii="Tahoma"/>
                        <w:spacing w:val="-4"/>
                        <w:sz w:val="20"/>
                      </w:rPr>
                      <w:t>Open</w:t>
                    </w:r>
                  </w:p>
                </w:txbxContent>
              </v:textbox>
              <w10:wrap type="none"/>
            </v:shape>
            <v:shape style="position:absolute;left:4855;top:1596;width:349;height:201" type="#_x0000_t202" id="docshape812" filled="false" stroked="false">
              <v:textbox inset="0,0,0,0">
                <w:txbxContent>
                  <w:p>
                    <w:pPr>
                      <w:spacing w:line="199" w:lineRule="exact" w:before="0"/>
                      <w:ind w:left="0" w:right="0" w:firstLine="0"/>
                      <w:jc w:val="left"/>
                      <w:rPr>
                        <w:rFonts w:ascii="Tahoma"/>
                        <w:sz w:val="20"/>
                      </w:rPr>
                    </w:pPr>
                    <w:r>
                      <w:rPr>
                        <w:rFonts w:ascii="Tahoma"/>
                        <w:spacing w:val="-5"/>
                        <w:sz w:val="20"/>
                      </w:rPr>
                      <w:t>Buy</w:t>
                    </w:r>
                  </w:p>
                </w:txbxContent>
              </v:textbox>
              <w10:wrap type="none"/>
            </v:shape>
            <v:shape style="position:absolute;left:4788;top:957;width:490;height:201" type="#_x0000_t202" id="docshape813" filled="false" stroked="false">
              <v:textbox inset="0,0,0,0">
                <w:txbxContent>
                  <w:p>
                    <w:pPr>
                      <w:spacing w:line="199" w:lineRule="exact" w:before="0"/>
                      <w:ind w:left="0" w:right="0" w:firstLine="0"/>
                      <w:jc w:val="left"/>
                      <w:rPr>
                        <w:rFonts w:ascii="Tahoma"/>
                        <w:sz w:val="20"/>
                      </w:rPr>
                    </w:pPr>
                    <w:r>
                      <w:rPr>
                        <w:rFonts w:ascii="Tahoma"/>
                        <w:spacing w:val="-4"/>
                        <w:sz w:val="20"/>
                      </w:rPr>
                      <w:t>Open</w:t>
                    </w:r>
                  </w:p>
                </w:txbxContent>
              </v:textbox>
              <w10:wrap type="none"/>
            </v:shape>
            <w10:wrap type="topAndBottom"/>
          </v:group>
        </w:pict>
      </w:r>
    </w:p>
    <w:p>
      <w:pPr>
        <w:spacing w:line="181" w:lineRule="exact" w:before="0"/>
        <w:ind w:left="989" w:right="0" w:firstLine="0"/>
        <w:jc w:val="left"/>
        <w:rPr>
          <w:sz w:val="16"/>
        </w:rPr>
      </w:pPr>
      <w:r>
        <w:rPr>
          <w:sz w:val="16"/>
        </w:rPr>
        <w:t>FIGURE</w:t>
      </w:r>
      <w:r>
        <w:rPr>
          <w:spacing w:val="2"/>
          <w:sz w:val="16"/>
        </w:rPr>
        <w:t> </w:t>
      </w:r>
      <w:r>
        <w:rPr>
          <w:sz w:val="16"/>
        </w:rPr>
        <w:t>8.8:</w:t>
      </w:r>
      <w:r>
        <w:rPr>
          <w:spacing w:val="3"/>
          <w:sz w:val="16"/>
        </w:rPr>
        <w:t> </w:t>
      </w:r>
      <w:r>
        <w:rPr>
          <w:sz w:val="16"/>
        </w:rPr>
        <w:t>Three</w:t>
      </w:r>
      <w:r>
        <w:rPr>
          <w:spacing w:val="3"/>
          <w:sz w:val="16"/>
        </w:rPr>
        <w:t> </w:t>
      </w:r>
      <w:r>
        <w:rPr>
          <w:sz w:val="16"/>
        </w:rPr>
        <w:t>types</w:t>
      </w:r>
      <w:r>
        <w:rPr>
          <w:spacing w:val="2"/>
          <w:sz w:val="16"/>
        </w:rPr>
        <w:t> </w:t>
      </w:r>
      <w:r>
        <w:rPr>
          <w:sz w:val="16"/>
        </w:rPr>
        <w:t>of</w:t>
      </w:r>
      <w:r>
        <w:rPr>
          <w:spacing w:val="2"/>
          <w:sz w:val="16"/>
        </w:rPr>
        <w:t> </w:t>
      </w:r>
      <w:r>
        <w:rPr>
          <w:sz w:val="16"/>
        </w:rPr>
        <w:t>entry</w:t>
      </w:r>
      <w:r>
        <w:rPr>
          <w:spacing w:val="2"/>
          <w:sz w:val="16"/>
        </w:rPr>
        <w:t> </w:t>
      </w:r>
      <w:r>
        <w:rPr>
          <w:sz w:val="16"/>
        </w:rPr>
        <w:t>options</w:t>
      </w:r>
      <w:r>
        <w:rPr>
          <w:spacing w:val="3"/>
          <w:sz w:val="16"/>
        </w:rPr>
        <w:t> </w:t>
      </w:r>
      <w:r>
        <w:rPr>
          <w:sz w:val="16"/>
        </w:rPr>
        <w:t>in</w:t>
      </w:r>
      <w:r>
        <w:rPr>
          <w:spacing w:val="2"/>
          <w:sz w:val="16"/>
        </w:rPr>
        <w:t> </w:t>
      </w:r>
      <w:r>
        <w:rPr>
          <w:sz w:val="16"/>
        </w:rPr>
        <w:t>a</w:t>
      </w:r>
      <w:r>
        <w:rPr>
          <w:spacing w:val="2"/>
          <w:sz w:val="16"/>
        </w:rPr>
        <w:t> </w:t>
      </w:r>
      <w:r>
        <w:rPr>
          <w:sz w:val="16"/>
        </w:rPr>
        <w:t>bearish</w:t>
      </w:r>
      <w:r>
        <w:rPr>
          <w:spacing w:val="3"/>
          <w:sz w:val="16"/>
        </w:rPr>
        <w:t> </w:t>
      </w:r>
      <w:r>
        <w:rPr>
          <w:spacing w:val="-2"/>
          <w:sz w:val="16"/>
        </w:rPr>
        <w:t>trend</w:t>
      </w:r>
    </w:p>
    <w:p>
      <w:pPr>
        <w:spacing w:after="0" w:line="181" w:lineRule="exact"/>
        <w:jc w:val="left"/>
        <w:rPr>
          <w:sz w:val="16"/>
        </w:rPr>
        <w:sectPr>
          <w:pgSz w:w="8640" w:h="12960"/>
          <w:pgMar w:header="536" w:footer="1060" w:top="720" w:bottom="1200" w:left="580" w:right="580"/>
        </w:sectPr>
      </w:pPr>
    </w:p>
    <w:p>
      <w:pPr>
        <w:pStyle w:val="BodyText"/>
        <w:spacing w:before="5"/>
        <w:rPr>
          <w:sz w:val="18"/>
        </w:rPr>
      </w:pPr>
    </w:p>
    <w:p>
      <w:pPr>
        <w:pStyle w:val="BodyText"/>
        <w:spacing w:before="64"/>
        <w:ind w:left="140" w:right="496" w:firstLine="432"/>
        <w:jc w:val="both"/>
      </w:pPr>
      <w:r>
        <w:rPr/>
        <w:t>The next three examples will illustrate each of the three options for entering bullish and bearish trends. The first example, Figure 8.9, shows a fifteen-minute chart of Research In Motion, Ltd. that has formed both Overlapping Lower Value and Lower Value relationships in consecutive sessions. Each of these relationships indicates continued weakness in the following session if the opening print accepts, or confirms, this expected behavior. In both of these sessions, price opened the day within the third</w:t>
      </w:r>
      <w:r>
        <w:rPr>
          <w:spacing w:val="40"/>
        </w:rPr>
        <w:t> </w:t>
      </w:r>
      <w:r>
        <w:rPr/>
        <w:t>layer of the Camarilla indicator, thereby leading us to watch H3 for any selling opportunities.</w:t>
      </w:r>
    </w:p>
    <w:p>
      <w:pPr>
        <w:pStyle w:val="BodyText"/>
        <w:ind w:left="140" w:right="495" w:firstLine="432"/>
        <w:jc w:val="both"/>
      </w:pPr>
      <w:r>
        <w:rPr/>
        <w:t>In both cases, price pushed higher in the morning and found responsive sellers at</w:t>
      </w:r>
      <w:r>
        <w:rPr>
          <w:spacing w:val="-1"/>
        </w:rPr>
        <w:t> </w:t>
      </w:r>
      <w:r>
        <w:rPr/>
        <w:t>H3, which</w:t>
      </w:r>
      <w:r>
        <w:rPr>
          <w:spacing w:val="-1"/>
        </w:rPr>
        <w:t> </w:t>
      </w:r>
      <w:r>
        <w:rPr/>
        <w:t>ultimately</w:t>
      </w:r>
      <w:r>
        <w:rPr>
          <w:spacing w:val="-1"/>
        </w:rPr>
        <w:t> </w:t>
      </w:r>
      <w:r>
        <w:rPr/>
        <w:t>led</w:t>
      </w:r>
      <w:r>
        <w:rPr>
          <w:spacing w:val="-1"/>
        </w:rPr>
        <w:t> </w:t>
      </w:r>
      <w:r>
        <w:rPr/>
        <w:t>to</w:t>
      </w:r>
      <w:r>
        <w:rPr>
          <w:spacing w:val="-1"/>
        </w:rPr>
        <w:t> </w:t>
      </w:r>
      <w:r>
        <w:rPr/>
        <w:t>weakness</w:t>
      </w:r>
      <w:r>
        <w:rPr>
          <w:spacing w:val="-1"/>
        </w:rPr>
        <w:t> </w:t>
      </w:r>
      <w:r>
        <w:rPr/>
        <w:t>the</w:t>
      </w:r>
      <w:r>
        <w:rPr>
          <w:spacing w:val="-1"/>
        </w:rPr>
        <w:t> </w:t>
      </w:r>
      <w:r>
        <w:rPr/>
        <w:t>remainder</w:t>
      </w:r>
      <w:r>
        <w:rPr>
          <w:spacing w:val="-1"/>
        </w:rPr>
        <w:t> </w:t>
      </w:r>
      <w:r>
        <w:rPr/>
        <w:t>of</w:t>
      </w:r>
      <w:r>
        <w:rPr>
          <w:spacing w:val="-1"/>
        </w:rPr>
        <w:t> </w:t>
      </w:r>
      <w:r>
        <w:rPr/>
        <w:t>the</w:t>
      </w:r>
      <w:r>
        <w:rPr>
          <w:spacing w:val="-1"/>
        </w:rPr>
        <w:t> </w:t>
      </w:r>
      <w:r>
        <w:rPr/>
        <w:t>sessions. Furthermore, since bearish trends have both lower highs and lower lows, the expected outcome is to play the move to a new low within the trend, or at least to a prior low, which also worked out as expected. This is the type of behavior you would typically expect, especially when the market has developed an established trend.</w:t>
      </w:r>
    </w:p>
    <w:p>
      <w:pPr>
        <w:pStyle w:val="BodyText"/>
        <w:spacing w:before="2"/>
        <w:rPr>
          <w:sz w:val="20"/>
        </w:rPr>
      </w:pPr>
      <w:r>
        <w:rPr/>
        <w:drawing>
          <wp:anchor distT="0" distB="0" distL="0" distR="0" allowOverlap="1" layoutInCell="1" locked="0" behindDoc="0" simplePos="0" relativeHeight="279">
            <wp:simplePos x="0" y="0"/>
            <wp:positionH relativeFrom="page">
              <wp:posOffset>457200</wp:posOffset>
            </wp:positionH>
            <wp:positionV relativeFrom="paragraph">
              <wp:posOffset>162641</wp:posOffset>
            </wp:positionV>
            <wp:extent cx="4342239" cy="3111722"/>
            <wp:effectExtent l="0" t="0" r="0" b="0"/>
            <wp:wrapTopAndBottom/>
            <wp:docPr id="233" name="image123.png"/>
            <wp:cNvGraphicFramePr>
              <a:graphicFrameLocks noChangeAspect="1"/>
            </wp:cNvGraphicFramePr>
            <a:graphic>
              <a:graphicData uri="http://schemas.openxmlformats.org/drawingml/2006/picture">
                <pic:pic>
                  <pic:nvPicPr>
                    <pic:cNvPr id="234" name="image123.png"/>
                    <pic:cNvPicPr/>
                  </pic:nvPicPr>
                  <pic:blipFill>
                    <a:blip r:embed="rId258" cstate="print"/>
                    <a:stretch>
                      <a:fillRect/>
                    </a:stretch>
                  </pic:blipFill>
                  <pic:spPr>
                    <a:xfrm>
                      <a:off x="0" y="0"/>
                      <a:ext cx="4342239" cy="3111722"/>
                    </a:xfrm>
                    <a:prstGeom prst="rect">
                      <a:avLst/>
                    </a:prstGeom>
                  </pic:spPr>
                </pic:pic>
              </a:graphicData>
            </a:graphic>
          </wp:anchor>
        </w:drawing>
      </w:r>
    </w:p>
    <w:p>
      <w:pPr>
        <w:spacing w:before="0"/>
        <w:ind w:left="140" w:right="0" w:firstLine="0"/>
        <w:jc w:val="left"/>
        <w:rPr>
          <w:sz w:val="16"/>
        </w:rPr>
      </w:pPr>
      <w:r>
        <w:rPr>
          <w:sz w:val="16"/>
        </w:rPr>
        <w:t>FIGURE</w:t>
      </w:r>
      <w:r>
        <w:rPr>
          <w:spacing w:val="1"/>
          <w:sz w:val="16"/>
        </w:rPr>
        <w:t> </w:t>
      </w:r>
      <w:r>
        <w:rPr>
          <w:sz w:val="16"/>
        </w:rPr>
        <w:t>8.9:</w:t>
      </w:r>
      <w:r>
        <w:rPr>
          <w:spacing w:val="2"/>
          <w:sz w:val="16"/>
        </w:rPr>
        <w:t> </w:t>
      </w:r>
      <w:r>
        <w:rPr>
          <w:sz w:val="16"/>
        </w:rPr>
        <w:t>If</w:t>
      </w:r>
      <w:r>
        <w:rPr>
          <w:spacing w:val="1"/>
          <w:sz w:val="16"/>
        </w:rPr>
        <w:t> </w:t>
      </w:r>
      <w:r>
        <w:rPr>
          <w:sz w:val="16"/>
        </w:rPr>
        <w:t>price</w:t>
      </w:r>
      <w:r>
        <w:rPr>
          <w:spacing w:val="1"/>
          <w:sz w:val="16"/>
        </w:rPr>
        <w:t> </w:t>
      </w:r>
      <w:r>
        <w:rPr>
          <w:sz w:val="16"/>
        </w:rPr>
        <w:t>opens</w:t>
      </w:r>
      <w:r>
        <w:rPr>
          <w:spacing w:val="1"/>
          <w:sz w:val="16"/>
        </w:rPr>
        <w:t> </w:t>
      </w:r>
      <w:r>
        <w:rPr>
          <w:sz w:val="16"/>
        </w:rPr>
        <w:t>within</w:t>
      </w:r>
      <w:r>
        <w:rPr>
          <w:spacing w:val="1"/>
          <w:sz w:val="16"/>
        </w:rPr>
        <w:t> </w:t>
      </w:r>
      <w:r>
        <w:rPr>
          <w:sz w:val="16"/>
        </w:rPr>
        <w:t>value</w:t>
      </w:r>
      <w:r>
        <w:rPr>
          <w:spacing w:val="1"/>
          <w:sz w:val="16"/>
        </w:rPr>
        <w:t> </w:t>
      </w:r>
      <w:r>
        <w:rPr>
          <w:sz w:val="16"/>
        </w:rPr>
        <w:t>in</w:t>
      </w:r>
      <w:r>
        <w:rPr>
          <w:spacing w:val="1"/>
          <w:sz w:val="16"/>
        </w:rPr>
        <w:t> </w:t>
      </w:r>
      <w:r>
        <w:rPr>
          <w:sz w:val="16"/>
        </w:rPr>
        <w:t>a</w:t>
      </w:r>
      <w:r>
        <w:rPr>
          <w:spacing w:val="2"/>
          <w:sz w:val="16"/>
        </w:rPr>
        <w:t> </w:t>
      </w:r>
      <w:r>
        <w:rPr>
          <w:sz w:val="16"/>
        </w:rPr>
        <w:t>bearish</w:t>
      </w:r>
      <w:r>
        <w:rPr>
          <w:spacing w:val="1"/>
          <w:sz w:val="16"/>
        </w:rPr>
        <w:t> </w:t>
      </w:r>
      <w:r>
        <w:rPr>
          <w:sz w:val="16"/>
        </w:rPr>
        <w:t>trend,</w:t>
      </w:r>
      <w:r>
        <w:rPr>
          <w:spacing w:val="1"/>
          <w:sz w:val="16"/>
        </w:rPr>
        <w:t> </w:t>
      </w:r>
      <w:r>
        <w:rPr>
          <w:sz w:val="16"/>
        </w:rPr>
        <w:t>look</w:t>
      </w:r>
      <w:r>
        <w:rPr>
          <w:spacing w:val="1"/>
          <w:sz w:val="16"/>
        </w:rPr>
        <w:t> </w:t>
      </w:r>
      <w:r>
        <w:rPr>
          <w:sz w:val="16"/>
        </w:rPr>
        <w:t>to</w:t>
      </w:r>
      <w:r>
        <w:rPr>
          <w:spacing w:val="1"/>
          <w:sz w:val="16"/>
        </w:rPr>
        <w:t> </w:t>
      </w:r>
      <w:r>
        <w:rPr>
          <w:sz w:val="16"/>
        </w:rPr>
        <w:t>sell</w:t>
      </w:r>
      <w:r>
        <w:rPr>
          <w:spacing w:val="1"/>
          <w:sz w:val="16"/>
        </w:rPr>
        <w:t> </w:t>
      </w:r>
      <w:r>
        <w:rPr>
          <w:sz w:val="16"/>
        </w:rPr>
        <w:t>at</w:t>
      </w:r>
      <w:r>
        <w:rPr>
          <w:spacing w:val="2"/>
          <w:sz w:val="16"/>
        </w:rPr>
        <w:t> </w:t>
      </w:r>
      <w:r>
        <w:rPr>
          <w:spacing w:val="-5"/>
          <w:sz w:val="16"/>
        </w:rPr>
        <w:t>H3.</w:t>
      </w:r>
    </w:p>
    <w:p>
      <w:pPr>
        <w:pStyle w:val="BodyText"/>
        <w:spacing w:before="9"/>
        <w:rPr>
          <w:sz w:val="21"/>
        </w:rPr>
      </w:pPr>
    </w:p>
    <w:p>
      <w:pPr>
        <w:pStyle w:val="BodyText"/>
        <w:ind w:left="140" w:right="495" w:firstLine="719"/>
        <w:jc w:val="both"/>
      </w:pPr>
      <w:r>
        <w:rPr/>
        <w:t>The second entry option occurs when price opens the day in the direction of the trend, beyond the third layer of the Camarilla indicator. Therefore,</w:t>
      </w:r>
      <w:r>
        <w:rPr>
          <w:spacing w:val="11"/>
        </w:rPr>
        <w:t> </w:t>
      </w:r>
      <w:r>
        <w:rPr/>
        <w:t>in</w:t>
      </w:r>
      <w:r>
        <w:rPr>
          <w:spacing w:val="11"/>
        </w:rPr>
        <w:t> </w:t>
      </w:r>
      <w:r>
        <w:rPr/>
        <w:t>a</w:t>
      </w:r>
      <w:r>
        <w:rPr>
          <w:spacing w:val="11"/>
        </w:rPr>
        <w:t> </w:t>
      </w:r>
      <w:r>
        <w:rPr/>
        <w:t>bullish</w:t>
      </w:r>
      <w:r>
        <w:rPr>
          <w:spacing w:val="10"/>
        </w:rPr>
        <w:t> </w:t>
      </w:r>
      <w:r>
        <w:rPr/>
        <w:t>trend</w:t>
      </w:r>
      <w:r>
        <w:rPr>
          <w:spacing w:val="10"/>
        </w:rPr>
        <w:t> </w:t>
      </w:r>
      <w:r>
        <w:rPr/>
        <w:t>you</w:t>
      </w:r>
      <w:r>
        <w:rPr>
          <w:spacing w:val="11"/>
        </w:rPr>
        <w:t> </w:t>
      </w:r>
      <w:r>
        <w:rPr/>
        <w:t>are</w:t>
      </w:r>
      <w:r>
        <w:rPr>
          <w:spacing w:val="12"/>
        </w:rPr>
        <w:t> </w:t>
      </w:r>
      <w:r>
        <w:rPr/>
        <w:t>looking</w:t>
      </w:r>
      <w:r>
        <w:rPr>
          <w:spacing w:val="10"/>
        </w:rPr>
        <w:t> </w:t>
      </w:r>
      <w:r>
        <w:rPr/>
        <w:t>to</w:t>
      </w:r>
      <w:r>
        <w:rPr>
          <w:spacing w:val="10"/>
        </w:rPr>
        <w:t> </w:t>
      </w:r>
      <w:r>
        <w:rPr/>
        <w:t>buy</w:t>
      </w:r>
      <w:r>
        <w:rPr>
          <w:spacing w:val="9"/>
        </w:rPr>
        <w:t> </w:t>
      </w:r>
      <w:r>
        <w:rPr/>
        <w:t>any</w:t>
      </w:r>
      <w:r>
        <w:rPr>
          <w:spacing w:val="10"/>
        </w:rPr>
        <w:t> </w:t>
      </w:r>
      <w:r>
        <w:rPr/>
        <w:t>pull-back</w:t>
      </w:r>
      <w:r>
        <w:rPr>
          <w:spacing w:val="12"/>
        </w:rPr>
        <w:t> </w:t>
      </w:r>
      <w:r>
        <w:rPr/>
        <w:t>to</w:t>
      </w:r>
      <w:r>
        <w:rPr>
          <w:spacing w:val="11"/>
        </w:rPr>
        <w:t> </w:t>
      </w:r>
      <w:r>
        <w:rPr/>
        <w:t>the</w:t>
      </w:r>
      <w:r>
        <w:rPr>
          <w:spacing w:val="11"/>
        </w:rPr>
        <w:t> </w:t>
      </w:r>
      <w:r>
        <w:rPr>
          <w:spacing w:val="-5"/>
        </w:rPr>
        <w:t>H3</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6"/>
        <w:jc w:val="both"/>
      </w:pPr>
      <w:r>
        <w:rPr/>
        <w:t>pivot level if price opens the day above this pivot. Figure 8.10 shows a five- minute</w:t>
      </w:r>
      <w:r>
        <w:rPr>
          <w:spacing w:val="-1"/>
        </w:rPr>
        <w:t> </w:t>
      </w:r>
      <w:r>
        <w:rPr/>
        <w:t>chart</w:t>
      </w:r>
      <w:r>
        <w:rPr>
          <w:spacing w:val="-1"/>
        </w:rPr>
        <w:t> </w:t>
      </w:r>
      <w:r>
        <w:rPr/>
        <w:t>of</w:t>
      </w:r>
      <w:r>
        <w:rPr>
          <w:spacing w:val="-1"/>
        </w:rPr>
        <w:t> </w:t>
      </w:r>
      <w:r>
        <w:rPr/>
        <w:t>the</w:t>
      </w:r>
      <w:r>
        <w:rPr>
          <w:spacing w:val="-1"/>
        </w:rPr>
        <w:t> </w:t>
      </w:r>
      <w:r>
        <w:rPr/>
        <w:t>E-Mini</w:t>
      </w:r>
      <w:r>
        <w:rPr>
          <w:spacing w:val="-2"/>
        </w:rPr>
        <w:t> </w:t>
      </w:r>
      <w:r>
        <w:rPr/>
        <w:t>Russell</w:t>
      </w:r>
      <w:r>
        <w:rPr>
          <w:spacing w:val="-1"/>
        </w:rPr>
        <w:t> </w:t>
      </w:r>
      <w:r>
        <w:rPr/>
        <w:t>2000</w:t>
      </w:r>
      <w:r>
        <w:rPr>
          <w:spacing w:val="-2"/>
        </w:rPr>
        <w:t> </w:t>
      </w:r>
      <w:r>
        <w:rPr/>
        <w:t>futures</w:t>
      </w:r>
      <w:r>
        <w:rPr>
          <w:spacing w:val="-1"/>
        </w:rPr>
        <w:t> </w:t>
      </w:r>
      <w:r>
        <w:rPr/>
        <w:t>contract</w:t>
      </w:r>
      <w:r>
        <w:rPr>
          <w:spacing w:val="-1"/>
        </w:rPr>
        <w:t> </w:t>
      </w:r>
      <w:r>
        <w:rPr/>
        <w:t>on</w:t>
      </w:r>
      <w:r>
        <w:rPr>
          <w:spacing w:val="-1"/>
        </w:rPr>
        <w:t> </w:t>
      </w:r>
      <w:r>
        <w:rPr/>
        <w:t>a</w:t>
      </w:r>
      <w:r>
        <w:rPr>
          <w:spacing w:val="-1"/>
        </w:rPr>
        <w:t> </w:t>
      </w:r>
      <w:r>
        <w:rPr/>
        <w:t>day</w:t>
      </w:r>
      <w:r>
        <w:rPr>
          <w:spacing w:val="-2"/>
        </w:rPr>
        <w:t> </w:t>
      </w:r>
      <w:r>
        <w:rPr/>
        <w:t>when</w:t>
      </w:r>
      <w:r>
        <w:rPr>
          <w:spacing w:val="-1"/>
        </w:rPr>
        <w:t> </w:t>
      </w:r>
      <w:r>
        <w:rPr/>
        <w:t>price opened the session beyond the H3 pivot level during a bullish trend when a two-day Higher Value relationship was present. The fact that price gapped above H3 is quite bullish and indicates continued bullish price movement. However, the task becomes to enter the market at a favorable entry near the H3</w:t>
      </w:r>
      <w:r>
        <w:rPr>
          <w:spacing w:val="-1"/>
        </w:rPr>
        <w:t> </w:t>
      </w:r>
      <w:r>
        <w:rPr/>
        <w:t>pivot</w:t>
      </w:r>
      <w:r>
        <w:rPr>
          <w:spacing w:val="-1"/>
        </w:rPr>
        <w:t> </w:t>
      </w:r>
      <w:r>
        <w:rPr/>
        <w:t>level.</w:t>
      </w:r>
      <w:r>
        <w:rPr>
          <w:spacing w:val="-1"/>
        </w:rPr>
        <w:t> </w:t>
      </w:r>
      <w:r>
        <w:rPr/>
        <w:t>Any</w:t>
      </w:r>
      <w:r>
        <w:rPr>
          <w:spacing w:val="-1"/>
        </w:rPr>
        <w:t> </w:t>
      </w:r>
      <w:r>
        <w:rPr/>
        <w:t>signs</w:t>
      </w:r>
      <w:r>
        <w:rPr>
          <w:spacing w:val="-1"/>
        </w:rPr>
        <w:t> </w:t>
      </w:r>
      <w:r>
        <w:rPr/>
        <w:t>of</w:t>
      </w:r>
      <w:r>
        <w:rPr>
          <w:spacing w:val="-1"/>
        </w:rPr>
        <w:t> </w:t>
      </w:r>
      <w:r>
        <w:rPr/>
        <w:t>strength</w:t>
      </w:r>
      <w:r>
        <w:rPr>
          <w:spacing w:val="-1"/>
        </w:rPr>
        <w:t> </w:t>
      </w:r>
      <w:r>
        <w:rPr/>
        <w:t>near</w:t>
      </w:r>
      <w:r>
        <w:rPr>
          <w:spacing w:val="-1"/>
        </w:rPr>
        <w:t> </w:t>
      </w:r>
      <w:r>
        <w:rPr/>
        <w:t>the</w:t>
      </w:r>
      <w:r>
        <w:rPr>
          <w:spacing w:val="-1"/>
        </w:rPr>
        <w:t> </w:t>
      </w:r>
      <w:r>
        <w:rPr/>
        <w:t>H3</w:t>
      </w:r>
      <w:r>
        <w:rPr>
          <w:spacing w:val="-1"/>
        </w:rPr>
        <w:t> </w:t>
      </w:r>
      <w:r>
        <w:rPr/>
        <w:t>pivot</w:t>
      </w:r>
      <w:r>
        <w:rPr>
          <w:spacing w:val="-1"/>
        </w:rPr>
        <w:t> </w:t>
      </w:r>
      <w:r>
        <w:rPr/>
        <w:t>level</w:t>
      </w:r>
      <w:r>
        <w:rPr>
          <w:spacing w:val="-1"/>
        </w:rPr>
        <w:t> </w:t>
      </w:r>
      <w:r>
        <w:rPr/>
        <w:t>should</w:t>
      </w:r>
      <w:r>
        <w:rPr>
          <w:spacing w:val="-1"/>
        </w:rPr>
        <w:t> </w:t>
      </w:r>
      <w:r>
        <w:rPr/>
        <w:t>present a nice entry opportunity, with the intent of reaching H5, or beyond.</w:t>
      </w:r>
    </w:p>
    <w:p>
      <w:pPr>
        <w:pStyle w:val="BodyText"/>
        <w:spacing w:before="1"/>
        <w:rPr>
          <w:sz w:val="20"/>
        </w:rPr>
      </w:pPr>
      <w:r>
        <w:rPr/>
        <w:drawing>
          <wp:anchor distT="0" distB="0" distL="0" distR="0" allowOverlap="1" layoutInCell="1" locked="0" behindDoc="0" simplePos="0" relativeHeight="280">
            <wp:simplePos x="0" y="0"/>
            <wp:positionH relativeFrom="page">
              <wp:posOffset>685800</wp:posOffset>
            </wp:positionH>
            <wp:positionV relativeFrom="paragraph">
              <wp:posOffset>162229</wp:posOffset>
            </wp:positionV>
            <wp:extent cx="4342239" cy="3111722"/>
            <wp:effectExtent l="0" t="0" r="0" b="0"/>
            <wp:wrapTopAndBottom/>
            <wp:docPr id="235" name="image124.png"/>
            <wp:cNvGraphicFramePr>
              <a:graphicFrameLocks noChangeAspect="1"/>
            </wp:cNvGraphicFramePr>
            <a:graphic>
              <a:graphicData uri="http://schemas.openxmlformats.org/drawingml/2006/picture">
                <pic:pic>
                  <pic:nvPicPr>
                    <pic:cNvPr id="236" name="image124.png"/>
                    <pic:cNvPicPr/>
                  </pic:nvPicPr>
                  <pic:blipFill>
                    <a:blip r:embed="rId259" cstate="print"/>
                    <a:stretch>
                      <a:fillRect/>
                    </a:stretch>
                  </pic:blipFill>
                  <pic:spPr>
                    <a:xfrm>
                      <a:off x="0" y="0"/>
                      <a:ext cx="4342239" cy="3111722"/>
                    </a:xfrm>
                    <a:prstGeom prst="rect">
                      <a:avLst/>
                    </a:prstGeom>
                  </pic:spPr>
                </pic:pic>
              </a:graphicData>
            </a:graphic>
          </wp:anchor>
        </w:drawing>
      </w:r>
    </w:p>
    <w:p>
      <w:pPr>
        <w:spacing w:before="0"/>
        <w:ind w:left="500" w:right="0" w:firstLine="0"/>
        <w:jc w:val="both"/>
        <w:rPr>
          <w:sz w:val="16"/>
        </w:rPr>
      </w:pPr>
      <w:r>
        <w:rPr>
          <w:sz w:val="16"/>
        </w:rPr>
        <w:t>FIGURE 8.10:</w:t>
      </w:r>
      <w:r>
        <w:rPr>
          <w:spacing w:val="1"/>
          <w:sz w:val="16"/>
        </w:rPr>
        <w:t> </w:t>
      </w:r>
      <w:r>
        <w:rPr>
          <w:sz w:val="16"/>
        </w:rPr>
        <w:t>If</w:t>
      </w:r>
      <w:r>
        <w:rPr>
          <w:spacing w:val="2"/>
          <w:sz w:val="16"/>
        </w:rPr>
        <w:t> </w:t>
      </w:r>
      <w:r>
        <w:rPr>
          <w:sz w:val="16"/>
        </w:rPr>
        <w:t>price</w:t>
      </w:r>
      <w:r>
        <w:rPr>
          <w:spacing w:val="1"/>
          <w:sz w:val="16"/>
        </w:rPr>
        <w:t> </w:t>
      </w:r>
      <w:r>
        <w:rPr>
          <w:sz w:val="16"/>
        </w:rPr>
        <w:t>opens</w:t>
      </w:r>
      <w:r>
        <w:rPr>
          <w:spacing w:val="1"/>
          <w:sz w:val="16"/>
        </w:rPr>
        <w:t> </w:t>
      </w:r>
      <w:r>
        <w:rPr>
          <w:sz w:val="16"/>
        </w:rPr>
        <w:t>above</w:t>
      </w:r>
      <w:r>
        <w:rPr>
          <w:spacing w:val="1"/>
          <w:sz w:val="16"/>
        </w:rPr>
        <w:t> </w:t>
      </w:r>
      <w:r>
        <w:rPr>
          <w:sz w:val="16"/>
        </w:rPr>
        <w:t>value in</w:t>
      </w:r>
      <w:r>
        <w:rPr>
          <w:spacing w:val="1"/>
          <w:sz w:val="16"/>
        </w:rPr>
        <w:t> </w:t>
      </w:r>
      <w:r>
        <w:rPr>
          <w:sz w:val="16"/>
        </w:rPr>
        <w:t>a</w:t>
      </w:r>
      <w:r>
        <w:rPr>
          <w:spacing w:val="1"/>
          <w:sz w:val="16"/>
        </w:rPr>
        <w:t> </w:t>
      </w:r>
      <w:r>
        <w:rPr>
          <w:sz w:val="16"/>
        </w:rPr>
        <w:t>bullish</w:t>
      </w:r>
      <w:r>
        <w:rPr>
          <w:spacing w:val="1"/>
          <w:sz w:val="16"/>
        </w:rPr>
        <w:t> </w:t>
      </w:r>
      <w:r>
        <w:rPr>
          <w:sz w:val="16"/>
        </w:rPr>
        <w:t>trend,</w:t>
      </w:r>
      <w:r>
        <w:rPr>
          <w:spacing w:val="1"/>
          <w:sz w:val="16"/>
        </w:rPr>
        <w:t> </w:t>
      </w:r>
      <w:r>
        <w:rPr>
          <w:sz w:val="16"/>
        </w:rPr>
        <w:t>look</w:t>
      </w:r>
      <w:r>
        <w:rPr>
          <w:spacing w:val="1"/>
          <w:sz w:val="16"/>
        </w:rPr>
        <w:t> </w:t>
      </w:r>
      <w:r>
        <w:rPr>
          <w:sz w:val="16"/>
        </w:rPr>
        <w:t>to buy</w:t>
      </w:r>
      <w:r>
        <w:rPr>
          <w:spacing w:val="1"/>
          <w:sz w:val="16"/>
        </w:rPr>
        <w:t> </w:t>
      </w:r>
      <w:r>
        <w:rPr>
          <w:sz w:val="16"/>
        </w:rPr>
        <w:t>above</w:t>
      </w:r>
      <w:r>
        <w:rPr>
          <w:spacing w:val="1"/>
          <w:sz w:val="16"/>
        </w:rPr>
        <w:t> </w:t>
      </w:r>
      <w:r>
        <w:rPr>
          <w:spacing w:val="-5"/>
          <w:sz w:val="16"/>
        </w:rPr>
        <w:t>H3.</w:t>
      </w:r>
    </w:p>
    <w:p>
      <w:pPr>
        <w:pStyle w:val="BodyText"/>
        <w:spacing w:before="9"/>
        <w:rPr>
          <w:sz w:val="21"/>
        </w:rPr>
      </w:pPr>
    </w:p>
    <w:p>
      <w:pPr>
        <w:pStyle w:val="BodyText"/>
        <w:ind w:left="500" w:right="136" w:firstLine="432"/>
        <w:jc w:val="both"/>
      </w:pPr>
      <w:r>
        <w:rPr/>
        <w:t>Let’s take a look at the third, and final, entry option during a trending market. Figure 8.11 shows a five-minute chart of the E-Mini NASDAQ 100 futures contract on a day when the DC3 indicator forecasts a Higher Value relationship for the following session, which would make two days in a row of this bullish relationship. Therefore, our initial directional</w:t>
      </w:r>
      <w:r>
        <w:rPr/>
        <w:t> bias is to buy</w:t>
      </w:r>
      <w:r>
        <w:rPr>
          <w:spacing w:val="80"/>
        </w:rPr>
        <w:t> </w:t>
      </w:r>
      <w:r>
        <w:rPr/>
        <w:t>any pull-back to the 1,778 to 1,780 area if price opens the day above the L3 pivot level. A rejection of this bias would occur if price opens below the L3 pivot level, thereby introducing a potential selling opportunity.</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237" name="image125.png"/>
            <wp:cNvGraphicFramePr>
              <a:graphicFrameLocks noChangeAspect="1"/>
            </wp:cNvGraphicFramePr>
            <a:graphic>
              <a:graphicData uri="http://schemas.openxmlformats.org/drawingml/2006/picture">
                <pic:pic>
                  <pic:nvPicPr>
                    <pic:cNvPr id="238" name="image125.png"/>
                    <pic:cNvPicPr/>
                  </pic:nvPicPr>
                  <pic:blipFill>
                    <a:blip r:embed="rId260"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1"/>
          <w:sz w:val="16"/>
        </w:rPr>
        <w:t> </w:t>
      </w:r>
      <w:r>
        <w:rPr>
          <w:sz w:val="16"/>
        </w:rPr>
        <w:t>8.11: A</w:t>
      </w:r>
      <w:r>
        <w:rPr>
          <w:spacing w:val="2"/>
          <w:sz w:val="16"/>
        </w:rPr>
        <w:t> </w:t>
      </w:r>
      <w:r>
        <w:rPr>
          <w:sz w:val="16"/>
        </w:rPr>
        <w:t>Higher Value relationship indicates</w:t>
      </w:r>
      <w:r>
        <w:rPr>
          <w:spacing w:val="-1"/>
          <w:sz w:val="16"/>
        </w:rPr>
        <w:t> </w:t>
      </w:r>
      <w:r>
        <w:rPr>
          <w:sz w:val="16"/>
        </w:rPr>
        <w:t>strength,</w:t>
      </w:r>
      <w:r>
        <w:rPr>
          <w:spacing w:val="-1"/>
          <w:sz w:val="16"/>
        </w:rPr>
        <w:t> </w:t>
      </w:r>
      <w:r>
        <w:rPr>
          <w:sz w:val="16"/>
        </w:rPr>
        <w:t>unless price</w:t>
      </w:r>
      <w:r>
        <w:rPr>
          <w:spacing w:val="-1"/>
          <w:sz w:val="16"/>
        </w:rPr>
        <w:t> </w:t>
      </w:r>
      <w:r>
        <w:rPr>
          <w:sz w:val="16"/>
        </w:rPr>
        <w:t>opens below</w:t>
      </w:r>
      <w:r>
        <w:rPr>
          <w:spacing w:val="-1"/>
          <w:sz w:val="16"/>
        </w:rPr>
        <w:t> </w:t>
      </w:r>
      <w:r>
        <w:rPr>
          <w:spacing w:val="-2"/>
          <w:sz w:val="16"/>
        </w:rPr>
        <w:t>1,780.</w:t>
      </w:r>
    </w:p>
    <w:p>
      <w:pPr>
        <w:pStyle w:val="BodyText"/>
        <w:spacing w:before="2"/>
      </w:pPr>
    </w:p>
    <w:p>
      <w:pPr>
        <w:pStyle w:val="BodyText"/>
        <w:ind w:left="140" w:right="496" w:firstLine="719"/>
        <w:jc w:val="both"/>
      </w:pPr>
      <w:r>
        <w:rPr/>
        <w:t>Let’s take a look at Figure 8.12 to see how the day’s events transpired. As it turns out, the NQ completely rejected the day’s bullish bias by opening the session below the L3 pivot level. As a matter of fact, price opened the session below the 1,773.50 L4 pivot level, which is very bearish. This opening print completely rejected our initial bias, which means market sentiment changed drastically overnight, as market participants are now actively seeking lower valuation. While an opening print below L3 would technically confirm a rejection, the fact that price opened below L4 solidifies this fact, which steers your focus to the short side.</w:t>
      </w:r>
    </w:p>
    <w:p>
      <w:pPr>
        <w:pStyle w:val="BodyText"/>
        <w:ind w:left="140" w:right="494" w:firstLine="432"/>
        <w:jc w:val="both"/>
      </w:pPr>
      <w:r>
        <w:rPr/>
        <w:t>When price rejects expected market behavior outright, you are likely to witness an aggressive push to new value, as initiative market participations are likely controlling the market, thereby introducing</w:t>
      </w:r>
      <w:r>
        <w:rPr>
          <w:spacing w:val="-1"/>
        </w:rPr>
        <w:t> </w:t>
      </w:r>
      <w:r>
        <w:rPr/>
        <w:t>more conviction. When this occurs, you will look for signs of a continuation to L5 and beyond. Looking at the chart shows price initially attempting to fill the gap, but was stifled</w:t>
      </w:r>
      <w:r>
        <w:rPr/>
        <w:t> at the L4 pivot level. Price then formed a bearish outside reversal signal,</w:t>
      </w:r>
      <w:r>
        <w:rPr>
          <w:spacing w:val="-1"/>
        </w:rPr>
        <w:t> </w:t>
      </w:r>
      <w:r>
        <w:rPr/>
        <w:t>which</w:t>
      </w:r>
      <w:r>
        <w:rPr>
          <w:spacing w:val="-2"/>
        </w:rPr>
        <w:t> </w:t>
      </w:r>
      <w:r>
        <w:rPr/>
        <w:t>confirmed</w:t>
      </w:r>
      <w:r>
        <w:rPr>
          <w:spacing w:val="-1"/>
        </w:rPr>
        <w:t> </w:t>
      </w:r>
      <w:r>
        <w:rPr/>
        <w:t>weakness</w:t>
      </w:r>
      <w:r>
        <w:rPr>
          <w:spacing w:val="-1"/>
        </w:rPr>
        <w:t> </w:t>
      </w:r>
      <w:r>
        <w:rPr/>
        <w:t>and</w:t>
      </w:r>
      <w:r>
        <w:rPr>
          <w:spacing w:val="-1"/>
        </w:rPr>
        <w:t> </w:t>
      </w:r>
      <w:r>
        <w:rPr/>
        <w:t>provided</w:t>
      </w:r>
      <w:r>
        <w:rPr>
          <w:spacing w:val="-2"/>
        </w:rPr>
        <w:t> </w:t>
      </w:r>
      <w:r>
        <w:rPr/>
        <w:t>your</w:t>
      </w:r>
      <w:r>
        <w:rPr>
          <w:spacing w:val="-3"/>
        </w:rPr>
        <w:t> </w:t>
      </w:r>
      <w:r>
        <w:rPr/>
        <w:t>short</w:t>
      </w:r>
      <w:r>
        <w:rPr>
          <w:spacing w:val="-1"/>
        </w:rPr>
        <w:t> </w:t>
      </w:r>
      <w:r>
        <w:rPr/>
        <w:t>entry.</w:t>
      </w:r>
      <w:r>
        <w:rPr>
          <w:spacing w:val="-2"/>
        </w:rPr>
        <w:t> </w:t>
      </w:r>
      <w:r>
        <w:rPr/>
        <w:t>The</w:t>
      </w:r>
      <w:r>
        <w:rPr>
          <w:spacing w:val="-1"/>
        </w:rPr>
        <w:t> </w:t>
      </w:r>
      <w:r>
        <w:rPr/>
        <w:t>market trended steadily lower on this day in an unexpected manner. However, the fact that we identified areas for acceptance and rejection using our two-day pivot analysis allowed us to go with the flow and profit from the move. Moreover, part of what led to this day’s rejection of our analysis was the fact</w:t>
      </w:r>
    </w:p>
    <w:p>
      <w:pPr>
        <w:spacing w:after="0"/>
        <w:jc w:val="both"/>
        <w:sectPr>
          <w:pgSz w:w="8640" w:h="12960"/>
          <w:pgMar w:header="579" w:footer="1060" w:top="760" w:bottom="1260" w:left="580" w:right="580"/>
        </w:sectPr>
      </w:pPr>
    </w:p>
    <w:p>
      <w:pPr>
        <w:pStyle w:val="BodyText"/>
        <w:spacing w:before="3"/>
      </w:pPr>
    </w:p>
    <w:p>
      <w:pPr>
        <w:pStyle w:val="BodyText"/>
        <w:spacing w:before="64"/>
        <w:ind w:left="500"/>
      </w:pPr>
      <w:r>
        <w:rPr/>
        <w:t>that the market had been trending lower over the prior two weeks, thereby</w:t>
      </w:r>
      <w:r>
        <w:rPr>
          <w:spacing w:val="80"/>
        </w:rPr>
        <w:t> </w:t>
      </w:r>
      <w:r>
        <w:rPr/>
        <w:t>reinforcing the importance of longer term pivot trend analysis.</w:t>
      </w:r>
    </w:p>
    <w:p>
      <w:pPr>
        <w:pStyle w:val="BodyText"/>
        <w:spacing w:before="1"/>
        <w:rPr>
          <w:sz w:val="20"/>
        </w:rPr>
      </w:pPr>
      <w:r>
        <w:rPr/>
        <w:drawing>
          <wp:anchor distT="0" distB="0" distL="0" distR="0" allowOverlap="1" layoutInCell="1" locked="0" behindDoc="0" simplePos="0" relativeHeight="281">
            <wp:simplePos x="0" y="0"/>
            <wp:positionH relativeFrom="page">
              <wp:posOffset>685800</wp:posOffset>
            </wp:positionH>
            <wp:positionV relativeFrom="paragraph">
              <wp:posOffset>162147</wp:posOffset>
            </wp:positionV>
            <wp:extent cx="4342239" cy="3111722"/>
            <wp:effectExtent l="0" t="0" r="0" b="0"/>
            <wp:wrapTopAndBottom/>
            <wp:docPr id="239" name="image126.png"/>
            <wp:cNvGraphicFramePr>
              <a:graphicFrameLocks noChangeAspect="1"/>
            </wp:cNvGraphicFramePr>
            <a:graphic>
              <a:graphicData uri="http://schemas.openxmlformats.org/drawingml/2006/picture">
                <pic:pic>
                  <pic:nvPicPr>
                    <pic:cNvPr id="240" name="image126.png"/>
                    <pic:cNvPicPr/>
                  </pic:nvPicPr>
                  <pic:blipFill>
                    <a:blip r:embed="rId261" cstate="print"/>
                    <a:stretch>
                      <a:fillRect/>
                    </a:stretch>
                  </pic:blipFill>
                  <pic:spPr>
                    <a:xfrm>
                      <a:off x="0" y="0"/>
                      <a:ext cx="4342239" cy="3111722"/>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8.12:</w:t>
      </w:r>
      <w:r>
        <w:rPr>
          <w:spacing w:val="-1"/>
          <w:sz w:val="16"/>
        </w:rPr>
        <w:t> </w:t>
      </w:r>
      <w:r>
        <w:rPr>
          <w:sz w:val="16"/>
        </w:rPr>
        <w:t>Opening print</w:t>
      </w:r>
      <w:r>
        <w:rPr>
          <w:spacing w:val="-1"/>
          <w:sz w:val="16"/>
        </w:rPr>
        <w:t> </w:t>
      </w:r>
      <w:r>
        <w:rPr>
          <w:sz w:val="16"/>
        </w:rPr>
        <w:t>did not</w:t>
      </w:r>
      <w:r>
        <w:rPr>
          <w:spacing w:val="-1"/>
          <w:sz w:val="16"/>
        </w:rPr>
        <w:t> </w:t>
      </w:r>
      <w:r>
        <w:rPr>
          <w:sz w:val="16"/>
        </w:rPr>
        <w:t>confirm</w:t>
      </w:r>
      <w:r>
        <w:rPr>
          <w:spacing w:val="1"/>
          <w:sz w:val="16"/>
        </w:rPr>
        <w:t> </w:t>
      </w:r>
      <w:r>
        <w:rPr>
          <w:sz w:val="16"/>
        </w:rPr>
        <w:t>strength, thus sellers</w:t>
      </w:r>
      <w:r>
        <w:rPr>
          <w:spacing w:val="-1"/>
          <w:sz w:val="16"/>
        </w:rPr>
        <w:t> </w:t>
      </w:r>
      <w:r>
        <w:rPr>
          <w:sz w:val="16"/>
        </w:rPr>
        <w:t>entered</w:t>
      </w:r>
      <w:r>
        <w:rPr>
          <w:spacing w:val="1"/>
          <w:sz w:val="16"/>
        </w:rPr>
        <w:t> </w:t>
      </w:r>
      <w:r>
        <w:rPr>
          <w:sz w:val="16"/>
        </w:rPr>
        <w:t>upon</w:t>
      </w:r>
      <w:r>
        <w:rPr>
          <w:spacing w:val="-1"/>
          <w:sz w:val="16"/>
        </w:rPr>
        <w:t> </w:t>
      </w:r>
      <w:r>
        <w:rPr>
          <w:sz w:val="16"/>
        </w:rPr>
        <w:t>a test</w:t>
      </w:r>
      <w:r>
        <w:rPr>
          <w:spacing w:val="-1"/>
          <w:sz w:val="16"/>
        </w:rPr>
        <w:t> </w:t>
      </w:r>
      <w:r>
        <w:rPr>
          <w:sz w:val="16"/>
        </w:rPr>
        <w:t>of </w:t>
      </w:r>
      <w:r>
        <w:rPr>
          <w:spacing w:val="-5"/>
          <w:sz w:val="16"/>
        </w:rPr>
        <w:t>L4.</w:t>
      </w:r>
    </w:p>
    <w:p>
      <w:pPr>
        <w:pStyle w:val="BodyText"/>
        <w:spacing w:before="9"/>
        <w:rPr>
          <w:sz w:val="21"/>
        </w:rPr>
      </w:pPr>
    </w:p>
    <w:p>
      <w:pPr>
        <w:pStyle w:val="BodyText"/>
        <w:ind w:left="500" w:right="136" w:firstLine="432"/>
        <w:jc w:val="both"/>
      </w:pPr>
      <w:r>
        <w:rPr/>
        <w:t>The opening print also plays a big role in the Inside Value relationship, which is a very powerful breakout setup. As you know, I am extremely fond of the Inside Value relationship because this formation typically leads to explosive breakout opportunities in the market. Identifying this formation in advance allows you to prepare for some of the biggest trending days in the market.</w:t>
      </w:r>
      <w:r>
        <w:rPr/>
        <w:t> The Inside Value relationship occurs when the third layer of the Camarilla indicator for the current session lies within the third layer of the indicator</w:t>
      </w:r>
      <w:r>
        <w:rPr>
          <w:spacing w:val="-2"/>
        </w:rPr>
        <w:t> </w:t>
      </w:r>
      <w:r>
        <w:rPr/>
        <w:t>of</w:t>
      </w:r>
      <w:r>
        <w:rPr>
          <w:spacing w:val="-2"/>
        </w:rPr>
        <w:t> </w:t>
      </w:r>
      <w:r>
        <w:rPr/>
        <w:t>the</w:t>
      </w:r>
      <w:r>
        <w:rPr>
          <w:spacing w:val="-2"/>
        </w:rPr>
        <w:t> </w:t>
      </w:r>
      <w:r>
        <w:rPr/>
        <w:t>prior</w:t>
      </w:r>
      <w:r>
        <w:rPr>
          <w:spacing w:val="-2"/>
        </w:rPr>
        <w:t> </w:t>
      </w:r>
      <w:r>
        <w:rPr/>
        <w:t>session.</w:t>
      </w:r>
      <w:r>
        <w:rPr>
          <w:spacing w:val="-2"/>
        </w:rPr>
        <w:t> </w:t>
      </w:r>
      <w:r>
        <w:rPr/>
        <w:t>This</w:t>
      </w:r>
      <w:r>
        <w:rPr>
          <w:spacing w:val="-2"/>
        </w:rPr>
        <w:t> </w:t>
      </w:r>
      <w:r>
        <w:rPr/>
        <w:t>two-day</w:t>
      </w:r>
      <w:r>
        <w:rPr>
          <w:spacing w:val="-2"/>
        </w:rPr>
        <w:t> </w:t>
      </w:r>
      <w:r>
        <w:rPr/>
        <w:t>relationship</w:t>
      </w:r>
      <w:r>
        <w:rPr>
          <w:spacing w:val="-2"/>
        </w:rPr>
        <w:t> </w:t>
      </w:r>
      <w:r>
        <w:rPr/>
        <w:t>is</w:t>
      </w:r>
      <w:r>
        <w:rPr>
          <w:spacing w:val="-2"/>
        </w:rPr>
        <w:t> </w:t>
      </w:r>
      <w:r>
        <w:rPr/>
        <w:t>usually</w:t>
      </w:r>
      <w:r>
        <w:rPr>
          <w:spacing w:val="-3"/>
        </w:rPr>
        <w:t> </w:t>
      </w:r>
      <w:r>
        <w:rPr/>
        <w:t>a</w:t>
      </w:r>
      <w:r>
        <w:rPr>
          <w:spacing w:val="-2"/>
        </w:rPr>
        <w:t> </w:t>
      </w:r>
      <w:r>
        <w:rPr/>
        <w:t>precursor to a major breakout opportunity in the market, which is amplified if the current day’s pivot width is unusually narrow.</w:t>
      </w:r>
    </w:p>
    <w:p>
      <w:pPr>
        <w:pStyle w:val="BodyText"/>
        <w:ind w:left="500" w:right="136" w:firstLine="432"/>
        <w:jc w:val="both"/>
      </w:pPr>
      <w:r>
        <w:rPr/>
        <w:t>Let’s take a look at how I would scout this particular day in the market. Figure 8.13 shows a five-minute chart of the Crude Oil futures contract on February</w:t>
      </w:r>
      <w:r>
        <w:rPr>
          <w:spacing w:val="-3"/>
        </w:rPr>
        <w:t> </w:t>
      </w:r>
      <w:r>
        <w:rPr/>
        <w:t>3,</w:t>
      </w:r>
      <w:r>
        <w:rPr>
          <w:spacing w:val="-2"/>
        </w:rPr>
        <w:t> </w:t>
      </w:r>
      <w:r>
        <w:rPr/>
        <w:t>2010.</w:t>
      </w:r>
      <w:r>
        <w:rPr>
          <w:spacing w:val="-2"/>
        </w:rPr>
        <w:t> </w:t>
      </w:r>
      <w:r>
        <w:rPr/>
        <w:t>Crude</w:t>
      </w:r>
      <w:r>
        <w:rPr>
          <w:spacing w:val="-2"/>
        </w:rPr>
        <w:t> </w:t>
      </w:r>
      <w:r>
        <w:rPr/>
        <w:t>Oil</w:t>
      </w:r>
      <w:r>
        <w:rPr>
          <w:spacing w:val="-2"/>
        </w:rPr>
        <w:t> </w:t>
      </w:r>
      <w:r>
        <w:rPr/>
        <w:t>traded</w:t>
      </w:r>
      <w:r>
        <w:rPr>
          <w:spacing w:val="-2"/>
        </w:rPr>
        <w:t> </w:t>
      </w:r>
      <w:r>
        <w:rPr/>
        <w:t>quietly</w:t>
      </w:r>
      <w:r>
        <w:rPr>
          <w:spacing w:val="-2"/>
        </w:rPr>
        <w:t> </w:t>
      </w:r>
      <w:r>
        <w:rPr/>
        <w:t>and</w:t>
      </w:r>
      <w:r>
        <w:rPr>
          <w:spacing w:val="-2"/>
        </w:rPr>
        <w:t> </w:t>
      </w:r>
      <w:r>
        <w:rPr/>
        <w:t>formed</w:t>
      </w:r>
      <w:r>
        <w:rPr>
          <w:spacing w:val="-2"/>
        </w:rPr>
        <w:t> </w:t>
      </w:r>
      <w:r>
        <w:rPr/>
        <w:t>a</w:t>
      </w:r>
      <w:r>
        <w:rPr>
          <w:spacing w:val="-2"/>
        </w:rPr>
        <w:t> </w:t>
      </w:r>
      <w:r>
        <w:rPr/>
        <w:t>Trading</w:t>
      </w:r>
      <w:r>
        <w:rPr>
          <w:spacing w:val="-2"/>
        </w:rPr>
        <w:t> </w:t>
      </w:r>
      <w:r>
        <w:rPr/>
        <w:t>Range</w:t>
      </w:r>
      <w:r>
        <w:rPr>
          <w:spacing w:val="-2"/>
        </w:rPr>
        <w:t> </w:t>
      </w:r>
      <w:r>
        <w:rPr/>
        <w:t>Day, as the pivot width was wider than normal due to the prior day’s trending behavior.</w:t>
      </w:r>
      <w:r>
        <w:rPr>
          <w:spacing w:val="-2"/>
        </w:rPr>
        <w:t> </w:t>
      </w:r>
      <w:r>
        <w:rPr/>
        <w:t>Since</w:t>
      </w:r>
      <w:r>
        <w:rPr>
          <w:spacing w:val="-2"/>
        </w:rPr>
        <w:t> </w:t>
      </w:r>
      <w:r>
        <w:rPr/>
        <w:t>Crude</w:t>
      </w:r>
      <w:r>
        <w:rPr>
          <w:spacing w:val="-2"/>
        </w:rPr>
        <w:t> </w:t>
      </w:r>
      <w:r>
        <w:rPr/>
        <w:t>traded</w:t>
      </w:r>
      <w:r>
        <w:rPr>
          <w:spacing w:val="-2"/>
        </w:rPr>
        <w:t> </w:t>
      </w:r>
      <w:r>
        <w:rPr/>
        <w:t>within</w:t>
      </w:r>
      <w:r>
        <w:rPr>
          <w:spacing w:val="-2"/>
        </w:rPr>
        <w:t> </w:t>
      </w:r>
      <w:r>
        <w:rPr/>
        <w:t>a</w:t>
      </w:r>
      <w:r>
        <w:rPr>
          <w:spacing w:val="-2"/>
        </w:rPr>
        <w:t> </w:t>
      </w:r>
      <w:r>
        <w:rPr/>
        <w:t>clear</w:t>
      </w:r>
      <w:r>
        <w:rPr>
          <w:spacing w:val="-2"/>
        </w:rPr>
        <w:t> </w:t>
      </w:r>
      <w:r>
        <w:rPr/>
        <w:t>range</w:t>
      </w:r>
      <w:r>
        <w:rPr>
          <w:spacing w:val="-2"/>
        </w:rPr>
        <w:t> </w:t>
      </w:r>
      <w:r>
        <w:rPr/>
        <w:t>throughout</w:t>
      </w:r>
      <w:r>
        <w:rPr>
          <w:spacing w:val="-2"/>
        </w:rPr>
        <w:t> </w:t>
      </w:r>
      <w:r>
        <w:rPr/>
        <w:t>the</w:t>
      </w:r>
      <w:r>
        <w:rPr>
          <w:spacing w:val="-2"/>
        </w:rPr>
        <w:t> </w:t>
      </w:r>
      <w:r>
        <w:rPr/>
        <w:t>session,</w:t>
      </w:r>
      <w:r>
        <w:rPr>
          <w:spacing w:val="-2"/>
        </w:rPr>
        <w:t> </w:t>
      </w:r>
      <w:r>
        <w:rPr/>
        <w:t>this behavior led to the creation of a very narrow third layer of the indicator for the</w:t>
      </w:r>
      <w:r>
        <w:rPr>
          <w:spacing w:val="32"/>
        </w:rPr>
        <w:t> </w:t>
      </w:r>
      <w:r>
        <w:rPr/>
        <w:t>following</w:t>
      </w:r>
      <w:r>
        <w:rPr>
          <w:spacing w:val="31"/>
        </w:rPr>
        <w:t> </w:t>
      </w:r>
      <w:r>
        <w:rPr/>
        <w:t>session,</w:t>
      </w:r>
      <w:r>
        <w:rPr>
          <w:spacing w:val="32"/>
        </w:rPr>
        <w:t> </w:t>
      </w:r>
      <w:r>
        <w:rPr/>
        <w:t>as</w:t>
      </w:r>
      <w:r>
        <w:rPr>
          <w:spacing w:val="33"/>
        </w:rPr>
        <w:t> </w:t>
      </w:r>
      <w:r>
        <w:rPr/>
        <w:t>seen</w:t>
      </w:r>
      <w:r>
        <w:rPr>
          <w:spacing w:val="32"/>
        </w:rPr>
        <w:t> </w:t>
      </w:r>
      <w:r>
        <w:rPr/>
        <w:t>by</w:t>
      </w:r>
      <w:r>
        <w:rPr>
          <w:spacing w:val="33"/>
        </w:rPr>
        <w:t> </w:t>
      </w:r>
      <w:r>
        <w:rPr/>
        <w:t>the</w:t>
      </w:r>
      <w:r>
        <w:rPr>
          <w:spacing w:val="33"/>
        </w:rPr>
        <w:t> </w:t>
      </w:r>
      <w:r>
        <w:rPr/>
        <w:t>ending</w:t>
      </w:r>
      <w:r>
        <w:rPr>
          <w:spacing w:val="32"/>
        </w:rPr>
        <w:t> </w:t>
      </w:r>
      <w:r>
        <w:rPr/>
        <w:t>values</w:t>
      </w:r>
      <w:r>
        <w:rPr>
          <w:spacing w:val="32"/>
        </w:rPr>
        <w:t> </w:t>
      </w:r>
      <w:r>
        <w:rPr/>
        <w:t>of</w:t>
      </w:r>
      <w:r>
        <w:rPr>
          <w:spacing w:val="33"/>
        </w:rPr>
        <w:t> </w:t>
      </w:r>
      <w:r>
        <w:rPr/>
        <w:t>the</w:t>
      </w:r>
      <w:r>
        <w:rPr>
          <w:spacing w:val="32"/>
        </w:rPr>
        <w:t> </w:t>
      </w:r>
      <w:r>
        <w:rPr/>
        <w:t>DC3</w:t>
      </w:r>
      <w:r>
        <w:rPr>
          <w:spacing w:val="34"/>
        </w:rPr>
        <w:t> </w:t>
      </w:r>
      <w:r>
        <w:rPr>
          <w:spacing w:val="-2"/>
        </w:rPr>
        <w:t>indicator.</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jc w:val="both"/>
      </w:pPr>
      <w:r>
        <w:rPr/>
        <w:t>Moreover, the third layer</w:t>
      </w:r>
      <w:r>
        <w:rPr>
          <w:spacing w:val="-1"/>
        </w:rPr>
        <w:t> </w:t>
      </w:r>
      <w:r>
        <w:rPr/>
        <w:t>of the Cams for the following day created an Inside Value relationship, which forecasted a potential breakout opportunity. Remember, in order for price to accept this forecast, I like to see the opening print occur outside the prior day’s range, and preferable beyond the fourth layer of the indicator. This type of behavior indicates the market is actively seeking new value with conviction. Otherwise, if price opens the day within the prior day’s range and value, much less conviction</w:t>
      </w:r>
      <w:r>
        <w:rPr>
          <w:spacing w:val="-1"/>
        </w:rPr>
        <w:t> </w:t>
      </w:r>
      <w:r>
        <w:rPr/>
        <w:t>is anticipated, although a breakout could still occur.</w:t>
      </w:r>
    </w:p>
    <w:p>
      <w:pPr>
        <w:pStyle w:val="BodyText"/>
        <w:spacing w:before="1"/>
        <w:rPr>
          <w:sz w:val="20"/>
        </w:rPr>
      </w:pPr>
      <w:r>
        <w:rPr/>
        <w:drawing>
          <wp:anchor distT="0" distB="0" distL="0" distR="0" allowOverlap="1" layoutInCell="1" locked="0" behindDoc="0" simplePos="0" relativeHeight="282">
            <wp:simplePos x="0" y="0"/>
            <wp:positionH relativeFrom="page">
              <wp:posOffset>457200</wp:posOffset>
            </wp:positionH>
            <wp:positionV relativeFrom="paragraph">
              <wp:posOffset>162278</wp:posOffset>
            </wp:positionV>
            <wp:extent cx="4342239" cy="3111722"/>
            <wp:effectExtent l="0" t="0" r="0" b="0"/>
            <wp:wrapTopAndBottom/>
            <wp:docPr id="241" name="image127.png"/>
            <wp:cNvGraphicFramePr>
              <a:graphicFrameLocks noChangeAspect="1"/>
            </wp:cNvGraphicFramePr>
            <a:graphic>
              <a:graphicData uri="http://schemas.openxmlformats.org/drawingml/2006/picture">
                <pic:pic>
                  <pic:nvPicPr>
                    <pic:cNvPr id="242" name="image127.png"/>
                    <pic:cNvPicPr/>
                  </pic:nvPicPr>
                  <pic:blipFill>
                    <a:blip r:embed="rId262"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 8.13:</w:t>
      </w:r>
      <w:r>
        <w:rPr>
          <w:spacing w:val="1"/>
          <w:sz w:val="16"/>
        </w:rPr>
        <w:t> </w:t>
      </w:r>
      <w:r>
        <w:rPr>
          <w:sz w:val="16"/>
        </w:rPr>
        <w:t>The</w:t>
      </w:r>
      <w:r>
        <w:rPr>
          <w:spacing w:val="1"/>
          <w:sz w:val="16"/>
        </w:rPr>
        <w:t> </w:t>
      </w:r>
      <w:r>
        <w:rPr>
          <w:sz w:val="16"/>
        </w:rPr>
        <w:t>DC3</w:t>
      </w:r>
      <w:r>
        <w:rPr>
          <w:spacing w:val="1"/>
          <w:sz w:val="16"/>
        </w:rPr>
        <w:t> </w:t>
      </w:r>
      <w:r>
        <w:rPr>
          <w:sz w:val="16"/>
        </w:rPr>
        <w:t>indicator</w:t>
      </w:r>
      <w:r>
        <w:rPr>
          <w:spacing w:val="1"/>
          <w:sz w:val="16"/>
        </w:rPr>
        <w:t> </w:t>
      </w:r>
      <w:r>
        <w:rPr>
          <w:sz w:val="16"/>
        </w:rPr>
        <w:t>helps us</w:t>
      </w:r>
      <w:r>
        <w:rPr>
          <w:spacing w:val="1"/>
          <w:sz w:val="16"/>
        </w:rPr>
        <w:t> </w:t>
      </w:r>
      <w:r>
        <w:rPr>
          <w:sz w:val="16"/>
        </w:rPr>
        <w:t>identify</w:t>
      </w:r>
      <w:r>
        <w:rPr>
          <w:spacing w:val="1"/>
          <w:sz w:val="16"/>
        </w:rPr>
        <w:t> </w:t>
      </w:r>
      <w:r>
        <w:rPr>
          <w:sz w:val="16"/>
        </w:rPr>
        <w:t>an</w:t>
      </w:r>
      <w:r>
        <w:rPr>
          <w:spacing w:val="1"/>
          <w:sz w:val="16"/>
        </w:rPr>
        <w:t> </w:t>
      </w:r>
      <w:r>
        <w:rPr>
          <w:sz w:val="16"/>
        </w:rPr>
        <w:t>Inside</w:t>
      </w:r>
      <w:r>
        <w:rPr>
          <w:spacing w:val="1"/>
          <w:sz w:val="16"/>
        </w:rPr>
        <w:t> </w:t>
      </w:r>
      <w:r>
        <w:rPr>
          <w:sz w:val="16"/>
        </w:rPr>
        <w:t>Value </w:t>
      </w:r>
      <w:r>
        <w:rPr>
          <w:spacing w:val="-2"/>
          <w:sz w:val="16"/>
        </w:rPr>
        <w:t>relationship.</w:t>
      </w:r>
    </w:p>
    <w:p>
      <w:pPr>
        <w:pStyle w:val="BodyText"/>
        <w:spacing w:before="9"/>
        <w:rPr>
          <w:sz w:val="21"/>
        </w:rPr>
      </w:pPr>
    </w:p>
    <w:p>
      <w:pPr>
        <w:pStyle w:val="BodyText"/>
        <w:ind w:left="140" w:right="496" w:firstLine="719"/>
        <w:jc w:val="both"/>
      </w:pPr>
      <w:r>
        <w:rPr/>
        <w:t>Let’s take a look at Figure 8.14 to see how the Inside Value relationship fared the following day. As expected, price saw a powerful breakout right at the open of the market,</w:t>
      </w:r>
      <w:r>
        <w:rPr/>
        <w:t> which sparked steady trending behavior</w:t>
      </w:r>
      <w:r>
        <w:rPr>
          <w:spacing w:val="-1"/>
        </w:rPr>
        <w:t> </w:t>
      </w:r>
      <w:r>
        <w:rPr/>
        <w:t>throughout</w:t>
      </w:r>
      <w:r>
        <w:rPr>
          <w:spacing w:val="-1"/>
        </w:rPr>
        <w:t> </w:t>
      </w:r>
      <w:r>
        <w:rPr/>
        <w:t>the</w:t>
      </w:r>
      <w:r>
        <w:rPr>
          <w:spacing w:val="-1"/>
        </w:rPr>
        <w:t> </w:t>
      </w:r>
      <w:r>
        <w:rPr/>
        <w:t>session.</w:t>
      </w:r>
      <w:r>
        <w:rPr>
          <w:spacing w:val="-1"/>
        </w:rPr>
        <w:t> </w:t>
      </w:r>
      <w:r>
        <w:rPr/>
        <w:t>The</w:t>
      </w:r>
      <w:r>
        <w:rPr>
          <w:spacing w:val="-1"/>
        </w:rPr>
        <w:t> </w:t>
      </w:r>
      <w:r>
        <w:rPr/>
        <w:t>opening</w:t>
      </w:r>
      <w:r>
        <w:rPr>
          <w:spacing w:val="-1"/>
        </w:rPr>
        <w:t> </w:t>
      </w:r>
      <w:r>
        <w:rPr/>
        <w:t>print</w:t>
      </w:r>
      <w:r>
        <w:rPr>
          <w:spacing w:val="-1"/>
        </w:rPr>
        <w:t> </w:t>
      </w:r>
      <w:r>
        <w:rPr/>
        <w:t>for</w:t>
      </w:r>
      <w:r>
        <w:rPr>
          <w:spacing w:val="-1"/>
        </w:rPr>
        <w:t> </w:t>
      </w:r>
      <w:r>
        <w:rPr/>
        <w:t>the</w:t>
      </w:r>
      <w:r>
        <w:rPr>
          <w:spacing w:val="-1"/>
        </w:rPr>
        <w:t> </w:t>
      </w:r>
      <w:r>
        <w:rPr/>
        <w:t>day</w:t>
      </w:r>
      <w:r>
        <w:rPr>
          <w:spacing w:val="-1"/>
        </w:rPr>
        <w:t> </w:t>
      </w:r>
      <w:r>
        <w:rPr/>
        <w:t>confirmed</w:t>
      </w:r>
      <w:r>
        <w:rPr>
          <w:spacing w:val="-1"/>
        </w:rPr>
        <w:t> </w:t>
      </w:r>
      <w:r>
        <w:rPr/>
        <w:t>our initial analysis by occurring beyond the prior day’s range and value. Moreover, the gap occurred beyond the fourth layer of the indicator, which sweetens</w:t>
      </w:r>
      <w:r>
        <w:rPr>
          <w:spacing w:val="-2"/>
        </w:rPr>
        <w:t> </w:t>
      </w:r>
      <w:r>
        <w:rPr/>
        <w:t>the</w:t>
      </w:r>
      <w:r>
        <w:rPr>
          <w:spacing w:val="-1"/>
        </w:rPr>
        <w:t> </w:t>
      </w:r>
      <w:r>
        <w:rPr/>
        <w:t>pot</w:t>
      </w:r>
      <w:r>
        <w:rPr>
          <w:spacing w:val="-2"/>
        </w:rPr>
        <w:t> </w:t>
      </w:r>
      <w:r>
        <w:rPr/>
        <w:t>for</w:t>
      </w:r>
      <w:r>
        <w:rPr>
          <w:spacing w:val="-2"/>
        </w:rPr>
        <w:t> </w:t>
      </w:r>
      <w:r>
        <w:rPr/>
        <w:t>a</w:t>
      </w:r>
      <w:r>
        <w:rPr>
          <w:spacing w:val="-2"/>
        </w:rPr>
        <w:t> </w:t>
      </w:r>
      <w:r>
        <w:rPr/>
        <w:t>breakout</w:t>
      </w:r>
      <w:r>
        <w:rPr>
          <w:spacing w:val="-2"/>
        </w:rPr>
        <w:t> </w:t>
      </w:r>
      <w:r>
        <w:rPr/>
        <w:t>opportunity.</w:t>
      </w:r>
      <w:r>
        <w:rPr>
          <w:spacing w:val="-2"/>
        </w:rPr>
        <w:t> </w:t>
      </w:r>
      <w:r>
        <w:rPr/>
        <w:t>Remember,</w:t>
      </w:r>
      <w:r>
        <w:rPr>
          <w:spacing w:val="-2"/>
        </w:rPr>
        <w:t> </w:t>
      </w:r>
      <w:r>
        <w:rPr/>
        <w:t>this</w:t>
      </w:r>
      <w:r>
        <w:rPr>
          <w:spacing w:val="-2"/>
        </w:rPr>
        <w:t> </w:t>
      </w:r>
      <w:r>
        <w:rPr/>
        <w:t>type</w:t>
      </w:r>
      <w:r>
        <w:rPr>
          <w:spacing w:val="-3"/>
        </w:rPr>
        <w:t> </w:t>
      </w:r>
      <w:r>
        <w:rPr/>
        <w:t>of</w:t>
      </w:r>
      <w:r>
        <w:rPr>
          <w:spacing w:val="-2"/>
        </w:rPr>
        <w:t> </w:t>
      </w:r>
      <w:r>
        <w:rPr/>
        <w:t>behavior is</w:t>
      </w:r>
      <w:r>
        <w:rPr>
          <w:spacing w:val="-1"/>
        </w:rPr>
        <w:t> </w:t>
      </w:r>
      <w:r>
        <w:rPr/>
        <w:t>fueled</w:t>
      </w:r>
      <w:r>
        <w:rPr>
          <w:spacing w:val="-1"/>
        </w:rPr>
        <w:t> </w:t>
      </w:r>
      <w:r>
        <w:rPr/>
        <w:t>by</w:t>
      </w:r>
      <w:r>
        <w:rPr>
          <w:spacing w:val="-1"/>
        </w:rPr>
        <w:t> </w:t>
      </w:r>
      <w:r>
        <w:rPr/>
        <w:t>initiative market</w:t>
      </w:r>
      <w:r>
        <w:rPr>
          <w:spacing w:val="-1"/>
        </w:rPr>
        <w:t> </w:t>
      </w:r>
      <w:r>
        <w:rPr/>
        <w:t>participants,</w:t>
      </w:r>
      <w:r>
        <w:rPr>
          <w:spacing w:val="-1"/>
        </w:rPr>
        <w:t> </w:t>
      </w:r>
      <w:r>
        <w:rPr/>
        <w:t>which</w:t>
      </w:r>
      <w:r>
        <w:rPr>
          <w:spacing w:val="-1"/>
        </w:rPr>
        <w:t> </w:t>
      </w:r>
      <w:r>
        <w:rPr/>
        <w:t>carry</w:t>
      </w:r>
      <w:r>
        <w:rPr>
          <w:spacing w:val="-1"/>
        </w:rPr>
        <w:t> </w:t>
      </w:r>
      <w:r>
        <w:rPr/>
        <w:t>much more conviction than their responsive counterparts. If the market cannot rise to fill the gap within the first fifteen minutes a downside continuation usually occurs,</w:t>
      </w:r>
      <w:r>
        <w:rPr>
          <w:spacing w:val="40"/>
        </w:rPr>
        <w:t> </w:t>
      </w:r>
      <w:r>
        <w:rPr/>
        <w:t>which</w:t>
      </w:r>
      <w:r>
        <w:rPr>
          <w:spacing w:val="25"/>
        </w:rPr>
        <w:t> </w:t>
      </w:r>
      <w:r>
        <w:rPr/>
        <w:t>was</w:t>
      </w:r>
      <w:r>
        <w:rPr>
          <w:spacing w:val="26"/>
        </w:rPr>
        <w:t> </w:t>
      </w:r>
      <w:r>
        <w:rPr/>
        <w:t>the</w:t>
      </w:r>
      <w:r>
        <w:rPr>
          <w:spacing w:val="26"/>
        </w:rPr>
        <w:t> </w:t>
      </w:r>
      <w:r>
        <w:rPr/>
        <w:t>case</w:t>
      </w:r>
      <w:r>
        <w:rPr>
          <w:spacing w:val="26"/>
        </w:rPr>
        <w:t> </w:t>
      </w:r>
      <w:r>
        <w:rPr/>
        <w:t>in</w:t>
      </w:r>
      <w:r>
        <w:rPr>
          <w:spacing w:val="26"/>
        </w:rPr>
        <w:t> </w:t>
      </w:r>
      <w:r>
        <w:rPr/>
        <w:t>this</w:t>
      </w:r>
      <w:r>
        <w:rPr>
          <w:spacing w:val="26"/>
        </w:rPr>
        <w:t> </w:t>
      </w:r>
      <w:r>
        <w:rPr/>
        <w:t>instance.</w:t>
      </w:r>
      <w:r>
        <w:rPr>
          <w:spacing w:val="26"/>
        </w:rPr>
        <w:t> </w:t>
      </w:r>
      <w:r>
        <w:rPr/>
        <w:t>A</w:t>
      </w:r>
      <w:r>
        <w:rPr>
          <w:spacing w:val="25"/>
        </w:rPr>
        <w:t> </w:t>
      </w:r>
      <w:r>
        <w:rPr/>
        <w:t>bearish</w:t>
      </w:r>
      <w:r>
        <w:rPr>
          <w:spacing w:val="26"/>
        </w:rPr>
        <w:t> </w:t>
      </w:r>
      <w:r>
        <w:rPr/>
        <w:t>wick</w:t>
      </w:r>
      <w:r>
        <w:rPr>
          <w:spacing w:val="26"/>
        </w:rPr>
        <w:t> </w:t>
      </w:r>
      <w:r>
        <w:rPr/>
        <w:t>reversal</w:t>
      </w:r>
      <w:r>
        <w:rPr>
          <w:spacing w:val="26"/>
        </w:rPr>
        <w:t> </w:t>
      </w:r>
      <w:r>
        <w:rPr/>
        <w:t>setup</w:t>
      </w:r>
      <w:r>
        <w:rPr>
          <w:spacing w:val="26"/>
        </w:rPr>
        <w:t> </w:t>
      </w:r>
      <w:r>
        <w:rPr>
          <w:spacing w:val="-2"/>
        </w:rPr>
        <w:t>formed</w:t>
      </w:r>
    </w:p>
    <w:p>
      <w:pPr>
        <w:spacing w:after="0"/>
        <w:jc w:val="both"/>
        <w:sectPr>
          <w:pgSz w:w="8640" w:h="12960"/>
          <w:pgMar w:header="579" w:footer="1060" w:top="760" w:bottom="1260" w:left="580" w:right="580"/>
        </w:sectPr>
      </w:pPr>
    </w:p>
    <w:p>
      <w:pPr>
        <w:pStyle w:val="BodyText"/>
        <w:spacing w:before="3"/>
      </w:pPr>
    </w:p>
    <w:p>
      <w:pPr>
        <w:pStyle w:val="BodyText"/>
        <w:spacing w:before="64"/>
        <w:ind w:left="500"/>
      </w:pPr>
      <w:r>
        <w:rPr/>
        <w:t>after</w:t>
      </w:r>
      <w:r>
        <w:rPr>
          <w:spacing w:val="31"/>
        </w:rPr>
        <w:t> </w:t>
      </w:r>
      <w:r>
        <w:rPr/>
        <w:t>the</w:t>
      </w:r>
      <w:r>
        <w:rPr>
          <w:spacing w:val="31"/>
        </w:rPr>
        <w:t> </w:t>
      </w:r>
      <w:r>
        <w:rPr/>
        <w:t>first</w:t>
      </w:r>
      <w:r>
        <w:rPr>
          <w:spacing w:val="32"/>
        </w:rPr>
        <w:t> </w:t>
      </w:r>
      <w:r>
        <w:rPr/>
        <w:t>thirty</w:t>
      </w:r>
      <w:r>
        <w:rPr>
          <w:spacing w:val="31"/>
        </w:rPr>
        <w:t> </w:t>
      </w:r>
      <w:r>
        <w:rPr/>
        <w:t>minutes</w:t>
      </w:r>
      <w:r>
        <w:rPr>
          <w:spacing w:val="32"/>
        </w:rPr>
        <w:t> </w:t>
      </w:r>
      <w:r>
        <w:rPr/>
        <w:t>of</w:t>
      </w:r>
      <w:r>
        <w:rPr>
          <w:spacing w:val="31"/>
        </w:rPr>
        <w:t> </w:t>
      </w:r>
      <w:r>
        <w:rPr/>
        <w:t>trading,</w:t>
      </w:r>
      <w:r>
        <w:rPr>
          <w:spacing w:val="30"/>
        </w:rPr>
        <w:t> </w:t>
      </w:r>
      <w:r>
        <w:rPr/>
        <w:t>which</w:t>
      </w:r>
      <w:r>
        <w:rPr>
          <w:spacing w:val="31"/>
        </w:rPr>
        <w:t> </w:t>
      </w:r>
      <w:r>
        <w:rPr/>
        <w:t>helped</w:t>
      </w:r>
      <w:r>
        <w:rPr>
          <w:spacing w:val="31"/>
        </w:rPr>
        <w:t> </w:t>
      </w:r>
      <w:r>
        <w:rPr/>
        <w:t>to</w:t>
      </w:r>
      <w:r>
        <w:rPr>
          <w:spacing w:val="31"/>
        </w:rPr>
        <w:t> </w:t>
      </w:r>
      <w:r>
        <w:rPr/>
        <w:t>confirm</w:t>
      </w:r>
      <w:r>
        <w:rPr>
          <w:spacing w:val="31"/>
        </w:rPr>
        <w:t> </w:t>
      </w:r>
      <w:r>
        <w:rPr/>
        <w:t>the</w:t>
      </w:r>
      <w:r>
        <w:rPr>
          <w:spacing w:val="31"/>
        </w:rPr>
        <w:t> </w:t>
      </w:r>
      <w:r>
        <w:rPr/>
        <w:t>short </w:t>
      </w:r>
      <w:r>
        <w:rPr>
          <w:spacing w:val="-2"/>
        </w:rPr>
        <w:t>opportunity.</w:t>
      </w:r>
    </w:p>
    <w:p>
      <w:pPr>
        <w:pStyle w:val="BodyText"/>
        <w:spacing w:before="1"/>
        <w:rPr>
          <w:sz w:val="20"/>
        </w:rPr>
      </w:pPr>
      <w:r>
        <w:rPr/>
        <w:drawing>
          <wp:anchor distT="0" distB="0" distL="0" distR="0" allowOverlap="1" layoutInCell="1" locked="0" behindDoc="0" simplePos="0" relativeHeight="283">
            <wp:simplePos x="0" y="0"/>
            <wp:positionH relativeFrom="page">
              <wp:posOffset>685800</wp:posOffset>
            </wp:positionH>
            <wp:positionV relativeFrom="paragraph">
              <wp:posOffset>162147</wp:posOffset>
            </wp:positionV>
            <wp:extent cx="4342239" cy="3111722"/>
            <wp:effectExtent l="0" t="0" r="0" b="0"/>
            <wp:wrapTopAndBottom/>
            <wp:docPr id="243" name="image128.png"/>
            <wp:cNvGraphicFramePr>
              <a:graphicFrameLocks noChangeAspect="1"/>
            </wp:cNvGraphicFramePr>
            <a:graphic>
              <a:graphicData uri="http://schemas.openxmlformats.org/drawingml/2006/picture">
                <pic:pic>
                  <pic:nvPicPr>
                    <pic:cNvPr id="244" name="image128.png"/>
                    <pic:cNvPicPr/>
                  </pic:nvPicPr>
                  <pic:blipFill>
                    <a:blip r:embed="rId263" cstate="print"/>
                    <a:stretch>
                      <a:fillRect/>
                    </a:stretch>
                  </pic:blipFill>
                  <pic:spPr>
                    <a:xfrm>
                      <a:off x="0" y="0"/>
                      <a:ext cx="4342239" cy="3111722"/>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8.14: The</w:t>
      </w:r>
      <w:r>
        <w:rPr>
          <w:spacing w:val="-1"/>
          <w:sz w:val="16"/>
        </w:rPr>
        <w:t> </w:t>
      </w:r>
      <w:r>
        <w:rPr>
          <w:sz w:val="16"/>
        </w:rPr>
        <w:t>Inside Value relationship helped identify</w:t>
      </w:r>
      <w:r>
        <w:rPr>
          <w:spacing w:val="-1"/>
          <w:sz w:val="16"/>
        </w:rPr>
        <w:t> </w:t>
      </w:r>
      <w:r>
        <w:rPr>
          <w:sz w:val="16"/>
        </w:rPr>
        <w:t>this breakaway</w:t>
      </w:r>
      <w:r>
        <w:rPr>
          <w:spacing w:val="-1"/>
          <w:sz w:val="16"/>
        </w:rPr>
        <w:t> </w:t>
      </w:r>
      <w:r>
        <w:rPr>
          <w:spacing w:val="-2"/>
          <w:sz w:val="16"/>
        </w:rPr>
        <w:t>opportunity.</w:t>
      </w:r>
    </w:p>
    <w:p>
      <w:pPr>
        <w:pStyle w:val="BodyText"/>
        <w:spacing w:before="8"/>
        <w:rPr>
          <w:sz w:val="21"/>
        </w:rPr>
      </w:pPr>
    </w:p>
    <w:p>
      <w:pPr>
        <w:pStyle w:val="Heading3"/>
        <w:ind w:left="500"/>
      </w:pPr>
      <w:r>
        <w:rPr/>
        <w:pict>
          <v:shape style="position:absolute;margin-left:55.560001pt;margin-top:16.970318pt;width:340.95pt;height:.1pt;mso-position-horizontal-relative:page;mso-position-vertical-relative:paragraph;z-index:-15583232;mso-wrap-distance-left:0;mso-wrap-distance-right:0" id="docshape814" coordorigin="1111,339" coordsize="6819,0" path="m1111,339l7930,339e" filled="false" stroked="true" strokeweight=".75pt" strokecolor="#000000">
            <v:path arrowok="t"/>
            <v:stroke dashstyle="solid"/>
            <w10:wrap type="topAndBottom"/>
          </v:shape>
        </w:pict>
      </w:r>
      <w:bookmarkStart w:name="_TOC_250023" w:id="68"/>
      <w:r>
        <w:rPr>
          <w:smallCaps/>
        </w:rPr>
        <w:t>The</w:t>
      </w:r>
      <w:r>
        <w:rPr>
          <w:smallCaps/>
          <w:spacing w:val="-8"/>
        </w:rPr>
        <w:t> </w:t>
      </w:r>
      <w:r>
        <w:rPr>
          <w:smallCaps/>
        </w:rPr>
        <w:t>Hidden</w:t>
      </w:r>
      <w:r>
        <w:rPr>
          <w:smallCaps/>
          <w:spacing w:val="-7"/>
        </w:rPr>
        <w:t> </w:t>
      </w:r>
      <w:bookmarkEnd w:id="68"/>
      <w:r>
        <w:rPr>
          <w:smallCaps/>
          <w:spacing w:val="-2"/>
        </w:rPr>
        <w:t>Layers</w:t>
      </w:r>
    </w:p>
    <w:p>
      <w:pPr>
        <w:pStyle w:val="BodyText"/>
        <w:spacing w:before="228"/>
        <w:ind w:left="500" w:right="135" w:firstLine="432"/>
        <w:jc w:val="both"/>
      </w:pPr>
      <w:r>
        <w:rPr/>
        <w:t>In</w:t>
      </w:r>
      <w:r>
        <w:rPr>
          <w:spacing w:val="-1"/>
        </w:rPr>
        <w:t> </w:t>
      </w:r>
      <w:r>
        <w:rPr/>
        <w:t>Chapter</w:t>
      </w:r>
      <w:r>
        <w:rPr>
          <w:spacing w:val="-1"/>
        </w:rPr>
        <w:t> </w:t>
      </w:r>
      <w:r>
        <w:rPr/>
        <w:t>7, I mentioned most</w:t>
      </w:r>
      <w:r>
        <w:rPr>
          <w:spacing w:val="-1"/>
        </w:rPr>
        <w:t> </w:t>
      </w:r>
      <w:r>
        <w:rPr/>
        <w:t>traders</w:t>
      </w:r>
      <w:r>
        <w:rPr>
          <w:spacing w:val="-1"/>
        </w:rPr>
        <w:t> </w:t>
      </w:r>
      <w:r>
        <w:rPr/>
        <w:t>ignore</w:t>
      </w:r>
      <w:r>
        <w:rPr>
          <w:spacing w:val="-1"/>
        </w:rPr>
        <w:t> </w:t>
      </w:r>
      <w:r>
        <w:rPr/>
        <w:t>the</w:t>
      </w:r>
      <w:r>
        <w:rPr>
          <w:spacing w:val="-1"/>
        </w:rPr>
        <w:t> </w:t>
      </w:r>
      <w:r>
        <w:rPr/>
        <w:t>first</w:t>
      </w:r>
      <w:r>
        <w:rPr>
          <w:spacing w:val="-1"/>
        </w:rPr>
        <w:t> </w:t>
      </w:r>
      <w:r>
        <w:rPr/>
        <w:t>and</w:t>
      </w:r>
      <w:r>
        <w:rPr>
          <w:spacing w:val="-1"/>
        </w:rPr>
        <w:t> </w:t>
      </w:r>
      <w:r>
        <w:rPr/>
        <w:t>second</w:t>
      </w:r>
      <w:r>
        <w:rPr>
          <w:spacing w:val="-1"/>
        </w:rPr>
        <w:t> </w:t>
      </w:r>
      <w:r>
        <w:rPr/>
        <w:t>layers of the Camarilla Equation, which I call the </w:t>
      </w:r>
      <w:r>
        <w:rPr>
          <w:i/>
        </w:rPr>
        <w:t>Hidden Layers</w:t>
      </w:r>
      <w:r>
        <w:rPr/>
        <w:t>. However, given the right circumstances, these levels can be extremely useful to your trading. Since the prior session’s high, low, and close are used to calculate the pivots for</w:t>
      </w:r>
      <w:r>
        <w:rPr>
          <w:spacing w:val="-3"/>
        </w:rPr>
        <w:t> </w:t>
      </w:r>
      <w:r>
        <w:rPr/>
        <w:t>the</w:t>
      </w:r>
      <w:r>
        <w:rPr>
          <w:spacing w:val="-2"/>
        </w:rPr>
        <w:t> </w:t>
      </w:r>
      <w:r>
        <w:rPr/>
        <w:t>current</w:t>
      </w:r>
      <w:r>
        <w:rPr>
          <w:spacing w:val="-2"/>
        </w:rPr>
        <w:t> </w:t>
      </w:r>
      <w:r>
        <w:rPr/>
        <w:t>day,</w:t>
      </w:r>
      <w:r>
        <w:rPr>
          <w:spacing w:val="-2"/>
        </w:rPr>
        <w:t> </w:t>
      </w:r>
      <w:r>
        <w:rPr/>
        <w:t>the</w:t>
      </w:r>
      <w:r>
        <w:rPr>
          <w:spacing w:val="-2"/>
        </w:rPr>
        <w:t> </w:t>
      </w:r>
      <w:r>
        <w:rPr/>
        <w:t>prior</w:t>
      </w:r>
      <w:r>
        <w:rPr>
          <w:spacing w:val="-3"/>
        </w:rPr>
        <w:t> </w:t>
      </w:r>
      <w:r>
        <w:rPr/>
        <w:t>day’s</w:t>
      </w:r>
      <w:r>
        <w:rPr>
          <w:spacing w:val="-2"/>
        </w:rPr>
        <w:t> </w:t>
      </w:r>
      <w:r>
        <w:rPr/>
        <w:t>range</w:t>
      </w:r>
      <w:r>
        <w:rPr>
          <w:spacing w:val="-3"/>
        </w:rPr>
        <w:t> </w:t>
      </w:r>
      <w:r>
        <w:rPr/>
        <w:t>will</w:t>
      </w:r>
      <w:r>
        <w:rPr>
          <w:spacing w:val="-3"/>
        </w:rPr>
        <w:t> </w:t>
      </w:r>
      <w:r>
        <w:rPr/>
        <w:t>dictate</w:t>
      </w:r>
      <w:r>
        <w:rPr>
          <w:spacing w:val="-1"/>
        </w:rPr>
        <w:t> </w:t>
      </w:r>
      <w:r>
        <w:rPr/>
        <w:t>when</w:t>
      </w:r>
      <w:r>
        <w:rPr>
          <w:spacing w:val="-2"/>
        </w:rPr>
        <w:t> </w:t>
      </w:r>
      <w:r>
        <w:rPr/>
        <w:t>it</w:t>
      </w:r>
      <w:r>
        <w:rPr>
          <w:spacing w:val="-2"/>
        </w:rPr>
        <w:t> </w:t>
      </w:r>
      <w:r>
        <w:rPr/>
        <w:t>is</w:t>
      </w:r>
      <w:r>
        <w:rPr>
          <w:spacing w:val="-2"/>
        </w:rPr>
        <w:t> </w:t>
      </w:r>
      <w:r>
        <w:rPr/>
        <w:t>useful</w:t>
      </w:r>
      <w:r>
        <w:rPr>
          <w:spacing w:val="-2"/>
        </w:rPr>
        <w:t> </w:t>
      </w:r>
      <w:r>
        <w:rPr/>
        <w:t>to</w:t>
      </w:r>
      <w:r>
        <w:rPr>
          <w:spacing w:val="-2"/>
        </w:rPr>
        <w:t> </w:t>
      </w:r>
      <w:r>
        <w:rPr/>
        <w:t>trade from the hidden layers of the indicator. In other words, when the prior day’s range is excessively larger than normal, the pivots for the following session become abnormally wide, thus allowing you to profit using these hidden layers. When this occurs, you can basically ignore all pivots outside of L3 and H3, as the market will likely become trading range bound. Therefore, unlike the Money Zone and Floor Pivot indicators, the Camarilla Equation provides a better way to play Trading Range and Sideways Days when the pivots are unusually wide.</w:t>
      </w:r>
    </w:p>
    <w:p>
      <w:pPr>
        <w:pStyle w:val="BodyText"/>
        <w:spacing w:before="1"/>
        <w:ind w:left="500" w:right="137" w:firstLine="432"/>
        <w:jc w:val="both"/>
      </w:pPr>
      <w:r>
        <w:rPr/>
        <w:t>For example, if the Mini-sized Dow futures contract were to have a range of over three hundred points, the next day’s pivots will be vastly wider</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7"/>
        <w:jc w:val="both"/>
      </w:pPr>
      <w:r>
        <w:rPr/>
        <w:t>than normal. If you are looking to trade a reversal off H3 to the traditional target of L3, you are less likely to reach your target since these pivots are spaced</w:t>
      </w:r>
      <w:r>
        <w:rPr>
          <w:spacing w:val="-2"/>
        </w:rPr>
        <w:t> </w:t>
      </w:r>
      <w:r>
        <w:rPr/>
        <w:t>wider</w:t>
      </w:r>
      <w:r>
        <w:rPr>
          <w:spacing w:val="-1"/>
        </w:rPr>
        <w:t> </w:t>
      </w:r>
      <w:r>
        <w:rPr/>
        <w:t>apart</w:t>
      </w:r>
      <w:r>
        <w:rPr>
          <w:spacing w:val="-2"/>
        </w:rPr>
        <w:t> </w:t>
      </w:r>
      <w:r>
        <w:rPr/>
        <w:t>than</w:t>
      </w:r>
      <w:r>
        <w:rPr>
          <w:spacing w:val="-2"/>
        </w:rPr>
        <w:t> </w:t>
      </w:r>
      <w:r>
        <w:rPr/>
        <w:t>normal.</w:t>
      </w:r>
      <w:r>
        <w:rPr>
          <w:spacing w:val="-2"/>
        </w:rPr>
        <w:t> </w:t>
      </w:r>
      <w:r>
        <w:rPr/>
        <w:t>Actually,</w:t>
      </w:r>
      <w:r>
        <w:rPr>
          <w:spacing w:val="-4"/>
        </w:rPr>
        <w:t> </w:t>
      </w:r>
      <w:r>
        <w:rPr/>
        <w:t>you</w:t>
      </w:r>
      <w:r>
        <w:rPr>
          <w:spacing w:val="-2"/>
        </w:rPr>
        <w:t> </w:t>
      </w:r>
      <w:r>
        <w:rPr/>
        <w:t>may</w:t>
      </w:r>
      <w:r>
        <w:rPr>
          <w:spacing w:val="-2"/>
        </w:rPr>
        <w:t> </w:t>
      </w:r>
      <w:r>
        <w:rPr/>
        <w:t>not</w:t>
      </w:r>
      <w:r>
        <w:rPr>
          <w:spacing w:val="-3"/>
        </w:rPr>
        <w:t> </w:t>
      </w:r>
      <w:r>
        <w:rPr/>
        <w:t>even</w:t>
      </w:r>
      <w:r>
        <w:rPr>
          <w:spacing w:val="-2"/>
        </w:rPr>
        <w:t> </w:t>
      </w:r>
      <w:r>
        <w:rPr/>
        <w:t>have</w:t>
      </w:r>
      <w:r>
        <w:rPr>
          <w:spacing w:val="-2"/>
        </w:rPr>
        <w:t> </w:t>
      </w:r>
      <w:r>
        <w:rPr/>
        <w:t>a</w:t>
      </w:r>
      <w:r>
        <w:rPr>
          <w:spacing w:val="-2"/>
        </w:rPr>
        <w:t> </w:t>
      </w:r>
      <w:r>
        <w:rPr/>
        <w:t>chance</w:t>
      </w:r>
      <w:r>
        <w:rPr>
          <w:spacing w:val="-2"/>
        </w:rPr>
        <w:t> </w:t>
      </w:r>
      <w:r>
        <w:rPr/>
        <w:t>to trade an L3 or H3 reversal because the pivots may be so wide that price may never venture out from the inner two layers of the indicator.</w:t>
      </w:r>
    </w:p>
    <w:p>
      <w:pPr>
        <w:pStyle w:val="BodyText"/>
        <w:spacing w:before="1"/>
      </w:pPr>
    </w:p>
    <w:p>
      <w:pPr>
        <w:spacing w:before="0"/>
        <w:ind w:left="364" w:right="519" w:hanging="99"/>
        <w:jc w:val="left"/>
        <w:rPr>
          <w:i/>
          <w:sz w:val="22"/>
        </w:rPr>
      </w:pPr>
      <w:r>
        <w:rPr>
          <w:i/>
          <w:sz w:val="22"/>
        </w:rPr>
        <w:t>The</w:t>
      </w:r>
      <w:r>
        <w:rPr>
          <w:i/>
          <w:spacing w:val="-3"/>
          <w:sz w:val="22"/>
        </w:rPr>
        <w:t> </w:t>
      </w:r>
      <w:r>
        <w:rPr>
          <w:i/>
          <w:sz w:val="22"/>
        </w:rPr>
        <w:t>first</w:t>
      </w:r>
      <w:r>
        <w:rPr>
          <w:i/>
          <w:spacing w:val="-3"/>
          <w:sz w:val="22"/>
        </w:rPr>
        <w:t> </w:t>
      </w:r>
      <w:r>
        <w:rPr>
          <w:i/>
          <w:sz w:val="22"/>
        </w:rPr>
        <w:t>and</w:t>
      </w:r>
      <w:r>
        <w:rPr>
          <w:i/>
          <w:spacing w:val="-5"/>
          <w:sz w:val="22"/>
        </w:rPr>
        <w:t> </w:t>
      </w:r>
      <w:r>
        <w:rPr>
          <w:i/>
          <w:sz w:val="22"/>
        </w:rPr>
        <w:t>second</w:t>
      </w:r>
      <w:r>
        <w:rPr>
          <w:i/>
          <w:spacing w:val="-4"/>
          <w:sz w:val="22"/>
        </w:rPr>
        <w:t> </w:t>
      </w:r>
      <w:r>
        <w:rPr>
          <w:i/>
          <w:sz w:val="22"/>
        </w:rPr>
        <w:t>layers</w:t>
      </w:r>
      <w:r>
        <w:rPr>
          <w:i/>
          <w:spacing w:val="-2"/>
          <w:sz w:val="22"/>
        </w:rPr>
        <w:t> </w:t>
      </w:r>
      <w:r>
        <w:rPr>
          <w:i/>
          <w:sz w:val="22"/>
        </w:rPr>
        <w:t>of</w:t>
      </w:r>
      <w:r>
        <w:rPr>
          <w:i/>
          <w:spacing w:val="-3"/>
          <w:sz w:val="22"/>
        </w:rPr>
        <w:t> </w:t>
      </w:r>
      <w:r>
        <w:rPr>
          <w:i/>
          <w:sz w:val="22"/>
        </w:rPr>
        <w:t>the</w:t>
      </w:r>
      <w:r>
        <w:rPr>
          <w:i/>
          <w:spacing w:val="-3"/>
          <w:sz w:val="22"/>
        </w:rPr>
        <w:t> </w:t>
      </w:r>
      <w:r>
        <w:rPr>
          <w:i/>
          <w:sz w:val="22"/>
        </w:rPr>
        <w:t>Camarilla</w:t>
      </w:r>
      <w:r>
        <w:rPr>
          <w:i/>
          <w:spacing w:val="-3"/>
          <w:sz w:val="22"/>
        </w:rPr>
        <w:t> </w:t>
      </w:r>
      <w:r>
        <w:rPr>
          <w:i/>
          <w:sz w:val="22"/>
        </w:rPr>
        <w:t>indicator</w:t>
      </w:r>
      <w:r>
        <w:rPr>
          <w:i/>
          <w:spacing w:val="-5"/>
          <w:sz w:val="22"/>
        </w:rPr>
        <w:t> </w:t>
      </w:r>
      <w:r>
        <w:rPr>
          <w:i/>
          <w:sz w:val="22"/>
        </w:rPr>
        <w:t>are</w:t>
      </w:r>
      <w:r>
        <w:rPr>
          <w:i/>
          <w:spacing w:val="-3"/>
          <w:sz w:val="22"/>
        </w:rPr>
        <w:t> </w:t>
      </w:r>
      <w:r>
        <w:rPr>
          <w:i/>
          <w:sz w:val="22"/>
        </w:rPr>
        <w:t>like</w:t>
      </w:r>
      <w:r>
        <w:rPr>
          <w:i/>
          <w:spacing w:val="-3"/>
          <w:sz w:val="22"/>
        </w:rPr>
        <w:t> </w:t>
      </w:r>
      <w:r>
        <w:rPr>
          <w:i/>
          <w:sz w:val="22"/>
        </w:rPr>
        <w:t>a</w:t>
      </w:r>
      <w:r>
        <w:rPr>
          <w:i/>
          <w:spacing w:val="-3"/>
          <w:sz w:val="22"/>
        </w:rPr>
        <w:t> </w:t>
      </w:r>
      <w:r>
        <w:rPr>
          <w:i/>
          <w:sz w:val="22"/>
        </w:rPr>
        <w:t>swimming</w:t>
      </w:r>
      <w:r>
        <w:rPr>
          <w:i/>
          <w:sz w:val="22"/>
        </w:rPr>
        <w:t> pool, you don’t always use it, but when the day is nice you enjoy a swim.</w:t>
      </w:r>
    </w:p>
    <w:p>
      <w:pPr>
        <w:pStyle w:val="BodyText"/>
        <w:spacing w:before="10"/>
        <w:rPr>
          <w:i/>
          <w:sz w:val="21"/>
        </w:rPr>
      </w:pPr>
    </w:p>
    <w:p>
      <w:pPr>
        <w:pStyle w:val="BodyText"/>
        <w:ind w:left="140" w:right="497" w:firstLine="432"/>
        <w:jc w:val="both"/>
      </w:pPr>
      <w:r>
        <w:rPr/>
        <w:t>Keep in mind that unlike the trading dynamic of H3 and H4 (or L3 and L4) where one pivot is played for a reversal and the other a breakout, the Hidden Layers (H1, H2, L1, L2) are always played for reversals just like the third layer of the indicator, see Figure 8.15. That is, H1 and H2 are to be played for bearish reversals like H3, and L1 and L2 should be played for bullish reversals like L3. This type of relationship falls perfectly in line with how a Trading Range Day should be played.</w:t>
      </w:r>
    </w:p>
    <w:p>
      <w:pPr>
        <w:pStyle w:val="BodyText"/>
        <w:spacing w:before="1"/>
        <w:rPr>
          <w:sz w:val="20"/>
        </w:rPr>
      </w:pPr>
      <w:r>
        <w:rPr/>
        <w:pict>
          <v:group style="position:absolute;margin-left:62.654999pt;margin-top:12.816396pt;width:288.75pt;height:205.8pt;mso-position-horizontal-relative:page;mso-position-vertical-relative:paragraph;z-index:-15582720;mso-wrap-distance-left:0;mso-wrap-distance-right:0" id="docshapegroup815" coordorigin="1253,256" coordsize="5775,4116">
            <v:rect style="position:absolute;left:1261;top:263;width:5759;height:4101" id="docshape816" filled="false" stroked="true" strokeweight=".75pt" strokecolor="#000000">
              <v:stroke dashstyle="solid"/>
            </v:rect>
            <v:line style="position:absolute" from="3772,1393" to="6272,1393" stroked="true" strokeweight="1.5pt" strokecolor="#000000">
              <v:stroke dashstyle="solid"/>
            </v:line>
            <v:line style="position:absolute" from="3772,3702" to="6272,3702" stroked="true" strokeweight="1.5pt" strokecolor="#000000">
              <v:stroke dashstyle="solid"/>
            </v:line>
            <v:line style="position:absolute" from="3772,1809" to="6272,1809" stroked="true" strokeweight=".75pt" strokecolor="#000000">
              <v:stroke dashstyle="solid"/>
            </v:line>
            <v:line style="position:absolute" from="3772,2190" to="6272,2190" stroked="true" strokeweight=".75pt" strokecolor="#000000">
              <v:stroke dashstyle="solid"/>
            </v:line>
            <v:line style="position:absolute" from="3772,3335" to="6272,3335" stroked="true" strokeweight=".75pt" strokecolor="#000000">
              <v:stroke dashstyle="solid"/>
            </v:line>
            <v:line style="position:absolute" from="3772,2994" to="6272,2994" stroked="true" strokeweight=".75pt" strokecolor="#000000">
              <v:stroke dashstyle="solid"/>
            </v:line>
            <v:line style="position:absolute" from="3228,1255" to="3011,1255" stroked="true" strokeweight=".75pt" strokecolor="#000000">
              <v:stroke dashstyle="solid"/>
            </v:line>
            <v:line style="position:absolute" from="3228,2328" to="3011,2328" stroked="true" strokeweight=".75pt" strokecolor="#000000">
              <v:stroke dashstyle="solid"/>
            </v:line>
            <v:line style="position:absolute" from="3011,1255" to="3011,2328" stroked="true" strokeweight=".75pt" strokecolor="#000000">
              <v:stroke dashstyle="solid"/>
            </v:line>
            <v:line style="position:absolute" from="2816,1800" to="3011,1800" stroked="true" strokeweight=".75pt" strokecolor="#000000">
              <v:stroke dashstyle="solid"/>
            </v:line>
            <v:line style="position:absolute" from="3228,2814" to="3011,2814" stroked="true" strokeweight=".75pt" strokecolor="#000000">
              <v:stroke dashstyle="solid"/>
            </v:line>
            <v:line style="position:absolute" from="3228,3885" to="3011,3885" stroked="true" strokeweight=".75pt" strokecolor="#000000">
              <v:stroke dashstyle="solid"/>
            </v:line>
            <v:line style="position:absolute" from="3011,2814" to="3011,3885" stroked="true" strokeweight=".75pt" strokecolor="#000000">
              <v:stroke dashstyle="solid"/>
            </v:line>
            <v:line style="position:absolute" from="2816,3359" to="3011,3359" stroked="true" strokeweight=".75pt" strokecolor="#000000">
              <v:stroke dashstyle="solid"/>
            </v:line>
            <v:shape style="position:absolute;left:3302;top:1321;width:265;height:201" type="#_x0000_t202" id="docshape817" filled="false" stroked="false">
              <v:textbox inset="0,0,0,0">
                <w:txbxContent>
                  <w:p>
                    <w:pPr>
                      <w:spacing w:line="199" w:lineRule="exact" w:before="0"/>
                      <w:ind w:left="0" w:right="0" w:firstLine="0"/>
                      <w:jc w:val="left"/>
                      <w:rPr>
                        <w:rFonts w:ascii="Tahoma"/>
                        <w:sz w:val="20"/>
                      </w:rPr>
                    </w:pPr>
                    <w:r>
                      <w:rPr>
                        <w:rFonts w:ascii="Tahoma"/>
                        <w:spacing w:val="-5"/>
                        <w:sz w:val="20"/>
                      </w:rPr>
                      <w:t>H3</w:t>
                    </w:r>
                  </w:p>
                </w:txbxContent>
              </v:textbox>
              <w10:wrap type="none"/>
            </v:shape>
            <v:shape style="position:absolute;left:1851;top:1491;width:769;height:684" type="#_x0000_t202" id="docshape818" filled="false" stroked="false">
              <v:textbox inset="0,0,0,0">
                <w:txbxContent>
                  <w:p>
                    <w:pPr>
                      <w:spacing w:line="199" w:lineRule="exact" w:before="0"/>
                      <w:ind w:left="50" w:right="0" w:firstLine="0"/>
                      <w:jc w:val="left"/>
                      <w:rPr>
                        <w:rFonts w:ascii="Tahoma"/>
                        <w:sz w:val="20"/>
                      </w:rPr>
                    </w:pPr>
                    <w:r>
                      <w:rPr>
                        <w:rFonts w:ascii="Tahoma"/>
                        <w:spacing w:val="-2"/>
                        <w:sz w:val="20"/>
                      </w:rPr>
                      <w:t>Bearish</w:t>
                    </w:r>
                  </w:p>
                  <w:p>
                    <w:pPr>
                      <w:spacing w:before="0"/>
                      <w:ind w:left="110" w:right="0" w:hanging="111"/>
                      <w:jc w:val="left"/>
                      <w:rPr>
                        <w:rFonts w:ascii="Tahoma"/>
                        <w:sz w:val="20"/>
                      </w:rPr>
                    </w:pPr>
                    <w:r>
                      <w:rPr>
                        <w:rFonts w:ascii="Tahoma"/>
                        <w:spacing w:val="-2"/>
                        <w:sz w:val="20"/>
                      </w:rPr>
                      <w:t>Reversal Zones</w:t>
                    </w:r>
                  </w:p>
                </w:txbxContent>
              </v:textbox>
              <w10:wrap type="none"/>
            </v:shape>
            <v:shape style="position:absolute;left:3302;top:1743;width:265;height:575" type="#_x0000_t202" id="docshape819" filled="false" stroked="false">
              <v:textbox inset="0,0,0,0">
                <w:txbxContent>
                  <w:p>
                    <w:pPr>
                      <w:spacing w:line="199" w:lineRule="exact" w:before="0"/>
                      <w:ind w:left="0" w:right="0" w:firstLine="0"/>
                      <w:jc w:val="left"/>
                      <w:rPr>
                        <w:rFonts w:ascii="Tahoma"/>
                        <w:sz w:val="20"/>
                      </w:rPr>
                    </w:pPr>
                    <w:r>
                      <w:rPr>
                        <w:rFonts w:ascii="Tahoma"/>
                        <w:spacing w:val="-5"/>
                        <w:sz w:val="20"/>
                      </w:rPr>
                      <w:t>H2</w:t>
                    </w:r>
                  </w:p>
                  <w:p>
                    <w:pPr>
                      <w:spacing w:before="133"/>
                      <w:ind w:left="0" w:right="0" w:firstLine="0"/>
                      <w:jc w:val="left"/>
                      <w:rPr>
                        <w:rFonts w:ascii="Tahoma"/>
                        <w:sz w:val="20"/>
                      </w:rPr>
                    </w:pPr>
                    <w:r>
                      <w:rPr>
                        <w:rFonts w:ascii="Tahoma"/>
                        <w:spacing w:val="-5"/>
                        <w:sz w:val="20"/>
                      </w:rPr>
                      <w:t>H1</w:t>
                    </w:r>
                  </w:p>
                </w:txbxContent>
              </v:textbox>
              <w10:wrap type="none"/>
            </v:shape>
            <v:shape style="position:absolute;left:1864;top:3048;width:769;height:684" type="#_x0000_t202" id="docshape820" filled="false" stroked="false">
              <v:textbox inset="0,0,0,0">
                <w:txbxContent>
                  <w:p>
                    <w:pPr>
                      <w:spacing w:line="199" w:lineRule="exact" w:before="0"/>
                      <w:ind w:left="89" w:right="0" w:firstLine="0"/>
                      <w:jc w:val="left"/>
                      <w:rPr>
                        <w:rFonts w:ascii="Tahoma"/>
                        <w:sz w:val="20"/>
                      </w:rPr>
                    </w:pPr>
                    <w:r>
                      <w:rPr>
                        <w:rFonts w:ascii="Tahoma"/>
                        <w:spacing w:val="-2"/>
                        <w:sz w:val="20"/>
                      </w:rPr>
                      <w:t>Bullish</w:t>
                    </w:r>
                  </w:p>
                  <w:p>
                    <w:pPr>
                      <w:spacing w:before="1"/>
                      <w:ind w:left="110" w:right="0" w:hanging="111"/>
                      <w:jc w:val="left"/>
                      <w:rPr>
                        <w:rFonts w:ascii="Tahoma"/>
                        <w:sz w:val="20"/>
                      </w:rPr>
                    </w:pPr>
                    <w:r>
                      <w:rPr>
                        <w:rFonts w:ascii="Tahoma"/>
                        <w:spacing w:val="-2"/>
                        <w:sz w:val="20"/>
                      </w:rPr>
                      <w:t>Reversal Zones</w:t>
                    </w:r>
                  </w:p>
                </w:txbxContent>
              </v:textbox>
              <w10:wrap type="none"/>
            </v:shape>
            <v:shape style="position:absolute;left:3302;top:2928;width:229;height:900" type="#_x0000_t202" id="docshape821" filled="false" stroked="false">
              <v:textbox inset="0,0,0,0">
                <w:txbxContent>
                  <w:p>
                    <w:pPr>
                      <w:spacing w:line="199" w:lineRule="exact" w:before="0"/>
                      <w:ind w:left="0" w:right="0" w:firstLine="0"/>
                      <w:jc w:val="left"/>
                      <w:rPr>
                        <w:rFonts w:ascii="Tahoma"/>
                        <w:sz w:val="20"/>
                      </w:rPr>
                    </w:pPr>
                    <w:r>
                      <w:rPr>
                        <w:rFonts w:ascii="Tahoma"/>
                        <w:spacing w:val="-5"/>
                        <w:sz w:val="20"/>
                      </w:rPr>
                      <w:t>L1</w:t>
                    </w:r>
                  </w:p>
                  <w:p>
                    <w:pPr>
                      <w:spacing w:line="358" w:lineRule="exact" w:before="0"/>
                      <w:ind w:left="0" w:right="10" w:firstLine="0"/>
                      <w:jc w:val="left"/>
                      <w:rPr>
                        <w:rFonts w:ascii="Tahoma"/>
                        <w:sz w:val="20"/>
                      </w:rPr>
                    </w:pPr>
                    <w:r>
                      <w:rPr>
                        <w:rFonts w:ascii="Tahoma"/>
                        <w:spacing w:val="-6"/>
                        <w:sz w:val="20"/>
                      </w:rPr>
                      <w:t>L2 </w:t>
                    </w:r>
                    <w:r>
                      <w:rPr>
                        <w:rFonts w:ascii="Tahoma"/>
                        <w:spacing w:val="-5"/>
                        <w:sz w:val="20"/>
                      </w:rPr>
                      <w:t>L3</w:t>
                    </w:r>
                  </w:p>
                </w:txbxContent>
              </v:textbox>
              <w10:wrap type="none"/>
            </v:shape>
            <v:shape style="position:absolute;left:1261;top:265;width:5759;height:544" type="#_x0000_t202" id="docshape822" filled="true" fillcolor="#000000" stroked="true" strokeweight=".81pt" strokecolor="#000000">
              <v:textbox inset="0,0,0,0">
                <w:txbxContent>
                  <w:p>
                    <w:pPr>
                      <w:spacing w:before="71"/>
                      <w:ind w:left="606" w:right="0" w:firstLine="0"/>
                      <w:jc w:val="left"/>
                      <w:rPr>
                        <w:rFonts w:ascii="Verdana"/>
                        <w:color w:val="000000"/>
                        <w:sz w:val="28"/>
                      </w:rPr>
                    </w:pPr>
                    <w:r>
                      <w:rPr>
                        <w:rFonts w:ascii="Verdana"/>
                        <w:color w:val="FFFFFF"/>
                        <w:sz w:val="28"/>
                      </w:rPr>
                      <w:t>The</w:t>
                    </w:r>
                    <w:r>
                      <w:rPr>
                        <w:rFonts w:ascii="Verdana"/>
                        <w:color w:val="FFFFFF"/>
                        <w:spacing w:val="-17"/>
                        <w:sz w:val="28"/>
                      </w:rPr>
                      <w:t> </w:t>
                    </w:r>
                    <w:r>
                      <w:rPr>
                        <w:rFonts w:ascii="Verdana"/>
                        <w:color w:val="FFFFFF"/>
                        <w:sz w:val="28"/>
                      </w:rPr>
                      <w:t>First</w:t>
                    </w:r>
                    <w:r>
                      <w:rPr>
                        <w:rFonts w:ascii="Verdana"/>
                        <w:color w:val="FFFFFF"/>
                        <w:spacing w:val="-15"/>
                        <w:sz w:val="28"/>
                      </w:rPr>
                      <w:t> </w:t>
                    </w:r>
                    <w:r>
                      <w:rPr>
                        <w:rFonts w:ascii="Verdana"/>
                        <w:color w:val="FFFFFF"/>
                        <w:sz w:val="28"/>
                      </w:rPr>
                      <w:t>Three</w:t>
                    </w:r>
                    <w:r>
                      <w:rPr>
                        <w:rFonts w:ascii="Verdana"/>
                        <w:color w:val="FFFFFF"/>
                        <w:spacing w:val="-16"/>
                        <w:sz w:val="28"/>
                      </w:rPr>
                      <w:t> </w:t>
                    </w:r>
                    <w:r>
                      <w:rPr>
                        <w:rFonts w:ascii="Verdana"/>
                        <w:color w:val="FFFFFF"/>
                        <w:sz w:val="28"/>
                      </w:rPr>
                      <w:t>Camarilla</w:t>
                    </w:r>
                    <w:r>
                      <w:rPr>
                        <w:rFonts w:ascii="Verdana"/>
                        <w:color w:val="FFFFFF"/>
                        <w:spacing w:val="-16"/>
                        <w:sz w:val="28"/>
                      </w:rPr>
                      <w:t> </w:t>
                    </w:r>
                    <w:r>
                      <w:rPr>
                        <w:rFonts w:ascii="Verdana"/>
                        <w:color w:val="FFFFFF"/>
                        <w:spacing w:val="-2"/>
                        <w:sz w:val="28"/>
                      </w:rPr>
                      <w:t>Layers</w:t>
                    </w:r>
                  </w:p>
                </w:txbxContent>
              </v:textbox>
              <v:fill type="solid"/>
              <v:stroke dashstyle="solid"/>
              <w10:wrap type="none"/>
            </v:shape>
            <w10:wrap type="topAndBottom"/>
          </v:group>
        </w:pict>
      </w:r>
    </w:p>
    <w:p>
      <w:pPr>
        <w:spacing w:before="0"/>
        <w:ind w:left="644" w:right="0" w:firstLine="0"/>
        <w:jc w:val="left"/>
        <w:rPr>
          <w:sz w:val="16"/>
        </w:rPr>
      </w:pPr>
      <w:r>
        <w:rPr>
          <w:sz w:val="16"/>
        </w:rPr>
        <w:t>FIGURE 8.15: The inner two layers</w:t>
      </w:r>
      <w:r>
        <w:rPr>
          <w:spacing w:val="1"/>
          <w:sz w:val="16"/>
        </w:rPr>
        <w:t> </w:t>
      </w:r>
      <w:r>
        <w:rPr>
          <w:sz w:val="16"/>
        </w:rPr>
        <w:t>are played for reversals</w:t>
      </w:r>
      <w:r>
        <w:rPr>
          <w:spacing w:val="1"/>
          <w:sz w:val="16"/>
        </w:rPr>
        <w:t> </w:t>
      </w:r>
      <w:r>
        <w:rPr>
          <w:sz w:val="16"/>
        </w:rPr>
        <w:t>like H3 and</w:t>
      </w:r>
      <w:r>
        <w:rPr>
          <w:spacing w:val="1"/>
          <w:sz w:val="16"/>
        </w:rPr>
        <w:t> </w:t>
      </w:r>
      <w:r>
        <w:rPr>
          <w:spacing w:val="-5"/>
          <w:sz w:val="16"/>
        </w:rPr>
        <w:t>L3.</w:t>
      </w:r>
    </w:p>
    <w:p>
      <w:pPr>
        <w:pStyle w:val="BodyText"/>
        <w:spacing w:before="9"/>
        <w:rPr>
          <w:sz w:val="21"/>
        </w:rPr>
      </w:pPr>
    </w:p>
    <w:p>
      <w:pPr>
        <w:pStyle w:val="BodyText"/>
        <w:ind w:left="139" w:right="496" w:firstLine="432"/>
        <w:jc w:val="both"/>
      </w:pPr>
      <w:r>
        <w:rPr/>
        <w:t>As a rule of thumb, anytime the market experiences a trending session</w:t>
      </w:r>
      <w:r>
        <w:rPr>
          <w:spacing w:val="40"/>
        </w:rPr>
        <w:t> </w:t>
      </w:r>
      <w:r>
        <w:rPr/>
        <w:t>or a session with a wide range of movement, you will want to consider turning on the hidden layers of the indicator the following day. In our software, the indicator has an option to hide or reveal the inner two layers of the indicator, which I usually hide unless the prior session has an abnormally wide range. I have actually created mechanical trading strategies that automatically determine which set of pivots to use depending on pivot width.</w:t>
      </w:r>
    </w:p>
    <w:p>
      <w:pPr>
        <w:spacing w:after="0"/>
        <w:jc w:val="both"/>
        <w:sectPr>
          <w:pgSz w:w="8640" w:h="12960"/>
          <w:pgMar w:header="579" w:footer="1060" w:top="760" w:bottom="1180" w:left="580" w:right="580"/>
        </w:sectPr>
      </w:pPr>
    </w:p>
    <w:p>
      <w:pPr>
        <w:pStyle w:val="BodyText"/>
        <w:spacing w:before="3"/>
      </w:pPr>
    </w:p>
    <w:p>
      <w:pPr>
        <w:pStyle w:val="BodyText"/>
        <w:spacing w:before="64"/>
        <w:ind w:left="500" w:right="137"/>
        <w:jc w:val="both"/>
      </w:pPr>
      <w:r>
        <w:rPr/>
        <w:t>If the prior day’s range is excessively wide, thereby creating wide pivots, the strategies will automatically trade off the hidden layers of the indicator. If not, these levels are ignored. Isn’t it amazing what can be accomplished in our era of trading with the advents of sophisticated platforms and trading automation? Imagine what Jesse Livermore could have accomplished in our era of trading technology!</w:t>
      </w:r>
    </w:p>
    <w:p>
      <w:pPr>
        <w:pStyle w:val="BodyText"/>
        <w:ind w:left="500" w:right="137" w:firstLine="432"/>
        <w:jc w:val="both"/>
      </w:pPr>
      <w:r>
        <w:rPr/>
        <w:t>Let’s take a look at an example. Figure 8.16 shows a five-minute chart</w:t>
      </w:r>
      <w:r>
        <w:rPr>
          <w:spacing w:val="40"/>
        </w:rPr>
        <w:t> </w:t>
      </w:r>
      <w:r>
        <w:rPr/>
        <w:t>of the Mini-Sized Dow futures contract. The prior session had a range of 194 points, which created a 107 point spread between L3 and H3. Since the YM saw a wide range of movement in the prior session, the hidden layers of the Cams should be revealed for the following day, as trading range behavior is likely to occur. Remember, the next day’s opening price should confirm trading range behavior, however. That is, the YM should open the session within the range of the third layer of the indicator in order for price to accept the day’s potential forecast. By price opening within this range, the market is showing a lack of conviction to seek new value. Therefore, the market seems content with current value and the facilitation of trade that it offers. As you can see, the hidden layers of the indicator played a key role in the day’s trading, as responsive buyers and responsive sellers basically volleyed price back and forth throughout the day off these inner levels.</w:t>
      </w:r>
    </w:p>
    <w:p>
      <w:pPr>
        <w:pStyle w:val="BodyText"/>
        <w:spacing w:before="1"/>
        <w:rPr>
          <w:sz w:val="20"/>
        </w:rPr>
      </w:pPr>
      <w:r>
        <w:rPr/>
        <w:drawing>
          <wp:anchor distT="0" distB="0" distL="0" distR="0" allowOverlap="1" layoutInCell="1" locked="0" behindDoc="0" simplePos="0" relativeHeight="286">
            <wp:simplePos x="0" y="0"/>
            <wp:positionH relativeFrom="page">
              <wp:posOffset>685800</wp:posOffset>
            </wp:positionH>
            <wp:positionV relativeFrom="paragraph">
              <wp:posOffset>162393</wp:posOffset>
            </wp:positionV>
            <wp:extent cx="4342063" cy="2877693"/>
            <wp:effectExtent l="0" t="0" r="0" b="0"/>
            <wp:wrapTopAndBottom/>
            <wp:docPr id="245" name="image129.png"/>
            <wp:cNvGraphicFramePr>
              <a:graphicFrameLocks noChangeAspect="1"/>
            </wp:cNvGraphicFramePr>
            <a:graphic>
              <a:graphicData uri="http://schemas.openxmlformats.org/drawingml/2006/picture">
                <pic:pic>
                  <pic:nvPicPr>
                    <pic:cNvPr id="246" name="image129.png"/>
                    <pic:cNvPicPr/>
                  </pic:nvPicPr>
                  <pic:blipFill>
                    <a:blip r:embed="rId264" cstate="print"/>
                    <a:stretch>
                      <a:fillRect/>
                    </a:stretch>
                  </pic:blipFill>
                  <pic:spPr>
                    <a:xfrm>
                      <a:off x="0" y="0"/>
                      <a:ext cx="4342063" cy="2877693"/>
                    </a:xfrm>
                    <a:prstGeom prst="rect">
                      <a:avLst/>
                    </a:prstGeom>
                  </pic:spPr>
                </pic:pic>
              </a:graphicData>
            </a:graphic>
          </wp:anchor>
        </w:drawing>
      </w:r>
    </w:p>
    <w:p>
      <w:pPr>
        <w:spacing w:before="0"/>
        <w:ind w:left="500" w:right="0" w:firstLine="0"/>
        <w:jc w:val="both"/>
        <w:rPr>
          <w:sz w:val="16"/>
        </w:rPr>
      </w:pPr>
      <w:r>
        <w:rPr>
          <w:sz w:val="16"/>
        </w:rPr>
        <w:t>FIGURE</w:t>
      </w:r>
      <w:r>
        <w:rPr>
          <w:spacing w:val="-1"/>
          <w:sz w:val="16"/>
        </w:rPr>
        <w:t> </w:t>
      </w:r>
      <w:r>
        <w:rPr>
          <w:sz w:val="16"/>
        </w:rPr>
        <w:t>8.16:</w:t>
      </w:r>
      <w:r>
        <w:rPr>
          <w:spacing w:val="-1"/>
          <w:sz w:val="16"/>
        </w:rPr>
        <w:t> </w:t>
      </w:r>
      <w:r>
        <w:rPr>
          <w:sz w:val="16"/>
        </w:rPr>
        <w:t>The</w:t>
      </w:r>
      <w:r>
        <w:rPr>
          <w:spacing w:val="-1"/>
          <w:sz w:val="16"/>
        </w:rPr>
        <w:t> </w:t>
      </w:r>
      <w:r>
        <w:rPr>
          <w:sz w:val="16"/>
        </w:rPr>
        <w:t>hidden</w:t>
      </w:r>
      <w:r>
        <w:rPr>
          <w:spacing w:val="-1"/>
          <w:sz w:val="16"/>
        </w:rPr>
        <w:t> </w:t>
      </w:r>
      <w:r>
        <w:rPr>
          <w:sz w:val="16"/>
        </w:rPr>
        <w:t>layers</w:t>
      </w:r>
      <w:r>
        <w:rPr>
          <w:spacing w:val="-1"/>
          <w:sz w:val="16"/>
        </w:rPr>
        <w:t> </w:t>
      </w:r>
      <w:r>
        <w:rPr>
          <w:sz w:val="16"/>
        </w:rPr>
        <w:t>provided</w:t>
      </w:r>
      <w:r>
        <w:rPr>
          <w:spacing w:val="-1"/>
          <w:sz w:val="16"/>
        </w:rPr>
        <w:t> </w:t>
      </w:r>
      <w:r>
        <w:rPr>
          <w:sz w:val="16"/>
        </w:rPr>
        <w:t>a method</w:t>
      </w:r>
      <w:r>
        <w:rPr>
          <w:spacing w:val="-1"/>
          <w:sz w:val="16"/>
        </w:rPr>
        <w:t> </w:t>
      </w:r>
      <w:r>
        <w:rPr>
          <w:sz w:val="16"/>
        </w:rPr>
        <w:t>for</w:t>
      </w:r>
      <w:r>
        <w:rPr>
          <w:spacing w:val="-1"/>
          <w:sz w:val="16"/>
        </w:rPr>
        <w:t> </w:t>
      </w:r>
      <w:r>
        <w:rPr>
          <w:sz w:val="16"/>
        </w:rPr>
        <w:t>trading</w:t>
      </w:r>
      <w:r>
        <w:rPr>
          <w:spacing w:val="-1"/>
          <w:sz w:val="16"/>
        </w:rPr>
        <w:t> </w:t>
      </w:r>
      <w:r>
        <w:rPr>
          <w:sz w:val="16"/>
        </w:rPr>
        <w:t>sideways activity</w:t>
      </w:r>
      <w:r>
        <w:rPr>
          <w:spacing w:val="-1"/>
          <w:sz w:val="16"/>
        </w:rPr>
        <w:t> </w:t>
      </w:r>
      <w:r>
        <w:rPr>
          <w:sz w:val="16"/>
        </w:rPr>
        <w:t>on June</w:t>
      </w:r>
      <w:r>
        <w:rPr>
          <w:spacing w:val="-1"/>
          <w:sz w:val="16"/>
        </w:rPr>
        <w:t> </w:t>
      </w:r>
      <w:r>
        <w:rPr>
          <w:spacing w:val="-5"/>
          <w:sz w:val="16"/>
        </w:rPr>
        <w:t>9.</w:t>
      </w:r>
    </w:p>
    <w:p>
      <w:pPr>
        <w:spacing w:after="0"/>
        <w:jc w:val="both"/>
        <w:rPr>
          <w:sz w:val="16"/>
        </w:rPr>
        <w:sectPr>
          <w:pgSz w:w="8640" w:h="12960"/>
          <w:pgMar w:header="536" w:footer="1060" w:top="720" w:bottom="1260" w:left="580" w:right="580"/>
        </w:sectPr>
      </w:pPr>
    </w:p>
    <w:p>
      <w:pPr>
        <w:pStyle w:val="BodyText"/>
        <w:spacing w:before="5"/>
        <w:rPr>
          <w:sz w:val="18"/>
        </w:rPr>
      </w:pPr>
    </w:p>
    <w:p>
      <w:pPr>
        <w:pStyle w:val="BodyText"/>
        <w:spacing w:before="64"/>
        <w:ind w:left="140" w:right="496" w:firstLine="432"/>
        <w:jc w:val="both"/>
      </w:pPr>
      <w:r>
        <w:rPr/>
        <w:t>Professional traders are quite content taking smaller moves within a clearly defined trading range. They will continuously scalp twenty points on the YM throughout</w:t>
      </w:r>
      <w:r>
        <w:rPr>
          <w:spacing w:val="-1"/>
        </w:rPr>
        <w:t> </w:t>
      </w:r>
      <w:r>
        <w:rPr/>
        <w:t>a session, hitting</w:t>
      </w:r>
      <w:r>
        <w:rPr>
          <w:spacing w:val="-1"/>
        </w:rPr>
        <w:t> </w:t>
      </w:r>
      <w:r>
        <w:rPr/>
        <w:t>the ball out</w:t>
      </w:r>
      <w:r>
        <w:rPr>
          <w:spacing w:val="-1"/>
        </w:rPr>
        <w:t> </w:t>
      </w:r>
      <w:r>
        <w:rPr/>
        <w:t>of the park by</w:t>
      </w:r>
      <w:r>
        <w:rPr>
          <w:spacing w:val="-1"/>
        </w:rPr>
        <w:t> </w:t>
      </w:r>
      <w:r>
        <w:rPr/>
        <w:t>virtue of base hits. Not every trade becomes a one hundred-point winner, but every one hundred-point winner was first a twenty-point trade. Remember, traders do not like obstacles standing between their trades and potential profits. Trying to ride a trade to a one hundred-plus point intraday target (from L3 to H3 in this case) can be an obstacle on many days. Instead, the inner layers of the indicator provided the same reliable pivot behavior, but reduced the inherent risk typically associated with wide price ranges.</w:t>
      </w:r>
    </w:p>
    <w:p>
      <w:pPr>
        <w:pStyle w:val="BodyText"/>
        <w:spacing w:before="1"/>
      </w:pPr>
    </w:p>
    <w:p>
      <w:pPr>
        <w:spacing w:before="0"/>
        <w:ind w:left="2979" w:right="519" w:hanging="2704"/>
        <w:jc w:val="left"/>
        <w:rPr>
          <w:i/>
          <w:sz w:val="22"/>
        </w:rPr>
      </w:pPr>
      <w:r>
        <w:rPr>
          <w:i/>
          <w:sz w:val="22"/>
        </w:rPr>
        <w:t>Great</w:t>
      </w:r>
      <w:r>
        <w:rPr>
          <w:i/>
          <w:spacing w:val="-4"/>
          <w:sz w:val="22"/>
        </w:rPr>
        <w:t> </w:t>
      </w:r>
      <w:r>
        <w:rPr>
          <w:i/>
          <w:sz w:val="22"/>
        </w:rPr>
        <w:t>traders</w:t>
      </w:r>
      <w:r>
        <w:rPr>
          <w:i/>
          <w:spacing w:val="-2"/>
          <w:sz w:val="22"/>
        </w:rPr>
        <w:t> </w:t>
      </w:r>
      <w:r>
        <w:rPr>
          <w:i/>
          <w:sz w:val="22"/>
        </w:rPr>
        <w:t>do</w:t>
      </w:r>
      <w:r>
        <w:rPr>
          <w:i/>
          <w:spacing w:val="-3"/>
          <w:sz w:val="22"/>
        </w:rPr>
        <w:t> </w:t>
      </w:r>
      <w:r>
        <w:rPr>
          <w:i/>
          <w:sz w:val="22"/>
        </w:rPr>
        <w:t>not</w:t>
      </w:r>
      <w:r>
        <w:rPr>
          <w:i/>
          <w:spacing w:val="-3"/>
          <w:sz w:val="22"/>
        </w:rPr>
        <w:t> </w:t>
      </w:r>
      <w:r>
        <w:rPr>
          <w:i/>
          <w:sz w:val="22"/>
        </w:rPr>
        <w:t>require</w:t>
      </w:r>
      <w:r>
        <w:rPr>
          <w:i/>
          <w:spacing w:val="-3"/>
          <w:sz w:val="22"/>
        </w:rPr>
        <w:t> </w:t>
      </w:r>
      <w:r>
        <w:rPr>
          <w:i/>
          <w:sz w:val="22"/>
        </w:rPr>
        <w:t>profits</w:t>
      </w:r>
      <w:r>
        <w:rPr>
          <w:i/>
          <w:spacing w:val="-3"/>
          <w:sz w:val="22"/>
        </w:rPr>
        <w:t> </w:t>
      </w:r>
      <w:r>
        <w:rPr>
          <w:i/>
          <w:sz w:val="22"/>
        </w:rPr>
        <w:t>to</w:t>
      </w:r>
      <w:r>
        <w:rPr>
          <w:i/>
          <w:spacing w:val="-3"/>
          <w:sz w:val="22"/>
        </w:rPr>
        <w:t> </w:t>
      </w:r>
      <w:r>
        <w:rPr>
          <w:i/>
          <w:sz w:val="22"/>
        </w:rPr>
        <w:t>be</w:t>
      </w:r>
      <w:r>
        <w:rPr>
          <w:i/>
          <w:spacing w:val="-5"/>
          <w:sz w:val="22"/>
        </w:rPr>
        <w:t> </w:t>
      </w:r>
      <w:r>
        <w:rPr>
          <w:i/>
          <w:sz w:val="22"/>
        </w:rPr>
        <w:t>large;</w:t>
      </w:r>
      <w:r>
        <w:rPr>
          <w:i/>
          <w:spacing w:val="-3"/>
          <w:sz w:val="22"/>
        </w:rPr>
        <w:t> </w:t>
      </w:r>
      <w:r>
        <w:rPr>
          <w:i/>
          <w:sz w:val="22"/>
        </w:rPr>
        <w:t>only</w:t>
      </w:r>
      <w:r>
        <w:rPr>
          <w:i/>
          <w:spacing w:val="-3"/>
          <w:sz w:val="22"/>
        </w:rPr>
        <w:t> </w:t>
      </w:r>
      <w:r>
        <w:rPr>
          <w:i/>
          <w:sz w:val="22"/>
        </w:rPr>
        <w:t>that</w:t>
      </w:r>
      <w:r>
        <w:rPr>
          <w:i/>
          <w:spacing w:val="-3"/>
          <w:sz w:val="22"/>
        </w:rPr>
        <w:t> </w:t>
      </w:r>
      <w:r>
        <w:rPr>
          <w:i/>
          <w:sz w:val="22"/>
        </w:rPr>
        <w:t>profits</w:t>
      </w:r>
      <w:r>
        <w:rPr>
          <w:i/>
          <w:spacing w:val="-5"/>
          <w:sz w:val="22"/>
        </w:rPr>
        <w:t> </w:t>
      </w:r>
      <w:r>
        <w:rPr>
          <w:i/>
          <w:sz w:val="22"/>
        </w:rPr>
        <w:t>are</w:t>
      </w:r>
      <w:r>
        <w:rPr>
          <w:i/>
          <w:spacing w:val="-3"/>
          <w:sz w:val="22"/>
        </w:rPr>
        <w:t> </w:t>
      </w:r>
      <w:r>
        <w:rPr>
          <w:i/>
          <w:sz w:val="22"/>
        </w:rPr>
        <w:t>quick</w:t>
      </w:r>
      <w:r>
        <w:rPr>
          <w:i/>
          <w:sz w:val="22"/>
        </w:rPr>
        <w:t> and painless.</w:t>
      </w:r>
    </w:p>
    <w:p>
      <w:pPr>
        <w:pStyle w:val="BodyText"/>
        <w:rPr>
          <w:i/>
        </w:rPr>
      </w:pPr>
    </w:p>
    <w:p>
      <w:pPr>
        <w:pStyle w:val="BodyText"/>
        <w:ind w:left="140" w:right="495" w:firstLine="432"/>
        <w:jc w:val="both"/>
      </w:pPr>
      <w:r>
        <w:rPr/>
        <w:t>Let’s take a look at another example of how the hidden layers can be extremely useful on a day when the pivots are unusually wide. Figure 8.17 shows a two-day view of a five-minute chart of Apple, Inc.</w:t>
      </w:r>
      <w:r>
        <w:rPr>
          <w:spacing w:val="40"/>
        </w:rPr>
        <w:t> </w:t>
      </w:r>
      <w:r>
        <w:rPr/>
        <w:t>On July 13, AAPL had a wide range of price movement after the stock rallied five points from the low of the day, which caused the pivots for the following day to become extremely wide. As a matter of fact, the pivots were so wide, and price movement so stale, that price never tested the third layer of the indicator. This may seem rare, but this pattern occurs more often than you would normally expect,</w:t>
      </w:r>
      <w:r>
        <w:rPr/>
        <w:t> especially after the market experiences a wide- ranging day</w:t>
      </w:r>
      <w:r>
        <w:rPr>
          <w:spacing w:val="-1"/>
        </w:rPr>
        <w:t> </w:t>
      </w:r>
      <w:r>
        <w:rPr/>
        <w:t>in the prior session. After a big rally (or</w:t>
      </w:r>
      <w:r>
        <w:rPr>
          <w:spacing w:val="-3"/>
        </w:rPr>
        <w:t> </w:t>
      </w:r>
      <w:r>
        <w:rPr/>
        <w:t>sell-off), the market will usually use the following session to catch its collective “breath,” as it digests the prior day’s move. These make for great sessions to reveal the hidden layers of the indicator.</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97" cy="3094672"/>
            <wp:effectExtent l="0" t="0" r="0" b="0"/>
            <wp:docPr id="247" name="image130.png"/>
            <wp:cNvGraphicFramePr>
              <a:graphicFrameLocks noChangeAspect="1"/>
            </wp:cNvGraphicFramePr>
            <a:graphic>
              <a:graphicData uri="http://schemas.openxmlformats.org/drawingml/2006/picture">
                <pic:pic>
                  <pic:nvPicPr>
                    <pic:cNvPr id="248" name="image130.png"/>
                    <pic:cNvPicPr/>
                  </pic:nvPicPr>
                  <pic:blipFill>
                    <a:blip r:embed="rId265" cstate="print"/>
                    <a:stretch>
                      <a:fillRect/>
                    </a:stretch>
                  </pic:blipFill>
                  <pic:spPr>
                    <a:xfrm>
                      <a:off x="0" y="0"/>
                      <a:ext cx="4304897" cy="3094672"/>
                    </a:xfrm>
                    <a:prstGeom prst="rect">
                      <a:avLst/>
                    </a:prstGeom>
                  </pic:spPr>
                </pic:pic>
              </a:graphicData>
            </a:graphic>
          </wp:inline>
        </w:drawing>
      </w:r>
      <w:r>
        <w:rPr>
          <w:sz w:val="20"/>
        </w:rPr>
      </w:r>
    </w:p>
    <w:p>
      <w:pPr>
        <w:spacing w:before="49"/>
        <w:ind w:left="500" w:right="0" w:firstLine="0"/>
        <w:jc w:val="left"/>
        <w:rPr>
          <w:sz w:val="16"/>
        </w:rPr>
      </w:pPr>
      <w:r>
        <w:rPr>
          <w:sz w:val="16"/>
        </w:rPr>
        <w:t>FIGURE 8.17:</w:t>
      </w:r>
      <w:r>
        <w:rPr>
          <w:spacing w:val="1"/>
          <w:sz w:val="16"/>
        </w:rPr>
        <w:t> </w:t>
      </w:r>
      <w:r>
        <w:rPr>
          <w:sz w:val="16"/>
        </w:rPr>
        <w:t>The</w:t>
      </w:r>
      <w:r>
        <w:rPr>
          <w:spacing w:val="1"/>
          <w:sz w:val="16"/>
        </w:rPr>
        <w:t> </w:t>
      </w:r>
      <w:r>
        <w:rPr>
          <w:sz w:val="16"/>
        </w:rPr>
        <w:t>previous</w:t>
      </w:r>
      <w:r>
        <w:rPr>
          <w:spacing w:val="1"/>
          <w:sz w:val="16"/>
        </w:rPr>
        <w:t> </w:t>
      </w:r>
      <w:r>
        <w:rPr>
          <w:sz w:val="16"/>
        </w:rPr>
        <w:t>day’s</w:t>
      </w:r>
      <w:r>
        <w:rPr>
          <w:spacing w:val="1"/>
          <w:sz w:val="16"/>
        </w:rPr>
        <w:t> </w:t>
      </w:r>
      <w:r>
        <w:rPr>
          <w:sz w:val="16"/>
        </w:rPr>
        <w:t>wide price</w:t>
      </w:r>
      <w:r>
        <w:rPr>
          <w:spacing w:val="1"/>
          <w:sz w:val="16"/>
        </w:rPr>
        <w:t> </w:t>
      </w:r>
      <w:r>
        <w:rPr>
          <w:sz w:val="16"/>
        </w:rPr>
        <w:t>range</w:t>
      </w:r>
      <w:r>
        <w:rPr>
          <w:spacing w:val="1"/>
          <w:sz w:val="16"/>
        </w:rPr>
        <w:t> </w:t>
      </w:r>
      <w:r>
        <w:rPr>
          <w:sz w:val="16"/>
        </w:rPr>
        <w:t>led</w:t>
      </w:r>
      <w:r>
        <w:rPr>
          <w:spacing w:val="2"/>
          <w:sz w:val="16"/>
        </w:rPr>
        <w:t> </w:t>
      </w:r>
      <w:r>
        <w:rPr>
          <w:sz w:val="16"/>
        </w:rPr>
        <w:t>to</w:t>
      </w:r>
      <w:r>
        <w:rPr>
          <w:spacing w:val="1"/>
          <w:sz w:val="16"/>
        </w:rPr>
        <w:t> </w:t>
      </w:r>
      <w:r>
        <w:rPr>
          <w:sz w:val="16"/>
        </w:rPr>
        <w:t>wide</w:t>
      </w:r>
      <w:r>
        <w:rPr>
          <w:spacing w:val="1"/>
          <w:sz w:val="16"/>
        </w:rPr>
        <w:t> </w:t>
      </w:r>
      <w:r>
        <w:rPr>
          <w:sz w:val="16"/>
        </w:rPr>
        <w:t>pivots on</w:t>
      </w:r>
      <w:r>
        <w:rPr>
          <w:spacing w:val="1"/>
          <w:sz w:val="16"/>
        </w:rPr>
        <w:t> </w:t>
      </w:r>
      <w:r>
        <w:rPr>
          <w:sz w:val="16"/>
        </w:rPr>
        <w:t>July</w:t>
      </w:r>
      <w:r>
        <w:rPr>
          <w:spacing w:val="1"/>
          <w:sz w:val="16"/>
        </w:rPr>
        <w:t> </w:t>
      </w:r>
      <w:r>
        <w:rPr>
          <w:spacing w:val="-5"/>
          <w:sz w:val="16"/>
        </w:rPr>
        <w:t>14.</w:t>
      </w:r>
    </w:p>
    <w:p>
      <w:pPr>
        <w:pStyle w:val="BodyText"/>
        <w:spacing w:before="2"/>
      </w:pPr>
    </w:p>
    <w:p>
      <w:pPr>
        <w:pStyle w:val="BodyText"/>
        <w:ind w:left="499" w:right="134" w:firstLine="432"/>
        <w:jc w:val="both"/>
      </w:pPr>
      <w:r>
        <w:rPr/>
        <w:t>Now, let’s take a look at AAPL on July 14, when the trading range behavior was clearly dictated by the inner two layers of the Camarilla indicator (Figure 8.18). Notice that every reversal on this day was quick and decisive, which is typical of a Trading Range Day. On this type of session, you must be decisive at the point</w:t>
      </w:r>
      <w:r>
        <w:rPr>
          <w:spacing w:val="-1"/>
        </w:rPr>
        <w:t> </w:t>
      </w:r>
      <w:r>
        <w:rPr/>
        <w:t>of entry</w:t>
      </w:r>
      <w:r>
        <w:rPr>
          <w:spacing w:val="-1"/>
        </w:rPr>
        <w:t> </w:t>
      </w:r>
      <w:r>
        <w:rPr/>
        <w:t>and steadfast to</w:t>
      </w:r>
      <w:r>
        <w:rPr>
          <w:spacing w:val="-1"/>
        </w:rPr>
        <w:t> </w:t>
      </w:r>
      <w:r>
        <w:rPr/>
        <w:t>your</w:t>
      </w:r>
      <w:r>
        <w:rPr>
          <w:spacing w:val="-1"/>
        </w:rPr>
        <w:t> </w:t>
      </w:r>
      <w:r>
        <w:rPr/>
        <w:t>target. Any of the key reversal patterns covered in this book can be very useful on this type of day, and the ambush entry technique becomes especially important as</w:t>
      </w:r>
      <w:r>
        <w:rPr>
          <w:spacing w:val="40"/>
        </w:rPr>
        <w:t> </w:t>
      </w:r>
      <w:r>
        <w:rPr/>
        <w:t>well. Remember, on these particular trading days, volatility is typically very low, therefore, you are looking to take quick profits, while limiting your risk. Needless to say, the inner layers of the Camarilla indicator could be your</w:t>
      </w:r>
      <w:r>
        <w:rPr>
          <w:spacing w:val="40"/>
        </w:rPr>
        <w:t> </w:t>
      </w:r>
      <w:r>
        <w:rPr/>
        <w:t>“ace in the hole” that gets you through this type of session profitably, while other traders are frustratingly getting whipsawed.</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97" cy="3094672"/>
            <wp:effectExtent l="0" t="0" r="0" b="0"/>
            <wp:docPr id="249" name="image131.png"/>
            <wp:cNvGraphicFramePr>
              <a:graphicFrameLocks noChangeAspect="1"/>
            </wp:cNvGraphicFramePr>
            <a:graphic>
              <a:graphicData uri="http://schemas.openxmlformats.org/drawingml/2006/picture">
                <pic:pic>
                  <pic:nvPicPr>
                    <pic:cNvPr id="250" name="image131.png"/>
                    <pic:cNvPicPr/>
                  </pic:nvPicPr>
                  <pic:blipFill>
                    <a:blip r:embed="rId266" cstate="print"/>
                    <a:stretch>
                      <a:fillRect/>
                    </a:stretch>
                  </pic:blipFill>
                  <pic:spPr>
                    <a:xfrm>
                      <a:off x="0" y="0"/>
                      <a:ext cx="4304897" cy="3094672"/>
                    </a:xfrm>
                    <a:prstGeom prst="rect">
                      <a:avLst/>
                    </a:prstGeom>
                  </pic:spPr>
                </pic:pic>
              </a:graphicData>
            </a:graphic>
          </wp:inline>
        </w:drawing>
      </w:r>
      <w:r>
        <w:rPr>
          <w:sz w:val="20"/>
        </w:rPr>
      </w:r>
    </w:p>
    <w:p>
      <w:pPr>
        <w:spacing w:before="49"/>
        <w:ind w:left="140" w:right="0" w:firstLine="0"/>
        <w:jc w:val="left"/>
        <w:rPr>
          <w:sz w:val="16"/>
        </w:rPr>
      </w:pPr>
      <w:r>
        <w:rPr>
          <w:sz w:val="16"/>
        </w:rPr>
        <w:t>FIGURE 8.18: Revealing the hidden</w:t>
      </w:r>
      <w:r>
        <w:rPr>
          <w:spacing w:val="-1"/>
          <w:sz w:val="16"/>
        </w:rPr>
        <w:t> </w:t>
      </w:r>
      <w:r>
        <w:rPr>
          <w:sz w:val="16"/>
        </w:rPr>
        <w:t>layers</w:t>
      </w:r>
      <w:r>
        <w:rPr>
          <w:spacing w:val="1"/>
          <w:sz w:val="16"/>
        </w:rPr>
        <w:t> </w:t>
      </w:r>
      <w:r>
        <w:rPr>
          <w:sz w:val="16"/>
        </w:rPr>
        <w:t>of the pivots</w:t>
      </w:r>
      <w:r>
        <w:rPr>
          <w:spacing w:val="-1"/>
          <w:sz w:val="16"/>
        </w:rPr>
        <w:t> </w:t>
      </w:r>
      <w:r>
        <w:rPr>
          <w:sz w:val="16"/>
        </w:rPr>
        <w:t>in Apple, Inc.</w:t>
      </w:r>
      <w:r>
        <w:rPr>
          <w:spacing w:val="1"/>
          <w:sz w:val="16"/>
        </w:rPr>
        <w:t> </w:t>
      </w:r>
      <w:r>
        <w:rPr>
          <w:sz w:val="16"/>
        </w:rPr>
        <w:t>for</w:t>
      </w:r>
      <w:r>
        <w:rPr>
          <w:spacing w:val="1"/>
          <w:sz w:val="16"/>
        </w:rPr>
        <w:t> </w:t>
      </w:r>
      <w:r>
        <w:rPr>
          <w:sz w:val="16"/>
        </w:rPr>
        <w:t>July </w:t>
      </w:r>
      <w:r>
        <w:rPr>
          <w:spacing w:val="-5"/>
          <w:sz w:val="16"/>
        </w:rPr>
        <w:t>14</w:t>
      </w:r>
    </w:p>
    <w:p>
      <w:pPr>
        <w:pStyle w:val="BodyText"/>
        <w:spacing w:before="1"/>
      </w:pPr>
    </w:p>
    <w:p>
      <w:pPr>
        <w:pStyle w:val="Heading3"/>
        <w:spacing w:before="1"/>
      </w:pPr>
      <w:r>
        <w:rPr/>
        <w:pict>
          <v:shape style="position:absolute;margin-left:36.779999pt;margin-top:18.280327pt;width:341pt;height:.1pt;mso-position-horizontal-relative:page;mso-position-vertical-relative:paragraph;z-index:-15581696;mso-wrap-distance-left:0;mso-wrap-distance-right:0" id="docshape823" coordorigin="736,366" coordsize="6820,0" path="m736,366l7555,366e" filled="false" stroked="true" strokeweight=".75pt" strokecolor="#000000">
            <v:path arrowok="t"/>
            <v:stroke dashstyle="solid"/>
            <w10:wrap type="topAndBottom"/>
          </v:shape>
        </w:pict>
      </w:r>
      <w:bookmarkStart w:name="_TOC_250022" w:id="69"/>
      <w:r>
        <w:rPr>
          <w:smallCaps/>
          <w:spacing w:val="-6"/>
        </w:rPr>
        <w:t>The</w:t>
      </w:r>
      <w:r>
        <w:rPr>
          <w:smallCaps/>
          <w:spacing w:val="11"/>
        </w:rPr>
        <w:t> </w:t>
      </w:r>
      <w:r>
        <w:rPr>
          <w:smallCaps/>
          <w:spacing w:val="-6"/>
        </w:rPr>
        <w:t>Camarilla</w:t>
      </w:r>
      <w:r>
        <w:rPr>
          <w:smallCaps/>
          <w:spacing w:val="-5"/>
        </w:rPr>
        <w:t> </w:t>
      </w:r>
      <w:r>
        <w:rPr>
          <w:smallCaps/>
          <w:spacing w:val="-6"/>
        </w:rPr>
        <w:t>Breakaway</w:t>
      </w:r>
      <w:r>
        <w:rPr>
          <w:smallCaps/>
          <w:spacing w:val="1"/>
        </w:rPr>
        <w:t> </w:t>
      </w:r>
      <w:bookmarkEnd w:id="69"/>
      <w:r>
        <w:rPr>
          <w:smallCaps/>
          <w:spacing w:val="-6"/>
        </w:rPr>
        <w:t>Play</w:t>
      </w:r>
    </w:p>
    <w:p>
      <w:pPr>
        <w:pStyle w:val="BodyText"/>
        <w:spacing w:before="203"/>
        <w:ind w:left="140" w:right="496" w:firstLine="432"/>
        <w:jc w:val="both"/>
      </w:pPr>
      <w:r>
        <w:rPr/>
        <w:t>The Trend Day can be one of the most explosive days the market has to offer. For this reason, it is very important to develop your ability to prospect and anticipate this type of session before it occurs. Your ability to properly diagnose and trade the Trend Day using the pivots can easily take your trading to the next level. While I wrote about trading this type of day using both the Money Zone and Floor Pivots, I will now reveal how I like to scout and trade this setup using the Camarilla Equation.</w:t>
      </w:r>
    </w:p>
    <w:p>
      <w:pPr>
        <w:pStyle w:val="BodyText"/>
        <w:ind w:left="140" w:right="497" w:firstLine="432"/>
        <w:jc w:val="both"/>
      </w:pPr>
      <w:r>
        <w:rPr/>
        <w:t>True</w:t>
      </w:r>
      <w:r>
        <w:rPr/>
        <w:t> Trend Days typically begin the day with a bang, usually with a price gap that occurs beyond the prior day’s range and value. However, you do not want this to be your first indication that a Trend Day is in full swing. Instead, a fully prepared trader will use this information as confirmation that a Trend Day has started, since pivot characteristics would have already alerted the trader to the possibility of a Trend Day outcome. Therefore, pivot analysis like narrow pivot width or the Inside Value relationship would have tipped you off that the next day could offer a Trend Day scenario. While this analysis is not always perfect (what is?), it does give you a fantastic advantage in anticipating the next day’s potential behavior.</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4" w:firstLine="432"/>
        <w:jc w:val="both"/>
      </w:pPr>
      <w:r>
        <w:rPr/>
        <w:t>One of my favorite methods for prospecting for a potential Trend Day involves using the two-day Inside Value relationship. The DC3 indicator makes scouting for this pattern effortless, as the indicator automatically calculates and visually displays the third layer of the Cams for the next day’s trading. Take a look at Figure 8.19, which shows a fifteen-minute chart of Energizer</w:t>
      </w:r>
      <w:r>
        <w:rPr>
          <w:spacing w:val="-1"/>
        </w:rPr>
        <w:t> </w:t>
      </w:r>
      <w:r>
        <w:rPr/>
        <w:t>Holdings</w:t>
      </w:r>
      <w:r>
        <w:rPr>
          <w:spacing w:val="-1"/>
        </w:rPr>
        <w:t> </w:t>
      </w:r>
      <w:r>
        <w:rPr/>
        <w:t>on</w:t>
      </w:r>
      <w:r>
        <w:rPr>
          <w:spacing w:val="-1"/>
        </w:rPr>
        <w:t> </w:t>
      </w:r>
      <w:r>
        <w:rPr/>
        <w:t>March</w:t>
      </w:r>
      <w:r>
        <w:rPr>
          <w:spacing w:val="-1"/>
        </w:rPr>
        <w:t> </w:t>
      </w:r>
      <w:r>
        <w:rPr/>
        <w:t>26,</w:t>
      </w:r>
      <w:r>
        <w:rPr>
          <w:spacing w:val="-1"/>
        </w:rPr>
        <w:t> </w:t>
      </w:r>
      <w:r>
        <w:rPr/>
        <w:t>2010.</w:t>
      </w:r>
      <w:r>
        <w:rPr>
          <w:spacing w:val="-2"/>
        </w:rPr>
        <w:t> </w:t>
      </w:r>
      <w:r>
        <w:rPr/>
        <w:t>Notice</w:t>
      </w:r>
      <w:r>
        <w:rPr>
          <w:spacing w:val="-1"/>
        </w:rPr>
        <w:t> </w:t>
      </w:r>
      <w:r>
        <w:rPr/>
        <w:t>that</w:t>
      </w:r>
      <w:r>
        <w:rPr>
          <w:spacing w:val="-1"/>
        </w:rPr>
        <w:t> </w:t>
      </w:r>
      <w:r>
        <w:rPr/>
        <w:t>the</w:t>
      </w:r>
      <w:r>
        <w:rPr>
          <w:spacing w:val="-1"/>
        </w:rPr>
        <w:t> </w:t>
      </w:r>
      <w:r>
        <w:rPr/>
        <w:t>DC3</w:t>
      </w:r>
      <w:r>
        <w:rPr>
          <w:spacing w:val="-1"/>
        </w:rPr>
        <w:t> </w:t>
      </w:r>
      <w:r>
        <w:rPr/>
        <w:t>indicator</w:t>
      </w:r>
      <w:r>
        <w:rPr>
          <w:spacing w:val="-1"/>
        </w:rPr>
        <w:t> </w:t>
      </w:r>
      <w:r>
        <w:rPr/>
        <w:t>clearly alerts</w:t>
      </w:r>
      <w:r>
        <w:rPr>
          <w:spacing w:val="-1"/>
        </w:rPr>
        <w:t> </w:t>
      </w:r>
      <w:r>
        <w:rPr/>
        <w:t>you</w:t>
      </w:r>
      <w:r>
        <w:rPr>
          <w:spacing w:val="-3"/>
        </w:rPr>
        <w:t> </w:t>
      </w:r>
      <w:r>
        <w:rPr/>
        <w:t>to</w:t>
      </w:r>
      <w:r>
        <w:rPr>
          <w:spacing w:val="-2"/>
        </w:rPr>
        <w:t> </w:t>
      </w:r>
      <w:r>
        <w:rPr/>
        <w:t>an</w:t>
      </w:r>
      <w:r>
        <w:rPr>
          <w:spacing w:val="-1"/>
        </w:rPr>
        <w:t> </w:t>
      </w:r>
      <w:r>
        <w:rPr/>
        <w:t>Inside</w:t>
      </w:r>
      <w:r>
        <w:rPr>
          <w:spacing w:val="-1"/>
        </w:rPr>
        <w:t> </w:t>
      </w:r>
      <w:r>
        <w:rPr/>
        <w:t>Value</w:t>
      </w:r>
      <w:r>
        <w:rPr>
          <w:spacing w:val="-1"/>
        </w:rPr>
        <w:t> </w:t>
      </w:r>
      <w:r>
        <w:rPr/>
        <w:t>relationship</w:t>
      </w:r>
      <w:r>
        <w:rPr>
          <w:spacing w:val="-1"/>
        </w:rPr>
        <w:t> </w:t>
      </w:r>
      <w:r>
        <w:rPr/>
        <w:t>for</w:t>
      </w:r>
      <w:r>
        <w:rPr>
          <w:spacing w:val="-1"/>
        </w:rPr>
        <w:t> </w:t>
      </w:r>
      <w:r>
        <w:rPr/>
        <w:t>the</w:t>
      </w:r>
      <w:r>
        <w:rPr>
          <w:spacing w:val="-2"/>
        </w:rPr>
        <w:t> </w:t>
      </w:r>
      <w:r>
        <w:rPr/>
        <w:t>next</w:t>
      </w:r>
      <w:r>
        <w:rPr>
          <w:spacing w:val="-2"/>
        </w:rPr>
        <w:t> </w:t>
      </w:r>
      <w:r>
        <w:rPr/>
        <w:t>session,</w:t>
      </w:r>
      <w:r>
        <w:rPr>
          <w:spacing w:val="-1"/>
        </w:rPr>
        <w:t> </w:t>
      </w:r>
      <w:r>
        <w:rPr/>
        <w:t>as</w:t>
      </w:r>
      <w:r>
        <w:rPr>
          <w:spacing w:val="-1"/>
        </w:rPr>
        <w:t> </w:t>
      </w:r>
      <w:r>
        <w:rPr/>
        <w:t>both</w:t>
      </w:r>
      <w:r>
        <w:rPr>
          <w:spacing w:val="-1"/>
        </w:rPr>
        <w:t> </w:t>
      </w:r>
      <w:r>
        <w:rPr/>
        <w:t>lines</w:t>
      </w:r>
      <w:r>
        <w:rPr>
          <w:spacing w:val="-1"/>
        </w:rPr>
        <w:t> </w:t>
      </w:r>
      <w:r>
        <w:rPr/>
        <w:t>of the developing indicator lay within the third layer the static Camarilla indicator. Remember, this two-day relationship has a keen sense of snuffing out breakouts for the upcoming session, especially if the pivots creating the inside relationship are extremely narrow, as they are in this example. Armed with this insight, we can now wait for a gap at the open of the following session</w:t>
      </w:r>
      <w:r>
        <w:rPr>
          <w:spacing w:val="-1"/>
        </w:rPr>
        <w:t> </w:t>
      </w:r>
      <w:r>
        <w:rPr/>
        <w:t>to </w:t>
      </w:r>
      <w:r>
        <w:rPr>
          <w:i/>
        </w:rPr>
        <w:t>confirm</w:t>
      </w:r>
      <w:r>
        <w:rPr>
          <w:i/>
          <w:spacing w:val="-1"/>
        </w:rPr>
        <w:t> </w:t>
      </w:r>
      <w:r>
        <w:rPr/>
        <w:t>a</w:t>
      </w:r>
      <w:r>
        <w:rPr>
          <w:spacing w:val="-1"/>
        </w:rPr>
        <w:t> </w:t>
      </w:r>
      <w:r>
        <w:rPr/>
        <w:t>potential</w:t>
      </w:r>
      <w:r>
        <w:rPr>
          <w:spacing w:val="-1"/>
        </w:rPr>
        <w:t> </w:t>
      </w:r>
      <w:r>
        <w:rPr/>
        <w:t>Trend</w:t>
      </w:r>
      <w:r>
        <w:rPr>
          <w:spacing w:val="-1"/>
        </w:rPr>
        <w:t> </w:t>
      </w:r>
      <w:r>
        <w:rPr/>
        <w:t>Day</w:t>
      </w:r>
      <w:r>
        <w:rPr>
          <w:spacing w:val="-1"/>
        </w:rPr>
        <w:t> </w:t>
      </w:r>
      <w:r>
        <w:rPr/>
        <w:t>scenario,</w:t>
      </w:r>
      <w:r>
        <w:rPr>
          <w:spacing w:val="-1"/>
        </w:rPr>
        <w:t> </w:t>
      </w:r>
      <w:r>
        <w:rPr/>
        <w:t>as</w:t>
      </w:r>
      <w:r>
        <w:rPr>
          <w:spacing w:val="-1"/>
        </w:rPr>
        <w:t> </w:t>
      </w:r>
      <w:r>
        <w:rPr/>
        <w:t>a</w:t>
      </w:r>
      <w:r>
        <w:rPr>
          <w:spacing w:val="-1"/>
        </w:rPr>
        <w:t> </w:t>
      </w:r>
      <w:r>
        <w:rPr/>
        <w:t>gap</w:t>
      </w:r>
      <w:r>
        <w:rPr>
          <w:spacing w:val="-1"/>
        </w:rPr>
        <w:t> </w:t>
      </w:r>
      <w:r>
        <w:rPr/>
        <w:t>in</w:t>
      </w:r>
      <w:r>
        <w:rPr>
          <w:spacing w:val="-1"/>
        </w:rPr>
        <w:t> </w:t>
      </w:r>
      <w:r>
        <w:rPr/>
        <w:t>either</w:t>
      </w:r>
      <w:r>
        <w:rPr>
          <w:spacing w:val="-1"/>
        </w:rPr>
        <w:t> </w:t>
      </w:r>
      <w:r>
        <w:rPr/>
        <w:t>direction will likely spark a beautifully trending day. If a gap does not occur at the open of the following day, then you must watch the prior day’s price range for signs of a violation in order to confirm range extension.</w:t>
      </w:r>
    </w:p>
    <w:p>
      <w:pPr>
        <w:pStyle w:val="BodyText"/>
        <w:spacing w:before="2"/>
        <w:rPr>
          <w:sz w:val="20"/>
        </w:rPr>
      </w:pPr>
      <w:r>
        <w:rPr/>
        <w:drawing>
          <wp:anchor distT="0" distB="0" distL="0" distR="0" allowOverlap="1" layoutInCell="1" locked="0" behindDoc="0" simplePos="0" relativeHeight="288">
            <wp:simplePos x="0" y="0"/>
            <wp:positionH relativeFrom="page">
              <wp:posOffset>685800</wp:posOffset>
            </wp:positionH>
            <wp:positionV relativeFrom="paragraph">
              <wp:posOffset>162592</wp:posOffset>
            </wp:positionV>
            <wp:extent cx="4342239" cy="3111722"/>
            <wp:effectExtent l="0" t="0" r="0" b="0"/>
            <wp:wrapTopAndBottom/>
            <wp:docPr id="251" name="image132.png"/>
            <wp:cNvGraphicFramePr>
              <a:graphicFrameLocks noChangeAspect="1"/>
            </wp:cNvGraphicFramePr>
            <a:graphic>
              <a:graphicData uri="http://schemas.openxmlformats.org/drawingml/2006/picture">
                <pic:pic>
                  <pic:nvPicPr>
                    <pic:cNvPr id="252" name="image132.png"/>
                    <pic:cNvPicPr/>
                  </pic:nvPicPr>
                  <pic:blipFill>
                    <a:blip r:embed="rId267" cstate="print"/>
                    <a:stretch>
                      <a:fillRect/>
                    </a:stretch>
                  </pic:blipFill>
                  <pic:spPr>
                    <a:xfrm>
                      <a:off x="0" y="0"/>
                      <a:ext cx="4342239" cy="3111722"/>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8.19: The</w:t>
      </w:r>
      <w:r>
        <w:rPr>
          <w:spacing w:val="1"/>
          <w:sz w:val="16"/>
        </w:rPr>
        <w:t> </w:t>
      </w:r>
      <w:r>
        <w:rPr>
          <w:sz w:val="16"/>
        </w:rPr>
        <w:t>DC3</w:t>
      </w:r>
      <w:r>
        <w:rPr>
          <w:spacing w:val="1"/>
          <w:sz w:val="16"/>
        </w:rPr>
        <w:t> </w:t>
      </w:r>
      <w:r>
        <w:rPr>
          <w:sz w:val="16"/>
        </w:rPr>
        <w:t>indicator</w:t>
      </w:r>
      <w:r>
        <w:rPr>
          <w:spacing w:val="1"/>
          <w:sz w:val="16"/>
        </w:rPr>
        <w:t> </w:t>
      </w:r>
      <w:r>
        <w:rPr>
          <w:sz w:val="16"/>
        </w:rPr>
        <w:t>helps</w:t>
      </w:r>
      <w:r>
        <w:rPr>
          <w:spacing w:val="1"/>
          <w:sz w:val="16"/>
        </w:rPr>
        <w:t> </w:t>
      </w:r>
      <w:r>
        <w:rPr>
          <w:sz w:val="16"/>
        </w:rPr>
        <w:t>identify</w:t>
      </w:r>
      <w:r>
        <w:rPr>
          <w:spacing w:val="1"/>
          <w:sz w:val="16"/>
        </w:rPr>
        <w:t> </w:t>
      </w:r>
      <w:r>
        <w:rPr>
          <w:sz w:val="16"/>
        </w:rPr>
        <w:t>an</w:t>
      </w:r>
      <w:r>
        <w:rPr>
          <w:spacing w:val="1"/>
          <w:sz w:val="16"/>
        </w:rPr>
        <w:t> </w:t>
      </w:r>
      <w:r>
        <w:rPr>
          <w:sz w:val="16"/>
        </w:rPr>
        <w:t>Inside</w:t>
      </w:r>
      <w:r>
        <w:rPr>
          <w:spacing w:val="1"/>
          <w:sz w:val="16"/>
        </w:rPr>
        <w:t> </w:t>
      </w:r>
      <w:r>
        <w:rPr>
          <w:sz w:val="16"/>
        </w:rPr>
        <w:t>Value</w:t>
      </w:r>
      <w:r>
        <w:rPr>
          <w:spacing w:val="1"/>
          <w:sz w:val="16"/>
        </w:rPr>
        <w:t> </w:t>
      </w:r>
      <w:r>
        <w:rPr>
          <w:spacing w:val="-2"/>
          <w:sz w:val="16"/>
        </w:rPr>
        <w:t>relationship.</w:t>
      </w:r>
    </w:p>
    <w:p>
      <w:pPr>
        <w:pStyle w:val="BodyText"/>
        <w:spacing w:before="9"/>
        <w:rPr>
          <w:sz w:val="21"/>
        </w:rPr>
      </w:pPr>
    </w:p>
    <w:p>
      <w:pPr>
        <w:pStyle w:val="BodyText"/>
        <w:ind w:left="499" w:right="139" w:firstLine="432"/>
        <w:jc w:val="both"/>
      </w:pPr>
      <w:r>
        <w:rPr/>
        <w:t>Let’s take a look at Figure 8.20 to see how the following day transpired. The stock opened the day with a bullish gap that occurred above the prior day’s</w:t>
      </w:r>
      <w:r>
        <w:rPr>
          <w:spacing w:val="30"/>
        </w:rPr>
        <w:t> </w:t>
      </w:r>
      <w:r>
        <w:rPr/>
        <w:t>price</w:t>
      </w:r>
      <w:r>
        <w:rPr>
          <w:spacing w:val="31"/>
        </w:rPr>
        <w:t> </w:t>
      </w:r>
      <w:r>
        <w:rPr/>
        <w:t>range</w:t>
      </w:r>
      <w:r>
        <w:rPr>
          <w:spacing w:val="31"/>
        </w:rPr>
        <w:t> </w:t>
      </w:r>
      <w:r>
        <w:rPr/>
        <w:t>and</w:t>
      </w:r>
      <w:r>
        <w:rPr>
          <w:spacing w:val="31"/>
        </w:rPr>
        <w:t> </w:t>
      </w:r>
      <w:r>
        <w:rPr/>
        <w:t>above</w:t>
      </w:r>
      <w:r>
        <w:rPr>
          <w:spacing w:val="31"/>
        </w:rPr>
        <w:t> </w:t>
      </w:r>
      <w:r>
        <w:rPr/>
        <w:t>the</w:t>
      </w:r>
      <w:r>
        <w:rPr>
          <w:spacing w:val="31"/>
        </w:rPr>
        <w:t> </w:t>
      </w:r>
      <w:r>
        <w:rPr/>
        <w:t>current</w:t>
      </w:r>
      <w:r>
        <w:rPr>
          <w:spacing w:val="31"/>
        </w:rPr>
        <w:t> </w:t>
      </w:r>
      <w:r>
        <w:rPr/>
        <w:t>day’s</w:t>
      </w:r>
      <w:r>
        <w:rPr>
          <w:spacing w:val="31"/>
        </w:rPr>
        <w:t> </w:t>
      </w:r>
      <w:r>
        <w:rPr/>
        <w:t>value,</w:t>
      </w:r>
      <w:r>
        <w:rPr>
          <w:spacing w:val="31"/>
        </w:rPr>
        <w:t> </w:t>
      </w:r>
      <w:r>
        <w:rPr/>
        <w:t>which</w:t>
      </w:r>
      <w:r>
        <w:rPr>
          <w:spacing w:val="31"/>
        </w:rPr>
        <w:t> </w:t>
      </w:r>
      <w:r>
        <w:rPr/>
        <w:t>is</w:t>
      </w:r>
      <w:r>
        <w:rPr>
          <w:spacing w:val="31"/>
        </w:rPr>
        <w:t> </w:t>
      </w:r>
      <w:r>
        <w:rPr/>
        <w:t>seen</w:t>
      </w:r>
      <w:r>
        <w:rPr>
          <w:spacing w:val="31"/>
        </w:rPr>
        <w:t> </w:t>
      </w:r>
      <w:r>
        <w:rPr/>
        <w:t>as</w:t>
      </w:r>
      <w:r>
        <w:rPr>
          <w:spacing w:val="31"/>
        </w:rPr>
        <w:t> </w:t>
      </w:r>
      <w:r>
        <w:rPr/>
        <w:t>the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jc w:val="both"/>
      </w:pPr>
      <w:r>
        <w:rPr/>
        <w:t>third layer of the Camarilla indictor. You usually want the gap to occur beyond the third layer of the indicator, but not beyond the fifth layer, as this gap may be too big for the market to digest. After the opening print confirms a breakout, I usually watch the first five to fifteen minutes of action for further confirmation that a continuation will occur. In this case, ENR raced out of the gates in the first fifteen-minute bar, which is enough confirmation to place a long entry at the open of the following candlestick, with the intent of riding the trend as long as possible using a 1.5 ATR trailing profit stop. Remember,</w:t>
      </w:r>
      <w:r>
        <w:rPr>
          <w:spacing w:val="-1"/>
        </w:rPr>
        <w:t> </w:t>
      </w:r>
      <w:r>
        <w:rPr/>
        <w:t>true</w:t>
      </w:r>
      <w:r>
        <w:rPr>
          <w:spacing w:val="-2"/>
        </w:rPr>
        <w:t> </w:t>
      </w:r>
      <w:r>
        <w:rPr/>
        <w:t>Trend</w:t>
      </w:r>
      <w:r>
        <w:rPr>
          <w:spacing w:val="-2"/>
        </w:rPr>
        <w:t> </w:t>
      </w:r>
      <w:r>
        <w:rPr/>
        <w:t>Days</w:t>
      </w:r>
      <w:r>
        <w:rPr>
          <w:spacing w:val="-2"/>
        </w:rPr>
        <w:t> </w:t>
      </w:r>
      <w:r>
        <w:rPr/>
        <w:t>usually</w:t>
      </w:r>
      <w:r>
        <w:rPr>
          <w:spacing w:val="-2"/>
        </w:rPr>
        <w:t> </w:t>
      </w:r>
      <w:r>
        <w:rPr/>
        <w:t>close</w:t>
      </w:r>
      <w:r>
        <w:rPr>
          <w:spacing w:val="-2"/>
        </w:rPr>
        <w:t> </w:t>
      </w:r>
      <w:r>
        <w:rPr/>
        <w:t>at,</w:t>
      </w:r>
      <w:r>
        <w:rPr>
          <w:spacing w:val="-2"/>
        </w:rPr>
        <w:t> </w:t>
      </w:r>
      <w:r>
        <w:rPr/>
        <w:t>or</w:t>
      </w:r>
      <w:r>
        <w:rPr>
          <w:spacing w:val="-2"/>
        </w:rPr>
        <w:t> </w:t>
      </w:r>
      <w:r>
        <w:rPr/>
        <w:t>very</w:t>
      </w:r>
      <w:r>
        <w:rPr>
          <w:spacing w:val="-2"/>
        </w:rPr>
        <w:t> </w:t>
      </w:r>
      <w:r>
        <w:rPr/>
        <w:t>near,</w:t>
      </w:r>
      <w:r>
        <w:rPr>
          <w:spacing w:val="-2"/>
        </w:rPr>
        <w:t> </w:t>
      </w:r>
      <w:r>
        <w:rPr/>
        <w:t>the</w:t>
      </w:r>
      <w:r>
        <w:rPr>
          <w:spacing w:val="-2"/>
        </w:rPr>
        <w:t> </w:t>
      </w:r>
      <w:r>
        <w:rPr/>
        <w:t>day’s</w:t>
      </w:r>
      <w:r>
        <w:rPr>
          <w:spacing w:val="-3"/>
        </w:rPr>
        <w:t> </w:t>
      </w:r>
      <w:r>
        <w:rPr/>
        <w:t>extreme. This means that you will usually use a stop management approach that</w:t>
      </w:r>
      <w:r>
        <w:rPr>
          <w:spacing w:val="80"/>
        </w:rPr>
        <w:t> </w:t>
      </w:r>
      <w:r>
        <w:rPr/>
        <w:t>allows you to capture as much of the move as possible, which means you could sacrifice smaller gains in order to acquire a bigger winner. I am comfortable with this trade off for this particular setup.</w:t>
      </w:r>
    </w:p>
    <w:p>
      <w:pPr>
        <w:pStyle w:val="BodyText"/>
        <w:spacing w:before="1"/>
        <w:ind w:left="140" w:right="495" w:firstLine="432"/>
        <w:jc w:val="both"/>
      </w:pPr>
      <w:r>
        <w:rPr/>
        <w:t>Keep in mind, since the pivots are usually narrow on days when the market breaks out, you will not usually look to take profits at the fifth layer</w:t>
      </w:r>
      <w:r>
        <w:rPr>
          <w:spacing w:val="40"/>
        </w:rPr>
        <w:t> </w:t>
      </w:r>
      <w:r>
        <w:rPr/>
        <w:t>of the indictor, as this will not do your trade justice. This target is typically reached much too early in the trade, which causes you to leave too much money on the table. However, this target could be used in a partial exit approach, whereby you lighten some of your position at this level in order to bank a bit of profit, but keep the majority of your position in the market for the bigger move. As always, it is your choice.</w:t>
      </w:r>
    </w:p>
    <w:p>
      <w:pPr>
        <w:pStyle w:val="BodyText"/>
        <w:rPr>
          <w:sz w:val="10"/>
        </w:rPr>
      </w:pPr>
      <w:r>
        <w:rPr/>
        <w:drawing>
          <wp:anchor distT="0" distB="0" distL="0" distR="0" allowOverlap="1" layoutInCell="1" locked="0" behindDoc="0" simplePos="0" relativeHeight="289">
            <wp:simplePos x="0" y="0"/>
            <wp:positionH relativeFrom="page">
              <wp:posOffset>457200</wp:posOffset>
            </wp:positionH>
            <wp:positionV relativeFrom="paragraph">
              <wp:posOffset>88796</wp:posOffset>
            </wp:positionV>
            <wp:extent cx="4342239" cy="3111722"/>
            <wp:effectExtent l="0" t="0" r="0" b="0"/>
            <wp:wrapTopAndBottom/>
            <wp:docPr id="253" name="image133.png"/>
            <wp:cNvGraphicFramePr>
              <a:graphicFrameLocks noChangeAspect="1"/>
            </wp:cNvGraphicFramePr>
            <a:graphic>
              <a:graphicData uri="http://schemas.openxmlformats.org/drawingml/2006/picture">
                <pic:pic>
                  <pic:nvPicPr>
                    <pic:cNvPr id="254" name="image133.png"/>
                    <pic:cNvPicPr/>
                  </pic:nvPicPr>
                  <pic:blipFill>
                    <a:blip r:embed="rId268"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 8.20:</w:t>
      </w:r>
      <w:r>
        <w:rPr>
          <w:spacing w:val="1"/>
          <w:sz w:val="16"/>
        </w:rPr>
        <w:t> </w:t>
      </w:r>
      <w:r>
        <w:rPr>
          <w:sz w:val="16"/>
        </w:rPr>
        <w:t>The</w:t>
      </w:r>
      <w:r>
        <w:rPr>
          <w:spacing w:val="1"/>
          <w:sz w:val="16"/>
        </w:rPr>
        <w:t> </w:t>
      </w:r>
      <w:r>
        <w:rPr>
          <w:sz w:val="16"/>
        </w:rPr>
        <w:t>opening</w:t>
      </w:r>
      <w:r>
        <w:rPr>
          <w:spacing w:val="1"/>
          <w:sz w:val="16"/>
        </w:rPr>
        <w:t> </w:t>
      </w:r>
      <w:r>
        <w:rPr>
          <w:sz w:val="16"/>
        </w:rPr>
        <w:t>print</w:t>
      </w:r>
      <w:r>
        <w:rPr>
          <w:spacing w:val="1"/>
          <w:sz w:val="16"/>
        </w:rPr>
        <w:t> </w:t>
      </w:r>
      <w:r>
        <w:rPr>
          <w:sz w:val="16"/>
        </w:rPr>
        <w:t>confirmed</w:t>
      </w:r>
      <w:r>
        <w:rPr>
          <w:spacing w:val="2"/>
          <w:sz w:val="16"/>
        </w:rPr>
        <w:t> </w:t>
      </w:r>
      <w:r>
        <w:rPr>
          <w:sz w:val="16"/>
        </w:rPr>
        <w:t>a</w:t>
      </w:r>
      <w:r>
        <w:rPr>
          <w:spacing w:val="1"/>
          <w:sz w:val="16"/>
        </w:rPr>
        <w:t> </w:t>
      </w:r>
      <w:r>
        <w:rPr>
          <w:sz w:val="16"/>
        </w:rPr>
        <w:t>breakout by</w:t>
      </w:r>
      <w:r>
        <w:rPr>
          <w:spacing w:val="1"/>
          <w:sz w:val="16"/>
        </w:rPr>
        <w:t> </w:t>
      </w:r>
      <w:r>
        <w:rPr>
          <w:sz w:val="16"/>
        </w:rPr>
        <w:t>opening</w:t>
      </w:r>
      <w:r>
        <w:rPr>
          <w:spacing w:val="1"/>
          <w:sz w:val="16"/>
        </w:rPr>
        <w:t> </w:t>
      </w:r>
      <w:r>
        <w:rPr>
          <w:sz w:val="16"/>
        </w:rPr>
        <w:t>above</w:t>
      </w:r>
      <w:r>
        <w:rPr>
          <w:spacing w:val="1"/>
          <w:sz w:val="16"/>
        </w:rPr>
        <w:t> </w:t>
      </w:r>
      <w:r>
        <w:rPr>
          <w:sz w:val="16"/>
        </w:rPr>
        <w:t>the</w:t>
      </w:r>
      <w:r>
        <w:rPr>
          <w:spacing w:val="1"/>
          <w:sz w:val="16"/>
        </w:rPr>
        <w:t> </w:t>
      </w:r>
      <w:r>
        <w:rPr>
          <w:sz w:val="16"/>
        </w:rPr>
        <w:t>prior</w:t>
      </w:r>
      <w:r>
        <w:rPr>
          <w:spacing w:val="1"/>
          <w:sz w:val="16"/>
        </w:rPr>
        <w:t> </w:t>
      </w:r>
      <w:r>
        <w:rPr>
          <w:sz w:val="16"/>
        </w:rPr>
        <w:t>day’s </w:t>
      </w:r>
      <w:r>
        <w:rPr>
          <w:spacing w:val="-2"/>
          <w:sz w:val="16"/>
        </w:rPr>
        <w:t>range.</w:t>
      </w:r>
    </w:p>
    <w:p>
      <w:pPr>
        <w:spacing w:after="0"/>
        <w:jc w:val="both"/>
        <w:rPr>
          <w:sz w:val="16"/>
        </w:rPr>
        <w:sectPr>
          <w:pgSz w:w="8640" w:h="12960"/>
          <w:pgMar w:header="579" w:footer="1060" w:top="760" w:bottom="1260" w:left="580" w:right="580"/>
        </w:sectPr>
      </w:pPr>
    </w:p>
    <w:p>
      <w:pPr>
        <w:pStyle w:val="BodyText"/>
        <w:spacing w:before="3"/>
      </w:pPr>
    </w:p>
    <w:p>
      <w:pPr>
        <w:pStyle w:val="BodyText"/>
        <w:spacing w:before="64"/>
        <w:ind w:left="500" w:right="135" w:firstLine="432"/>
        <w:jc w:val="both"/>
      </w:pPr>
      <w:r>
        <w:rPr/>
        <w:t>While narrow pivots and the Inside Value relationship allow you to spot a potential Trend Day easily for the upcoming session, sometimes it’s the unexpected breakouts that can offer huge results. Earlier in the chapter, I covered the various entry options for trading in a trend while using the Camarilla pivots. In a bullish trend, you will look to buy any pull-back to L3 or H3, and in a bearish trend, you will look to sell any pull-back to L3 or H3, depending on where the market opens the day. However, if price opens the session with a gap that is completely against the grain, this is a big indication that market sentiment has changed and participants are likely seeking new value. Spotting these days can be easy, but only if you did your homework.</w:t>
      </w:r>
    </w:p>
    <w:p>
      <w:pPr>
        <w:pStyle w:val="BodyText"/>
        <w:ind w:left="500" w:right="135" w:firstLine="432"/>
        <w:jc w:val="both"/>
      </w:pPr>
      <w:r>
        <w:rPr/>
        <w:t>Let’s take a look at an example. Figure 8.21 shows a fifteen-minute</w:t>
      </w:r>
      <w:r>
        <w:rPr>
          <w:spacing w:val="40"/>
        </w:rPr>
        <w:t> </w:t>
      </w:r>
      <w:r>
        <w:rPr/>
        <w:t>chart of Google, Inc. over the course of three days. During this three-day stretch, GOOG formed two Overlapping Lower Value relationships in a row, thereby illustrating a moderately bearish trend. If you had done your homework the prior day, you would have identified H3 and L3 as “sell</w:t>
      </w:r>
      <w:r>
        <w:rPr>
          <w:spacing w:val="40"/>
        </w:rPr>
        <w:t> </w:t>
      </w:r>
      <w:r>
        <w:rPr/>
        <w:t>zones” if price opened the session anywhere below H3, in anticipation of continued downtrending behavior. However, you would have also identified any gap above H3, and especially H4, as one that completely bucks the current bearish trend, thereby igniting a potentially bullish Trend Day.</w:t>
      </w:r>
    </w:p>
    <w:p>
      <w:pPr>
        <w:pStyle w:val="BodyText"/>
        <w:spacing w:before="1"/>
        <w:ind w:left="500" w:right="136" w:firstLine="432"/>
        <w:jc w:val="both"/>
      </w:pPr>
      <w:r>
        <w:rPr/>
        <w:t>As it turns out, Google opened the day with a gap above the H3 pivot level, and nearly beyond the prior day’s range. Price pulled back to H3 for a brief test in the first fifteen-minute bar and then closed at the top of its candlestick,</w:t>
      </w:r>
      <w:r>
        <w:rPr/>
        <w:t> thereby confirming strength in this stock. Any long entry that followed would have easily allowed you to participate in the bullish</w:t>
      </w:r>
      <w:r>
        <w:rPr>
          <w:spacing w:val="80"/>
        </w:rPr>
        <w:t> </w:t>
      </w:r>
      <w:r>
        <w:rPr/>
        <w:t>outcome, as GOOG trended higher throughout the session.</w:t>
      </w:r>
    </w:p>
    <w:p>
      <w:pPr>
        <w:pStyle w:val="BodyText"/>
        <w:ind w:left="500" w:right="136" w:firstLine="432"/>
        <w:jc w:val="both"/>
      </w:pPr>
      <w:r>
        <w:rPr/>
        <w:t>This type of unexpected Trend Day usually occurs against grain of an existing</w:t>
      </w:r>
      <w:r>
        <w:rPr>
          <w:spacing w:val="-2"/>
        </w:rPr>
        <w:t> </w:t>
      </w:r>
      <w:r>
        <w:rPr/>
        <w:t>trend,</w:t>
      </w:r>
      <w:r>
        <w:rPr>
          <w:spacing w:val="-2"/>
        </w:rPr>
        <w:t> </w:t>
      </w:r>
      <w:r>
        <w:rPr/>
        <w:t>as</w:t>
      </w:r>
      <w:r>
        <w:rPr>
          <w:spacing w:val="-1"/>
        </w:rPr>
        <w:t> </w:t>
      </w:r>
      <w:r>
        <w:rPr/>
        <w:t>seen</w:t>
      </w:r>
      <w:r>
        <w:rPr>
          <w:spacing w:val="-2"/>
        </w:rPr>
        <w:t> </w:t>
      </w:r>
      <w:r>
        <w:rPr/>
        <w:t>through</w:t>
      </w:r>
      <w:r>
        <w:rPr>
          <w:spacing w:val="-2"/>
        </w:rPr>
        <w:t> </w:t>
      </w:r>
      <w:r>
        <w:rPr/>
        <w:t>the</w:t>
      </w:r>
      <w:r>
        <w:rPr>
          <w:spacing w:val="-2"/>
        </w:rPr>
        <w:t> </w:t>
      </w:r>
      <w:r>
        <w:rPr/>
        <w:t>eyes</w:t>
      </w:r>
      <w:r>
        <w:rPr>
          <w:spacing w:val="-2"/>
        </w:rPr>
        <w:t> </w:t>
      </w:r>
      <w:r>
        <w:rPr/>
        <w:t>of</w:t>
      </w:r>
      <w:r>
        <w:rPr>
          <w:spacing w:val="-2"/>
        </w:rPr>
        <w:t> </w:t>
      </w:r>
      <w:r>
        <w:rPr/>
        <w:t>two-day</w:t>
      </w:r>
      <w:r>
        <w:rPr>
          <w:spacing w:val="-2"/>
        </w:rPr>
        <w:t> </w:t>
      </w:r>
      <w:r>
        <w:rPr/>
        <w:t>pivot</w:t>
      </w:r>
      <w:r>
        <w:rPr>
          <w:spacing w:val="-2"/>
        </w:rPr>
        <w:t> </w:t>
      </w:r>
      <w:r>
        <w:rPr/>
        <w:t>relationships.</w:t>
      </w:r>
      <w:r>
        <w:rPr>
          <w:spacing w:val="-2"/>
        </w:rPr>
        <w:t> </w:t>
      </w:r>
      <w:r>
        <w:rPr/>
        <w:t>In</w:t>
      </w:r>
      <w:r>
        <w:rPr>
          <w:spacing w:val="-2"/>
        </w:rPr>
        <w:t> </w:t>
      </w:r>
      <w:r>
        <w:rPr/>
        <w:t>this case, the market formed a series of Overlapping Lower Value relationships, which implied continued weakness. When the opening print rejected this forecast, a major trend occurred in the opposite direction. It is important to note that these types of counter-trend breakout days usually occur when the market has formed overlapping two-day relationships, as opposed to Higher or Lower relationships. Remember, a two-day relationship that is completely higher or lower offers the most bullish or bearish expectations. On the other hand, overlapping two-day relationships offer a directional bias, but are not</w:t>
      </w:r>
      <w:r>
        <w:rPr>
          <w:spacing w:val="40"/>
        </w:rPr>
        <w:t> </w:t>
      </w:r>
      <w:r>
        <w:rPr/>
        <w:t>as strong as higher or lower relationships. Therefore, this particular relationship is subject to becoming overwhelmed by contrarian market participants that are ready to seek new value.</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255" name="image134.png"/>
            <wp:cNvGraphicFramePr>
              <a:graphicFrameLocks noChangeAspect="1"/>
            </wp:cNvGraphicFramePr>
            <a:graphic>
              <a:graphicData uri="http://schemas.openxmlformats.org/drawingml/2006/picture">
                <pic:pic>
                  <pic:nvPicPr>
                    <pic:cNvPr id="256" name="image134.png"/>
                    <pic:cNvPicPr/>
                  </pic:nvPicPr>
                  <pic:blipFill>
                    <a:blip r:embed="rId269"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 8.21: Price opens across the grain of the</w:t>
      </w:r>
      <w:r>
        <w:rPr>
          <w:spacing w:val="1"/>
          <w:sz w:val="16"/>
        </w:rPr>
        <w:t> </w:t>
      </w:r>
      <w:r>
        <w:rPr>
          <w:sz w:val="16"/>
        </w:rPr>
        <w:t>trend, sparking a breakaway</w:t>
      </w:r>
      <w:r>
        <w:rPr>
          <w:spacing w:val="3"/>
          <w:sz w:val="16"/>
        </w:rPr>
        <w:t> </w:t>
      </w:r>
      <w:r>
        <w:rPr>
          <w:spacing w:val="-4"/>
          <w:sz w:val="16"/>
        </w:rPr>
        <w:t>move</w:t>
      </w:r>
    </w:p>
    <w:p>
      <w:pPr>
        <w:pStyle w:val="BodyText"/>
        <w:spacing w:before="2"/>
      </w:pPr>
    </w:p>
    <w:p>
      <w:pPr>
        <w:pStyle w:val="BodyText"/>
        <w:ind w:left="140"/>
      </w:pPr>
      <w:r>
        <w:rPr/>
        <w:t>BOSS</w:t>
      </w:r>
      <w:r>
        <w:rPr>
          <w:spacing w:val="-5"/>
        </w:rPr>
        <w:t> </w:t>
      </w:r>
      <w:r>
        <w:rPr/>
        <w:t>IN</w:t>
      </w:r>
      <w:r>
        <w:rPr>
          <w:spacing w:val="-5"/>
        </w:rPr>
        <w:t> </w:t>
      </w:r>
      <w:r>
        <w:rPr>
          <w:spacing w:val="-2"/>
        </w:rPr>
        <w:t>ACTION</w:t>
      </w:r>
    </w:p>
    <w:p>
      <w:pPr>
        <w:pStyle w:val="BodyText"/>
        <w:spacing w:before="10"/>
        <w:rPr>
          <w:sz w:val="21"/>
        </w:rPr>
      </w:pPr>
    </w:p>
    <w:p>
      <w:pPr>
        <w:pStyle w:val="BodyText"/>
        <w:ind w:left="140" w:right="495" w:firstLine="432"/>
        <w:jc w:val="both"/>
      </w:pPr>
      <w:r>
        <w:rPr/>
        <w:t>When I trade the Camarilla breakaway play, I typically like the gap to</w:t>
      </w:r>
      <w:r>
        <w:rPr>
          <w:spacing w:val="40"/>
        </w:rPr>
        <w:t> </w:t>
      </w:r>
      <w:r>
        <w:rPr/>
        <w:t>be</w:t>
      </w:r>
      <w:r>
        <w:rPr>
          <w:spacing w:val="-1"/>
        </w:rPr>
        <w:t> </w:t>
      </w:r>
      <w:r>
        <w:rPr/>
        <w:t>beyond</w:t>
      </w:r>
      <w:r>
        <w:rPr>
          <w:spacing w:val="-1"/>
        </w:rPr>
        <w:t> </w:t>
      </w:r>
      <w:r>
        <w:rPr/>
        <w:t>the</w:t>
      </w:r>
      <w:r>
        <w:rPr>
          <w:spacing w:val="-1"/>
        </w:rPr>
        <w:t> </w:t>
      </w:r>
      <w:r>
        <w:rPr/>
        <w:t>fourth</w:t>
      </w:r>
      <w:r>
        <w:rPr>
          <w:spacing w:val="-1"/>
        </w:rPr>
        <w:t> </w:t>
      </w:r>
      <w:r>
        <w:rPr/>
        <w:t>layer</w:t>
      </w:r>
      <w:r>
        <w:rPr>
          <w:spacing w:val="-2"/>
        </w:rPr>
        <w:t> </w:t>
      </w:r>
      <w:r>
        <w:rPr/>
        <w:t>of</w:t>
      </w:r>
      <w:r>
        <w:rPr>
          <w:spacing w:val="-1"/>
        </w:rPr>
        <w:t> </w:t>
      </w:r>
      <w:r>
        <w:rPr/>
        <w:t>the</w:t>
      </w:r>
      <w:r>
        <w:rPr>
          <w:spacing w:val="-1"/>
        </w:rPr>
        <w:t> </w:t>
      </w:r>
      <w:r>
        <w:rPr/>
        <w:t>indicator</w:t>
      </w:r>
      <w:r>
        <w:rPr>
          <w:spacing w:val="-1"/>
        </w:rPr>
        <w:t> </w:t>
      </w:r>
      <w:r>
        <w:rPr/>
        <w:t>on</w:t>
      </w:r>
      <w:r>
        <w:rPr>
          <w:spacing w:val="-1"/>
        </w:rPr>
        <w:t> </w:t>
      </w:r>
      <w:r>
        <w:rPr/>
        <w:t>a</w:t>
      </w:r>
      <w:r>
        <w:rPr>
          <w:spacing w:val="-1"/>
        </w:rPr>
        <w:t> </w:t>
      </w:r>
      <w:r>
        <w:rPr/>
        <w:t>day</w:t>
      </w:r>
      <w:r>
        <w:rPr>
          <w:spacing w:val="-1"/>
        </w:rPr>
        <w:t> </w:t>
      </w:r>
      <w:r>
        <w:rPr/>
        <w:t>when</w:t>
      </w:r>
      <w:r>
        <w:rPr>
          <w:spacing w:val="-1"/>
        </w:rPr>
        <w:t> </w:t>
      </w:r>
      <w:r>
        <w:rPr/>
        <w:t>price</w:t>
      </w:r>
      <w:r>
        <w:rPr>
          <w:spacing w:val="-1"/>
        </w:rPr>
        <w:t> </w:t>
      </w:r>
      <w:r>
        <w:rPr/>
        <w:t>opens</w:t>
      </w:r>
      <w:r>
        <w:rPr>
          <w:spacing w:val="-1"/>
        </w:rPr>
        <w:t> </w:t>
      </w:r>
      <w:r>
        <w:rPr/>
        <w:t>beyond the prior day’s range and value. When this occurs, I study price behavior at the closest Camarilla pivot and enter the trade if a successful test occurs.</w:t>
      </w:r>
      <w:r>
        <w:rPr>
          <w:spacing w:val="40"/>
        </w:rPr>
        <w:t> </w:t>
      </w:r>
      <w:r>
        <w:rPr/>
        <w:t>Take a look at Figure 8.22, which is a fifteen-minute chart of the E-Mini NASDAQ 100 futures contract. Price opened the day above the prior day’s range and above the H4 Camarilla level, which set the stage for a bullish Trend Day.</w:t>
      </w:r>
      <w:r>
        <w:rPr>
          <w:spacing w:val="-1"/>
        </w:rPr>
        <w:t> </w:t>
      </w:r>
      <w:r>
        <w:rPr/>
        <w:t>I</w:t>
      </w:r>
      <w:r>
        <w:rPr>
          <w:spacing w:val="-1"/>
        </w:rPr>
        <w:t> </w:t>
      </w:r>
      <w:r>
        <w:rPr/>
        <w:t>allowed the first fifteen-minute bar</w:t>
      </w:r>
      <w:r>
        <w:rPr>
          <w:spacing w:val="-1"/>
        </w:rPr>
        <w:t> </w:t>
      </w:r>
      <w:r>
        <w:rPr/>
        <w:t>of the day</w:t>
      </w:r>
      <w:r>
        <w:rPr>
          <w:spacing w:val="-1"/>
        </w:rPr>
        <w:t> </w:t>
      </w:r>
      <w:r>
        <w:rPr/>
        <w:t>to</w:t>
      </w:r>
      <w:r>
        <w:rPr>
          <w:spacing w:val="-1"/>
        </w:rPr>
        <w:t> </w:t>
      </w:r>
      <w:r>
        <w:rPr/>
        <w:t>play</w:t>
      </w:r>
      <w:r>
        <w:rPr>
          <w:spacing w:val="-2"/>
        </w:rPr>
        <w:t> </w:t>
      </w:r>
      <w:r>
        <w:rPr/>
        <w:t>out</w:t>
      </w:r>
      <w:r>
        <w:rPr>
          <w:spacing w:val="-1"/>
        </w:rPr>
        <w:t> </w:t>
      </w:r>
      <w:r>
        <w:rPr/>
        <w:t>before entering the trade, as I want to see a bullish reversal from this pivot before I commit</w:t>
      </w:r>
      <w:r>
        <w:rPr>
          <w:spacing w:val="-1"/>
        </w:rPr>
        <w:t> </w:t>
      </w:r>
      <w:r>
        <w:rPr/>
        <w:t>to</w:t>
      </w:r>
      <w:r>
        <w:rPr>
          <w:spacing w:val="-1"/>
        </w:rPr>
        <w:t> </w:t>
      </w:r>
      <w:r>
        <w:rPr/>
        <w:t>the</w:t>
      </w:r>
      <w:r>
        <w:rPr>
          <w:spacing w:val="-1"/>
        </w:rPr>
        <w:t> </w:t>
      </w:r>
      <w:r>
        <w:rPr/>
        <w:t>play.</w:t>
      </w:r>
      <w:r>
        <w:rPr>
          <w:spacing w:val="-1"/>
        </w:rPr>
        <w:t> </w:t>
      </w:r>
      <w:r>
        <w:rPr/>
        <w:t>In</w:t>
      </w:r>
      <w:r>
        <w:rPr>
          <w:spacing w:val="-2"/>
        </w:rPr>
        <w:t> </w:t>
      </w:r>
      <w:r>
        <w:rPr/>
        <w:t>this</w:t>
      </w:r>
      <w:r>
        <w:rPr>
          <w:spacing w:val="-1"/>
        </w:rPr>
        <w:t> </w:t>
      </w:r>
      <w:r>
        <w:rPr/>
        <w:t>case,</w:t>
      </w:r>
      <w:r>
        <w:rPr>
          <w:spacing w:val="-1"/>
        </w:rPr>
        <w:t> </w:t>
      </w:r>
      <w:r>
        <w:rPr/>
        <w:t>the</w:t>
      </w:r>
      <w:r>
        <w:rPr>
          <w:spacing w:val="-1"/>
        </w:rPr>
        <w:t> </w:t>
      </w:r>
      <w:r>
        <w:rPr/>
        <w:t>NQ</w:t>
      </w:r>
      <w:r>
        <w:rPr>
          <w:spacing w:val="-1"/>
        </w:rPr>
        <w:t> </w:t>
      </w:r>
      <w:r>
        <w:rPr/>
        <w:t>formed</w:t>
      </w:r>
      <w:r>
        <w:rPr>
          <w:spacing w:val="-1"/>
        </w:rPr>
        <w:t> </w:t>
      </w:r>
      <w:r>
        <w:rPr/>
        <w:t>a</w:t>
      </w:r>
      <w:r>
        <w:rPr>
          <w:spacing w:val="-1"/>
        </w:rPr>
        <w:t> </w:t>
      </w:r>
      <w:r>
        <w:rPr/>
        <w:t>bullish</w:t>
      </w:r>
      <w:r>
        <w:rPr>
          <w:spacing w:val="-1"/>
        </w:rPr>
        <w:t> </w:t>
      </w:r>
      <w:r>
        <w:rPr/>
        <w:t>wick</w:t>
      </w:r>
      <w:r>
        <w:rPr>
          <w:spacing w:val="-2"/>
        </w:rPr>
        <w:t> </w:t>
      </w:r>
      <w:r>
        <w:rPr/>
        <w:t>reversal</w:t>
      </w:r>
      <w:r>
        <w:rPr>
          <w:spacing w:val="-1"/>
        </w:rPr>
        <w:t> </w:t>
      </w:r>
      <w:r>
        <w:rPr/>
        <w:t>setup, which allowed me to enter the trade near the open of the following bar at 1872.50. After the entry, I set my fixed loss stop below the day’s low and used</w:t>
      </w:r>
      <w:r>
        <w:rPr>
          <w:spacing w:val="-3"/>
        </w:rPr>
        <w:t> </w:t>
      </w:r>
      <w:r>
        <w:rPr/>
        <w:t>a</w:t>
      </w:r>
      <w:r>
        <w:rPr>
          <w:spacing w:val="-3"/>
        </w:rPr>
        <w:t> </w:t>
      </w:r>
      <w:r>
        <w:rPr/>
        <w:t>1.5</w:t>
      </w:r>
      <w:r>
        <w:rPr>
          <w:spacing w:val="-3"/>
        </w:rPr>
        <w:t> </w:t>
      </w:r>
      <w:r>
        <w:rPr/>
        <w:t>ATR</w:t>
      </w:r>
      <w:r>
        <w:rPr>
          <w:spacing w:val="-3"/>
        </w:rPr>
        <w:t> </w:t>
      </w:r>
      <w:r>
        <w:rPr/>
        <w:t>cushion</w:t>
      </w:r>
      <w:r>
        <w:rPr>
          <w:spacing w:val="-3"/>
        </w:rPr>
        <w:t> </w:t>
      </w:r>
      <w:r>
        <w:rPr/>
        <w:t>on</w:t>
      </w:r>
      <w:r>
        <w:rPr>
          <w:spacing w:val="-3"/>
        </w:rPr>
        <w:t> </w:t>
      </w:r>
      <w:r>
        <w:rPr/>
        <w:t>my</w:t>
      </w:r>
      <w:r>
        <w:rPr>
          <w:spacing w:val="-3"/>
        </w:rPr>
        <w:t> </w:t>
      </w:r>
      <w:r>
        <w:rPr/>
        <w:t>trailing</w:t>
      </w:r>
      <w:r>
        <w:rPr>
          <w:spacing w:val="-5"/>
        </w:rPr>
        <w:t> </w:t>
      </w:r>
      <w:r>
        <w:rPr/>
        <w:t>profit</w:t>
      </w:r>
      <w:r>
        <w:rPr>
          <w:spacing w:val="-3"/>
        </w:rPr>
        <w:t> </w:t>
      </w:r>
      <w:r>
        <w:rPr/>
        <w:t>stop,</w:t>
      </w:r>
      <w:r>
        <w:rPr>
          <w:spacing w:val="-3"/>
        </w:rPr>
        <w:t> </w:t>
      </w:r>
      <w:r>
        <w:rPr/>
        <w:t>which</w:t>
      </w:r>
      <w:r>
        <w:rPr>
          <w:spacing w:val="-3"/>
        </w:rPr>
        <w:t> </w:t>
      </w:r>
      <w:r>
        <w:rPr/>
        <w:t>kept</w:t>
      </w:r>
      <w:r>
        <w:rPr>
          <w:spacing w:val="-3"/>
        </w:rPr>
        <w:t> </w:t>
      </w:r>
      <w:r>
        <w:rPr/>
        <w:t>me</w:t>
      </w:r>
      <w:r>
        <w:rPr>
          <w:spacing w:val="-2"/>
        </w:rPr>
        <w:t> </w:t>
      </w:r>
      <w:r>
        <w:rPr/>
        <w:t>in</w:t>
      </w:r>
      <w:r>
        <w:rPr>
          <w:spacing w:val="-3"/>
        </w:rPr>
        <w:t> </w:t>
      </w:r>
      <w:r>
        <w:rPr/>
        <w:t>the</w:t>
      </w:r>
      <w:r>
        <w:rPr>
          <w:spacing w:val="-3"/>
        </w:rPr>
        <w:t> </w:t>
      </w:r>
      <w:r>
        <w:rPr/>
        <w:t>trade throughout the session. My trade session boundary stop automatically closed me out of the trade fifteen minutes before the end of the session at 1887, netting me a gain of 14.5 points, which amounts to $290 per contract.</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257" name="image135.png"/>
            <wp:cNvGraphicFramePr>
              <a:graphicFrameLocks noChangeAspect="1"/>
            </wp:cNvGraphicFramePr>
            <a:graphic>
              <a:graphicData uri="http://schemas.openxmlformats.org/drawingml/2006/picture">
                <pic:pic>
                  <pic:nvPicPr>
                    <pic:cNvPr id="258" name="image135.png"/>
                    <pic:cNvPicPr/>
                  </pic:nvPicPr>
                  <pic:blipFill>
                    <a:blip r:embed="rId270"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8.22:</w:t>
      </w:r>
      <w:r>
        <w:rPr>
          <w:spacing w:val="1"/>
          <w:sz w:val="16"/>
        </w:rPr>
        <w:t> </w:t>
      </w:r>
      <w:r>
        <w:rPr>
          <w:sz w:val="16"/>
        </w:rPr>
        <w:t>The</w:t>
      </w:r>
      <w:r>
        <w:rPr>
          <w:spacing w:val="1"/>
          <w:sz w:val="16"/>
        </w:rPr>
        <w:t> </w:t>
      </w:r>
      <w:r>
        <w:rPr>
          <w:sz w:val="16"/>
        </w:rPr>
        <w:t>Camarilla</w:t>
      </w:r>
      <w:r>
        <w:rPr>
          <w:spacing w:val="2"/>
          <w:sz w:val="16"/>
        </w:rPr>
        <w:t> </w:t>
      </w:r>
      <w:r>
        <w:rPr>
          <w:sz w:val="16"/>
        </w:rPr>
        <w:t>breakaway</w:t>
      </w:r>
      <w:r>
        <w:rPr>
          <w:spacing w:val="2"/>
          <w:sz w:val="16"/>
        </w:rPr>
        <w:t> </w:t>
      </w:r>
      <w:r>
        <w:rPr>
          <w:sz w:val="16"/>
        </w:rPr>
        <w:t>play</w:t>
      </w:r>
      <w:r>
        <w:rPr>
          <w:spacing w:val="2"/>
          <w:sz w:val="16"/>
        </w:rPr>
        <w:t> </w:t>
      </w:r>
      <w:r>
        <w:rPr>
          <w:sz w:val="16"/>
        </w:rPr>
        <w:t>works</w:t>
      </w:r>
      <w:r>
        <w:rPr>
          <w:spacing w:val="1"/>
          <w:sz w:val="16"/>
        </w:rPr>
        <w:t> </w:t>
      </w:r>
      <w:r>
        <w:rPr>
          <w:sz w:val="16"/>
        </w:rPr>
        <w:t>to</w:t>
      </w:r>
      <w:r>
        <w:rPr>
          <w:spacing w:val="2"/>
          <w:sz w:val="16"/>
        </w:rPr>
        <w:t> </w:t>
      </w:r>
      <w:r>
        <w:rPr>
          <w:sz w:val="16"/>
        </w:rPr>
        <w:t>perfection</w:t>
      </w:r>
      <w:r>
        <w:rPr>
          <w:spacing w:val="2"/>
          <w:sz w:val="16"/>
        </w:rPr>
        <w:t> </w:t>
      </w:r>
      <w:r>
        <w:rPr>
          <w:sz w:val="16"/>
        </w:rPr>
        <w:t>in</w:t>
      </w:r>
      <w:r>
        <w:rPr>
          <w:spacing w:val="1"/>
          <w:sz w:val="16"/>
        </w:rPr>
        <w:t> </w:t>
      </w:r>
      <w:r>
        <w:rPr>
          <w:sz w:val="16"/>
        </w:rPr>
        <w:t>the</w:t>
      </w:r>
      <w:r>
        <w:rPr>
          <w:spacing w:val="1"/>
          <w:sz w:val="16"/>
        </w:rPr>
        <w:t> </w:t>
      </w:r>
      <w:r>
        <w:rPr>
          <w:spacing w:val="-5"/>
          <w:sz w:val="16"/>
        </w:rPr>
        <w:t>NQ.</w:t>
      </w:r>
    </w:p>
    <w:p>
      <w:pPr>
        <w:pStyle w:val="BodyText"/>
        <w:spacing w:before="1"/>
      </w:pPr>
    </w:p>
    <w:p>
      <w:pPr>
        <w:pStyle w:val="Heading3"/>
        <w:ind w:left="500"/>
      </w:pPr>
      <w:r>
        <w:rPr/>
        <w:pict>
          <v:shape style="position:absolute;margin-left:54.779999pt;margin-top:18.290300pt;width:341pt;height:.1pt;mso-position-horizontal-relative:page;mso-position-vertical-relative:paragraph;z-index:-15580160;mso-wrap-distance-left:0;mso-wrap-distance-right:0" id="docshape824" coordorigin="1096,366" coordsize="6820,0" path="m1096,366l7915,366e" filled="false" stroked="true" strokeweight=".75pt" strokecolor="#000000">
            <v:path arrowok="t"/>
            <v:stroke dashstyle="solid"/>
            <w10:wrap type="topAndBottom"/>
          </v:shape>
        </w:pict>
      </w:r>
      <w:bookmarkStart w:name="_TOC_250021" w:id="70"/>
      <w:r>
        <w:rPr>
          <w:smallCaps/>
        </w:rPr>
        <w:t>Pivot</w:t>
      </w:r>
      <w:r>
        <w:rPr>
          <w:smallCaps/>
          <w:spacing w:val="-13"/>
        </w:rPr>
        <w:t> </w:t>
      </w:r>
      <w:r>
        <w:rPr>
          <w:smallCaps/>
        </w:rPr>
        <w:t>Trend</w:t>
      </w:r>
      <w:r>
        <w:rPr>
          <w:smallCaps/>
          <w:spacing w:val="-8"/>
        </w:rPr>
        <w:t> </w:t>
      </w:r>
      <w:bookmarkEnd w:id="70"/>
      <w:r>
        <w:rPr>
          <w:smallCaps/>
          <w:spacing w:val="-2"/>
        </w:rPr>
        <w:t>Analysis</w:t>
      </w:r>
    </w:p>
    <w:p>
      <w:pPr>
        <w:pStyle w:val="BodyText"/>
        <w:spacing w:before="202"/>
        <w:ind w:left="500" w:right="136" w:firstLine="432"/>
        <w:jc w:val="both"/>
        <w:rPr>
          <w:i/>
        </w:rPr>
      </w:pPr>
      <w:r>
        <w:rPr/>
        <w:t>Two days ago, potential investors visited our company’s offices. When the CEO of our company brought the investors into the trading room, one investor asked me what the Dow was going to do the following session. At this point, the Dow had been trending higher for four straight weeks, but was in the midst of a two-day pull-back from highs, which was the largest retracement during this advance. Despite the longer-term uptrend, I had a feeling that we would see more short-term selling pressure. As such, I told him that the following day we would likely see an early rally in the first hour of the session, but that this advance would be met with another round of selling pressure that would push the Dow back to new lows within the</w:t>
      </w:r>
      <w:r>
        <w:rPr>
          <w:spacing w:val="40"/>
        </w:rPr>
        <w:t> </w:t>
      </w:r>
      <w:r>
        <w:rPr/>
        <w:t>current short-term retracement. Needless to say, the investor gave me an incredulous look as if to ask, </w:t>
      </w:r>
      <w:r>
        <w:rPr>
          <w:i/>
        </w:rPr>
        <w:t>“Are you a time traveler? How could you</w:t>
      </w:r>
      <w:r>
        <w:rPr>
          <w:i/>
        </w:rPr>
        <w:t> possibly see the future?”</w:t>
      </w:r>
    </w:p>
    <w:p>
      <w:pPr>
        <w:pStyle w:val="BodyText"/>
        <w:ind w:left="500" w:right="136" w:firstLine="432"/>
        <w:jc w:val="both"/>
      </w:pPr>
      <w:r>
        <w:rPr/>
        <w:t>No, I’m not a time traveler, much to the dismay of my wife, who is</w:t>
      </w:r>
      <w:r>
        <w:rPr>
          <w:spacing w:val="40"/>
        </w:rPr>
        <w:t> </w:t>
      </w:r>
      <w:r>
        <w:rPr/>
        <w:t>super intrigued by time travel.</w:t>
      </w:r>
      <w:r>
        <w:rPr/>
        <w:t> But once you understand pivots and how markets react at these key zones, you too will be able to anticipate future price</w:t>
      </w:r>
      <w:r>
        <w:rPr>
          <w:spacing w:val="3"/>
        </w:rPr>
        <w:t> </w:t>
      </w:r>
      <w:r>
        <w:rPr/>
        <w:t>movement</w:t>
      </w:r>
      <w:r>
        <w:rPr>
          <w:spacing w:val="3"/>
        </w:rPr>
        <w:t> </w:t>
      </w:r>
      <w:r>
        <w:rPr/>
        <w:t>with</w:t>
      </w:r>
      <w:r>
        <w:rPr>
          <w:spacing w:val="2"/>
        </w:rPr>
        <w:t> </w:t>
      </w:r>
      <w:r>
        <w:rPr/>
        <w:t>the</w:t>
      </w:r>
      <w:r>
        <w:rPr>
          <w:spacing w:val="2"/>
        </w:rPr>
        <w:t> </w:t>
      </w:r>
      <w:r>
        <w:rPr/>
        <w:t>best</w:t>
      </w:r>
      <w:r>
        <w:rPr>
          <w:spacing w:val="2"/>
        </w:rPr>
        <w:t> </w:t>
      </w:r>
      <w:r>
        <w:rPr/>
        <w:t>of</w:t>
      </w:r>
      <w:r>
        <w:rPr>
          <w:spacing w:val="3"/>
        </w:rPr>
        <w:t> </w:t>
      </w:r>
      <w:r>
        <w:rPr/>
        <w:t>them.</w:t>
      </w:r>
      <w:r>
        <w:rPr>
          <w:spacing w:val="2"/>
        </w:rPr>
        <w:t> </w:t>
      </w:r>
      <w:r>
        <w:rPr/>
        <w:t>Of</w:t>
      </w:r>
      <w:r>
        <w:rPr>
          <w:spacing w:val="3"/>
        </w:rPr>
        <w:t> </w:t>
      </w:r>
      <w:r>
        <w:rPr/>
        <w:t>course,</w:t>
      </w:r>
      <w:r>
        <w:rPr>
          <w:spacing w:val="3"/>
        </w:rPr>
        <w:t> </w:t>
      </w:r>
      <w:r>
        <w:rPr/>
        <w:t>if</w:t>
      </w:r>
      <w:r>
        <w:rPr>
          <w:spacing w:val="1"/>
        </w:rPr>
        <w:t> </w:t>
      </w:r>
      <w:r>
        <w:rPr/>
        <w:t>your</w:t>
      </w:r>
      <w:r>
        <w:rPr>
          <w:spacing w:val="2"/>
        </w:rPr>
        <w:t> </w:t>
      </w:r>
      <w:r>
        <w:rPr/>
        <w:t>prediction</w:t>
      </w:r>
      <w:r>
        <w:rPr>
          <w:spacing w:val="2"/>
        </w:rPr>
        <w:t> </w:t>
      </w:r>
      <w:r>
        <w:rPr/>
        <w:t>does</w:t>
      </w:r>
      <w:r>
        <w:rPr>
          <w:spacing w:val="3"/>
        </w:rPr>
        <w:t> </w:t>
      </w:r>
      <w:r>
        <w:rPr>
          <w:spacing w:val="-5"/>
        </w:rPr>
        <w:t>not</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501"/>
        <w:jc w:val="both"/>
      </w:pPr>
      <w:r>
        <w:rPr/>
        <w:t>come to fruition you can always save face by diagnosing the market as irrational and unreasonable!</w:t>
      </w:r>
    </w:p>
    <w:p>
      <w:pPr>
        <w:pStyle w:val="BodyText"/>
        <w:spacing w:before="1"/>
        <w:ind w:left="140" w:right="496" w:firstLine="432"/>
        <w:jc w:val="both"/>
      </w:pPr>
      <w:r>
        <w:rPr/>
        <w:t>Let’s take a look at how my prediction turned out. Figure 8.23 shows</w:t>
      </w:r>
      <w:r>
        <w:rPr>
          <w:spacing w:val="80"/>
        </w:rPr>
        <w:t> </w:t>
      </w:r>
      <w:r>
        <w:rPr/>
        <w:t>the Mini-Sized Dow futures contract traded in exactly the way I had predicted! On August 25, 2009, the YM opened the session with early strength and traded </w:t>
      </w:r>
      <w:r>
        <w:rPr>
          <w:i/>
        </w:rPr>
        <w:t>precisely </w:t>
      </w:r>
      <w:r>
        <w:rPr/>
        <w:t>to the H3 pivot level, and was immediately met with selling pressure from responsive market participants. This selling pressure occurred within the first hour of the day, highlighted by the extreme reversal setup, which sparked immediate weakness that lasted throughout the session and essentially pushed price to new lows within the short-term downtrend. My analysis was spot on, showcasing how accurately you can predict potential price movement with pivots when price is trending.</w:t>
      </w:r>
    </w:p>
    <w:p>
      <w:pPr>
        <w:pStyle w:val="BodyText"/>
        <w:rPr>
          <w:sz w:val="20"/>
        </w:rPr>
      </w:pPr>
      <w:r>
        <w:rPr/>
        <w:drawing>
          <wp:anchor distT="0" distB="0" distL="0" distR="0" allowOverlap="1" layoutInCell="1" locked="0" behindDoc="0" simplePos="0" relativeHeight="291">
            <wp:simplePos x="0" y="0"/>
            <wp:positionH relativeFrom="page">
              <wp:posOffset>457200</wp:posOffset>
            </wp:positionH>
            <wp:positionV relativeFrom="paragraph">
              <wp:posOffset>161444</wp:posOffset>
            </wp:positionV>
            <wp:extent cx="4342239" cy="3111722"/>
            <wp:effectExtent l="0" t="0" r="0" b="0"/>
            <wp:wrapTopAndBottom/>
            <wp:docPr id="259" name="image136.png"/>
            <wp:cNvGraphicFramePr>
              <a:graphicFrameLocks noChangeAspect="1"/>
            </wp:cNvGraphicFramePr>
            <a:graphic>
              <a:graphicData uri="http://schemas.openxmlformats.org/drawingml/2006/picture">
                <pic:pic>
                  <pic:nvPicPr>
                    <pic:cNvPr id="260" name="image136.png"/>
                    <pic:cNvPicPr/>
                  </pic:nvPicPr>
                  <pic:blipFill>
                    <a:blip r:embed="rId271"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 8.23:</w:t>
      </w:r>
      <w:r>
        <w:rPr>
          <w:spacing w:val="1"/>
          <w:sz w:val="16"/>
        </w:rPr>
        <w:t> </w:t>
      </w:r>
      <w:r>
        <w:rPr>
          <w:sz w:val="16"/>
        </w:rPr>
        <w:t>The</w:t>
      </w:r>
      <w:r>
        <w:rPr>
          <w:spacing w:val="1"/>
          <w:sz w:val="16"/>
        </w:rPr>
        <w:t> </w:t>
      </w:r>
      <w:r>
        <w:rPr>
          <w:sz w:val="16"/>
        </w:rPr>
        <w:t>YM</w:t>
      </w:r>
      <w:r>
        <w:rPr>
          <w:spacing w:val="1"/>
          <w:sz w:val="16"/>
        </w:rPr>
        <w:t> </w:t>
      </w:r>
      <w:r>
        <w:rPr>
          <w:sz w:val="16"/>
        </w:rPr>
        <w:t>opens</w:t>
      </w:r>
      <w:r>
        <w:rPr>
          <w:spacing w:val="1"/>
          <w:sz w:val="16"/>
        </w:rPr>
        <w:t> </w:t>
      </w:r>
      <w:r>
        <w:rPr>
          <w:sz w:val="16"/>
        </w:rPr>
        <w:t>within</w:t>
      </w:r>
      <w:r>
        <w:rPr>
          <w:spacing w:val="1"/>
          <w:sz w:val="16"/>
        </w:rPr>
        <w:t> </w:t>
      </w:r>
      <w:r>
        <w:rPr>
          <w:sz w:val="16"/>
        </w:rPr>
        <w:t>value and</w:t>
      </w:r>
      <w:r>
        <w:rPr>
          <w:spacing w:val="1"/>
          <w:sz w:val="16"/>
        </w:rPr>
        <w:t> </w:t>
      </w:r>
      <w:r>
        <w:rPr>
          <w:sz w:val="16"/>
        </w:rPr>
        <w:t>finds</w:t>
      </w:r>
      <w:r>
        <w:rPr>
          <w:spacing w:val="1"/>
          <w:sz w:val="16"/>
        </w:rPr>
        <w:t> </w:t>
      </w:r>
      <w:r>
        <w:rPr>
          <w:sz w:val="16"/>
        </w:rPr>
        <w:t>resistance at</w:t>
      </w:r>
      <w:r>
        <w:rPr>
          <w:spacing w:val="1"/>
          <w:sz w:val="16"/>
        </w:rPr>
        <w:t> </w:t>
      </w:r>
      <w:r>
        <w:rPr>
          <w:sz w:val="16"/>
        </w:rPr>
        <w:t>H3</w:t>
      </w:r>
      <w:r>
        <w:rPr>
          <w:spacing w:val="1"/>
          <w:sz w:val="16"/>
        </w:rPr>
        <w:t> </w:t>
      </w:r>
      <w:r>
        <w:rPr>
          <w:sz w:val="16"/>
        </w:rPr>
        <w:t>in</w:t>
      </w:r>
      <w:r>
        <w:rPr>
          <w:spacing w:val="1"/>
          <w:sz w:val="16"/>
        </w:rPr>
        <w:t> </w:t>
      </w:r>
      <w:r>
        <w:rPr>
          <w:sz w:val="16"/>
        </w:rPr>
        <w:t>a</w:t>
      </w:r>
      <w:r>
        <w:rPr>
          <w:spacing w:val="1"/>
          <w:sz w:val="16"/>
        </w:rPr>
        <w:t> </w:t>
      </w:r>
      <w:r>
        <w:rPr>
          <w:sz w:val="16"/>
        </w:rPr>
        <w:t>bearish</w:t>
      </w:r>
      <w:r>
        <w:rPr>
          <w:spacing w:val="1"/>
          <w:sz w:val="16"/>
        </w:rPr>
        <w:t> </w:t>
      </w:r>
      <w:r>
        <w:rPr>
          <w:spacing w:val="-2"/>
          <w:sz w:val="16"/>
        </w:rPr>
        <w:t>trend.</w:t>
      </w:r>
    </w:p>
    <w:p>
      <w:pPr>
        <w:pStyle w:val="BodyText"/>
        <w:spacing w:before="9"/>
        <w:rPr>
          <w:sz w:val="21"/>
        </w:rPr>
      </w:pPr>
    </w:p>
    <w:p>
      <w:pPr>
        <w:pStyle w:val="BodyText"/>
        <w:ind w:left="139" w:right="496" w:firstLine="432"/>
        <w:jc w:val="both"/>
      </w:pPr>
      <w:r>
        <w:rPr/>
        <w:t>I do not claim to know what the market will do at all times, but when</w:t>
      </w:r>
      <w:r>
        <w:rPr>
          <w:spacing w:val="80"/>
        </w:rPr>
        <w:t> </w:t>
      </w:r>
      <w:r>
        <w:rPr/>
        <w:t>the market falls into a familiar routine, it is my responsibility as a trader to quickly and accurately identify and diagnose the situation so that I may deploy my capital in the most responsible manner. Trading is about finding those familiar patterns in the market and capitalizing on the highest probability</w:t>
      </w:r>
      <w:r>
        <w:rPr>
          <w:spacing w:val="-1"/>
        </w:rPr>
        <w:t> </w:t>
      </w:r>
      <w:r>
        <w:rPr/>
        <w:t>opportunities. Even in the shortest of trends,</w:t>
      </w:r>
      <w:r>
        <w:rPr>
          <w:spacing w:val="-1"/>
        </w:rPr>
        <w:t> </w:t>
      </w:r>
      <w:r>
        <w:rPr/>
        <w:t>you will</w:t>
      </w:r>
      <w:r>
        <w:rPr>
          <w:spacing w:val="-1"/>
        </w:rPr>
        <w:t> </w:t>
      </w:r>
      <w:r>
        <w:rPr/>
        <w:t>begin to see how every</w:t>
      </w:r>
      <w:r>
        <w:rPr>
          <w:spacing w:val="1"/>
        </w:rPr>
        <w:t> </w:t>
      </w:r>
      <w:r>
        <w:rPr/>
        <w:t>pull-back to</w:t>
      </w:r>
      <w:r>
        <w:rPr>
          <w:spacing w:val="1"/>
        </w:rPr>
        <w:t> </w:t>
      </w:r>
      <w:r>
        <w:rPr/>
        <w:t>L3</w:t>
      </w:r>
      <w:r>
        <w:rPr>
          <w:spacing w:val="-1"/>
        </w:rPr>
        <w:t> </w:t>
      </w:r>
      <w:r>
        <w:rPr/>
        <w:t>or</w:t>
      </w:r>
      <w:r>
        <w:rPr>
          <w:spacing w:val="1"/>
        </w:rPr>
        <w:t> </w:t>
      </w:r>
      <w:r>
        <w:rPr/>
        <w:t>H3 will</w:t>
      </w:r>
      <w:r>
        <w:rPr>
          <w:spacing w:val="1"/>
        </w:rPr>
        <w:t> </w:t>
      </w:r>
      <w:r>
        <w:rPr/>
        <w:t>be an</w:t>
      </w:r>
      <w:r>
        <w:rPr>
          <w:spacing w:val="1"/>
        </w:rPr>
        <w:t> </w:t>
      </w:r>
      <w:r>
        <w:rPr/>
        <w:t>opportunity to</w:t>
      </w:r>
      <w:r>
        <w:rPr>
          <w:spacing w:val="1"/>
        </w:rPr>
        <w:t> </w:t>
      </w:r>
      <w:r>
        <w:rPr/>
        <w:t>either buy</w:t>
      </w:r>
      <w:r>
        <w:rPr>
          <w:spacing w:val="1"/>
        </w:rPr>
        <w:t> </w:t>
      </w:r>
      <w:r>
        <w:rPr/>
        <w:t>the </w:t>
      </w:r>
      <w:r>
        <w:rPr>
          <w:spacing w:val="-4"/>
        </w:rPr>
        <w:t>dip,</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8"/>
        <w:jc w:val="both"/>
      </w:pPr>
      <w:r>
        <w:rPr/>
        <w:t>or sell the rip. The smart money enters positions at the most favorable spots in the chart, and pivot trend analysis allows you to spot these opportunities with the best of them.</w:t>
      </w:r>
    </w:p>
    <w:p>
      <w:pPr>
        <w:pStyle w:val="BodyText"/>
        <w:spacing w:before="1"/>
      </w:pPr>
    </w:p>
    <w:p>
      <w:pPr>
        <w:spacing w:before="0"/>
        <w:ind w:left="2288" w:right="0" w:hanging="1491"/>
        <w:jc w:val="left"/>
        <w:rPr>
          <w:i/>
          <w:sz w:val="22"/>
        </w:rPr>
      </w:pPr>
      <w:r>
        <w:rPr>
          <w:i/>
          <w:sz w:val="22"/>
        </w:rPr>
        <w:t>Pivot</w:t>
      </w:r>
      <w:r>
        <w:rPr>
          <w:i/>
          <w:spacing w:val="-3"/>
          <w:sz w:val="22"/>
        </w:rPr>
        <w:t> </w:t>
      </w:r>
      <w:r>
        <w:rPr>
          <w:i/>
          <w:sz w:val="22"/>
        </w:rPr>
        <w:t>trend</w:t>
      </w:r>
      <w:r>
        <w:rPr>
          <w:i/>
          <w:spacing w:val="-3"/>
          <w:sz w:val="22"/>
        </w:rPr>
        <w:t> </w:t>
      </w:r>
      <w:r>
        <w:rPr>
          <w:i/>
          <w:sz w:val="22"/>
        </w:rPr>
        <w:t>analysis</w:t>
      </w:r>
      <w:r>
        <w:rPr>
          <w:i/>
          <w:spacing w:val="-4"/>
          <w:sz w:val="22"/>
        </w:rPr>
        <w:t> </w:t>
      </w:r>
      <w:r>
        <w:rPr>
          <w:i/>
          <w:sz w:val="22"/>
        </w:rPr>
        <w:t>is</w:t>
      </w:r>
      <w:r>
        <w:rPr>
          <w:i/>
          <w:spacing w:val="-3"/>
          <w:sz w:val="22"/>
        </w:rPr>
        <w:t> </w:t>
      </w:r>
      <w:r>
        <w:rPr>
          <w:i/>
          <w:sz w:val="22"/>
        </w:rPr>
        <w:t>one</w:t>
      </w:r>
      <w:r>
        <w:rPr>
          <w:i/>
          <w:spacing w:val="-3"/>
          <w:sz w:val="22"/>
        </w:rPr>
        <w:t> </w:t>
      </w:r>
      <w:r>
        <w:rPr>
          <w:i/>
          <w:sz w:val="22"/>
        </w:rPr>
        <w:t>of</w:t>
      </w:r>
      <w:r>
        <w:rPr>
          <w:i/>
          <w:spacing w:val="-3"/>
          <w:sz w:val="22"/>
        </w:rPr>
        <w:t> </w:t>
      </w:r>
      <w:r>
        <w:rPr>
          <w:i/>
          <w:sz w:val="22"/>
        </w:rPr>
        <w:t>the</w:t>
      </w:r>
      <w:r>
        <w:rPr>
          <w:i/>
          <w:spacing w:val="-3"/>
          <w:sz w:val="22"/>
        </w:rPr>
        <w:t> </w:t>
      </w:r>
      <w:r>
        <w:rPr>
          <w:i/>
          <w:sz w:val="22"/>
        </w:rPr>
        <w:t>most</w:t>
      </w:r>
      <w:r>
        <w:rPr>
          <w:i/>
          <w:spacing w:val="-3"/>
          <w:sz w:val="22"/>
        </w:rPr>
        <w:t> </w:t>
      </w:r>
      <w:r>
        <w:rPr>
          <w:i/>
          <w:sz w:val="22"/>
        </w:rPr>
        <w:t>powerful</w:t>
      </w:r>
      <w:r>
        <w:rPr>
          <w:i/>
          <w:spacing w:val="-3"/>
          <w:sz w:val="22"/>
        </w:rPr>
        <w:t> </w:t>
      </w:r>
      <w:r>
        <w:rPr>
          <w:i/>
          <w:sz w:val="22"/>
        </w:rPr>
        <w:t>and</w:t>
      </w:r>
      <w:r>
        <w:rPr>
          <w:i/>
          <w:spacing w:val="-3"/>
          <w:sz w:val="22"/>
        </w:rPr>
        <w:t> </w:t>
      </w:r>
      <w:r>
        <w:rPr>
          <w:i/>
          <w:sz w:val="22"/>
        </w:rPr>
        <w:t>successful</w:t>
      </w:r>
      <w:r>
        <w:rPr>
          <w:i/>
          <w:spacing w:val="-3"/>
          <w:sz w:val="22"/>
        </w:rPr>
        <w:t> </w:t>
      </w:r>
      <w:r>
        <w:rPr>
          <w:i/>
          <w:sz w:val="22"/>
        </w:rPr>
        <w:t>ways</w:t>
      </w:r>
      <w:r>
        <w:rPr>
          <w:i/>
          <w:spacing w:val="-3"/>
          <w:sz w:val="22"/>
        </w:rPr>
        <w:t> </w:t>
      </w:r>
      <w:r>
        <w:rPr>
          <w:i/>
          <w:sz w:val="22"/>
        </w:rPr>
        <w:t>to</w:t>
      </w:r>
      <w:r>
        <w:rPr>
          <w:i/>
          <w:sz w:val="22"/>
        </w:rPr>
        <w:t> analyze and trade a trending market.</w:t>
      </w:r>
    </w:p>
    <w:p>
      <w:pPr>
        <w:pStyle w:val="BodyText"/>
        <w:spacing w:before="11"/>
        <w:rPr>
          <w:i/>
          <w:sz w:val="21"/>
        </w:rPr>
      </w:pPr>
    </w:p>
    <w:p>
      <w:pPr>
        <w:pStyle w:val="BodyText"/>
        <w:ind w:left="499" w:right="135" w:firstLine="432"/>
        <w:jc w:val="both"/>
      </w:pPr>
      <w:r>
        <w:rPr/>
        <w:t>Throughout the book, I have discussed the importance of recognizing</w:t>
      </w:r>
      <w:r>
        <w:rPr>
          <w:spacing w:val="40"/>
        </w:rPr>
        <w:t> </w:t>
      </w:r>
      <w:r>
        <w:rPr/>
        <w:t>the trend of the market while playing the pivots. To fully appreciate and</w:t>
      </w:r>
      <w:r>
        <w:rPr>
          <w:spacing w:val="40"/>
        </w:rPr>
        <w:t> </w:t>
      </w:r>
      <w:r>
        <w:rPr/>
        <w:t>profit from the pivots, you must buy at support while in an uptrend, and sell</w:t>
      </w:r>
      <w:r>
        <w:rPr>
          <w:spacing w:val="40"/>
        </w:rPr>
        <w:t> </w:t>
      </w:r>
      <w:r>
        <w:rPr/>
        <w:t>at resistance during a downtrend. Every pull-back becomes a buying opportunity</w:t>
      </w:r>
      <w:r>
        <w:rPr>
          <w:spacing w:val="-3"/>
        </w:rPr>
        <w:t> </w:t>
      </w:r>
      <w:r>
        <w:rPr/>
        <w:t>in</w:t>
      </w:r>
      <w:r>
        <w:rPr>
          <w:spacing w:val="-2"/>
        </w:rPr>
        <w:t> </w:t>
      </w:r>
      <w:r>
        <w:rPr/>
        <w:t>an</w:t>
      </w:r>
      <w:r>
        <w:rPr>
          <w:spacing w:val="-2"/>
        </w:rPr>
        <w:t> </w:t>
      </w:r>
      <w:r>
        <w:rPr/>
        <w:t>uptrend,</w:t>
      </w:r>
      <w:r>
        <w:rPr>
          <w:spacing w:val="-4"/>
        </w:rPr>
        <w:t> </w:t>
      </w:r>
      <w:r>
        <w:rPr/>
        <w:t>while</w:t>
      </w:r>
      <w:r>
        <w:rPr>
          <w:spacing w:val="-2"/>
        </w:rPr>
        <w:t> </w:t>
      </w:r>
      <w:r>
        <w:rPr/>
        <w:t>every</w:t>
      </w:r>
      <w:r>
        <w:rPr>
          <w:spacing w:val="-2"/>
        </w:rPr>
        <w:t> </w:t>
      </w:r>
      <w:r>
        <w:rPr/>
        <w:t>rally</w:t>
      </w:r>
      <w:r>
        <w:rPr>
          <w:spacing w:val="-3"/>
        </w:rPr>
        <w:t> </w:t>
      </w:r>
      <w:r>
        <w:rPr/>
        <w:t>becomes</w:t>
      </w:r>
      <w:r>
        <w:rPr>
          <w:spacing w:val="-1"/>
        </w:rPr>
        <w:t> </w:t>
      </w:r>
      <w:r>
        <w:rPr/>
        <w:t>an</w:t>
      </w:r>
      <w:r>
        <w:rPr>
          <w:spacing w:val="-2"/>
        </w:rPr>
        <w:t> </w:t>
      </w:r>
      <w:r>
        <w:rPr/>
        <w:t>opportunity</w:t>
      </w:r>
      <w:r>
        <w:rPr>
          <w:spacing w:val="-3"/>
        </w:rPr>
        <w:t> </w:t>
      </w:r>
      <w:r>
        <w:rPr/>
        <w:t>to</w:t>
      </w:r>
      <w:r>
        <w:rPr>
          <w:spacing w:val="-2"/>
        </w:rPr>
        <w:t> </w:t>
      </w:r>
      <w:r>
        <w:rPr/>
        <w:t>sell</w:t>
      </w:r>
      <w:r>
        <w:rPr>
          <w:spacing w:val="-2"/>
        </w:rPr>
        <w:t> </w:t>
      </w:r>
      <w:r>
        <w:rPr/>
        <w:t>in a downtrend. Understanding this axiom will allow you to hone in on the high probability buy and sell zones of the market.</w:t>
      </w:r>
      <w:r>
        <w:rPr/>
        <w:t> Obviously, the Camarilla indicator makes this process as elementary as possible</w:t>
      </w:r>
      <w:r>
        <w:rPr>
          <w:spacing w:val="-1"/>
        </w:rPr>
        <w:t> </w:t>
      </w:r>
      <w:r>
        <w:rPr/>
        <w:t>due to the color-coded pivots that direct you to buy or sell at certain levels.</w:t>
      </w:r>
    </w:p>
    <w:p>
      <w:pPr>
        <w:pStyle w:val="BodyText"/>
        <w:ind w:left="499" w:right="133" w:firstLine="432"/>
        <w:jc w:val="both"/>
      </w:pPr>
      <w:r>
        <w:rPr/>
        <w:t>Up to this point in the chapter, we have looked at two-day pivot relationships to give us a feel for potential behavior in the upcoming session. Pivot trend analysis is basically the same, but strings together multiple days during trending markets. The concept remains the same; buy at support in an uptrend, and sell at resistance in a downtrend. Every pull-back to H3 should be</w:t>
      </w:r>
      <w:r>
        <w:rPr>
          <w:spacing w:val="-2"/>
        </w:rPr>
        <w:t> </w:t>
      </w:r>
      <w:r>
        <w:rPr/>
        <w:t>a</w:t>
      </w:r>
      <w:r>
        <w:rPr>
          <w:spacing w:val="-2"/>
        </w:rPr>
        <w:t> </w:t>
      </w:r>
      <w:r>
        <w:rPr/>
        <w:t>selling</w:t>
      </w:r>
      <w:r>
        <w:rPr>
          <w:spacing w:val="-2"/>
        </w:rPr>
        <w:t> </w:t>
      </w:r>
      <w:r>
        <w:rPr/>
        <w:t>opportunity</w:t>
      </w:r>
      <w:r>
        <w:rPr>
          <w:spacing w:val="-4"/>
        </w:rPr>
        <w:t> </w:t>
      </w:r>
      <w:r>
        <w:rPr/>
        <w:t>during</w:t>
      </w:r>
      <w:r>
        <w:rPr>
          <w:spacing w:val="-2"/>
        </w:rPr>
        <w:t> </w:t>
      </w:r>
      <w:r>
        <w:rPr/>
        <w:t>a</w:t>
      </w:r>
      <w:r>
        <w:rPr>
          <w:spacing w:val="-2"/>
        </w:rPr>
        <w:t> </w:t>
      </w:r>
      <w:r>
        <w:rPr/>
        <w:t>bearish</w:t>
      </w:r>
      <w:r>
        <w:rPr>
          <w:spacing w:val="-2"/>
        </w:rPr>
        <w:t> </w:t>
      </w:r>
      <w:r>
        <w:rPr/>
        <w:t>trend,</w:t>
      </w:r>
      <w:r>
        <w:rPr>
          <w:spacing w:val="-2"/>
        </w:rPr>
        <w:t> </w:t>
      </w:r>
      <w:r>
        <w:rPr/>
        <w:t>while</w:t>
      </w:r>
      <w:r>
        <w:rPr>
          <w:spacing w:val="-2"/>
        </w:rPr>
        <w:t> </w:t>
      </w:r>
      <w:r>
        <w:rPr/>
        <w:t>every</w:t>
      </w:r>
      <w:r>
        <w:rPr>
          <w:spacing w:val="-2"/>
        </w:rPr>
        <w:t> </w:t>
      </w:r>
      <w:r>
        <w:rPr/>
        <w:t>retracement</w:t>
      </w:r>
      <w:r>
        <w:rPr>
          <w:spacing w:val="-2"/>
        </w:rPr>
        <w:t> </w:t>
      </w:r>
      <w:r>
        <w:rPr/>
        <w:t>to</w:t>
      </w:r>
      <w:r>
        <w:rPr>
          <w:spacing w:val="-2"/>
        </w:rPr>
        <w:t> </w:t>
      </w:r>
      <w:r>
        <w:rPr/>
        <w:t>L3 should be a buying opportunity during bullish trend.</w:t>
      </w:r>
    </w:p>
    <w:p>
      <w:pPr>
        <w:pStyle w:val="BodyText"/>
        <w:ind w:left="499" w:right="135" w:firstLine="432"/>
        <w:jc w:val="both"/>
      </w:pPr>
      <w:r>
        <w:rPr/>
        <w:t>Let’s take a look at an example. Figure 8.24 shows a fifteen-minute</w:t>
      </w:r>
      <w:r>
        <w:rPr>
          <w:spacing w:val="40"/>
        </w:rPr>
        <w:t> </w:t>
      </w:r>
      <w:r>
        <w:rPr/>
        <w:t>chart of Natural Gas futures during a five-day bearish trend. The contract pushed</w:t>
      </w:r>
      <w:r>
        <w:rPr>
          <w:spacing w:val="-2"/>
        </w:rPr>
        <w:t> </w:t>
      </w:r>
      <w:r>
        <w:rPr/>
        <w:t>lower</w:t>
      </w:r>
      <w:r>
        <w:rPr>
          <w:spacing w:val="-3"/>
        </w:rPr>
        <w:t> </w:t>
      </w:r>
      <w:r>
        <w:rPr/>
        <w:t>within</w:t>
      </w:r>
      <w:r>
        <w:rPr>
          <w:spacing w:val="-2"/>
        </w:rPr>
        <w:t> </w:t>
      </w:r>
      <w:r>
        <w:rPr/>
        <w:t>a</w:t>
      </w:r>
      <w:r>
        <w:rPr>
          <w:spacing w:val="-2"/>
        </w:rPr>
        <w:t> </w:t>
      </w:r>
      <w:r>
        <w:rPr/>
        <w:t>clearly</w:t>
      </w:r>
      <w:r>
        <w:rPr>
          <w:spacing w:val="-3"/>
        </w:rPr>
        <w:t> </w:t>
      </w:r>
      <w:r>
        <w:rPr/>
        <w:t>defined</w:t>
      </w:r>
      <w:r>
        <w:rPr>
          <w:spacing w:val="-3"/>
        </w:rPr>
        <w:t> </w:t>
      </w:r>
      <w:r>
        <w:rPr/>
        <w:t>downtrend</w:t>
      </w:r>
      <w:r>
        <w:rPr>
          <w:spacing w:val="-2"/>
        </w:rPr>
        <w:t> </w:t>
      </w:r>
      <w:r>
        <w:rPr/>
        <w:t>throughout</w:t>
      </w:r>
      <w:r>
        <w:rPr>
          <w:spacing w:val="-3"/>
        </w:rPr>
        <w:t> </w:t>
      </w:r>
      <w:r>
        <w:rPr/>
        <w:t>the</w:t>
      </w:r>
      <w:r>
        <w:rPr>
          <w:spacing w:val="-2"/>
        </w:rPr>
        <w:t> </w:t>
      </w:r>
      <w:r>
        <w:rPr/>
        <w:t>beginning</w:t>
      </w:r>
      <w:r>
        <w:rPr>
          <w:spacing w:val="-3"/>
        </w:rPr>
        <w:t> </w:t>
      </w:r>
      <w:r>
        <w:rPr/>
        <w:t>of August and followed the basic framework that you would expect from a trend. That is, every rally within the downtrend was met with selling</w:t>
      </w:r>
      <w:r>
        <w:rPr>
          <w:spacing w:val="40"/>
        </w:rPr>
        <w:t> </w:t>
      </w:r>
      <w:r>
        <w:rPr/>
        <w:t>pressure, which created new lows within the trend. Looking closely, you notice that every pull-back to H3 resistance led to another round of selling back</w:t>
      </w:r>
      <w:r>
        <w:rPr>
          <w:spacing w:val="-1"/>
        </w:rPr>
        <w:t> </w:t>
      </w:r>
      <w:r>
        <w:rPr/>
        <w:t>to</w:t>
      </w:r>
      <w:r>
        <w:rPr>
          <w:spacing w:val="-1"/>
        </w:rPr>
        <w:t> </w:t>
      </w:r>
      <w:r>
        <w:rPr/>
        <w:t>new</w:t>
      </w:r>
      <w:r>
        <w:rPr>
          <w:spacing w:val="-1"/>
        </w:rPr>
        <w:t> </w:t>
      </w:r>
      <w:r>
        <w:rPr/>
        <w:t>lows</w:t>
      </w:r>
      <w:r>
        <w:rPr>
          <w:spacing w:val="-1"/>
        </w:rPr>
        <w:t> </w:t>
      </w:r>
      <w:r>
        <w:rPr/>
        <w:t>within</w:t>
      </w:r>
      <w:r>
        <w:rPr>
          <w:spacing w:val="-1"/>
        </w:rPr>
        <w:t> </w:t>
      </w:r>
      <w:r>
        <w:rPr/>
        <w:t>the</w:t>
      </w:r>
      <w:r>
        <w:rPr>
          <w:spacing w:val="-1"/>
        </w:rPr>
        <w:t> </w:t>
      </w:r>
      <w:r>
        <w:rPr/>
        <w:t>bearish</w:t>
      </w:r>
      <w:r>
        <w:rPr>
          <w:spacing w:val="-1"/>
        </w:rPr>
        <w:t> </w:t>
      </w:r>
      <w:r>
        <w:rPr/>
        <w:t>trend</w:t>
      </w:r>
      <w:r>
        <w:rPr>
          <w:spacing w:val="-1"/>
        </w:rPr>
        <w:t> </w:t>
      </w:r>
      <w:r>
        <w:rPr/>
        <w:t>at</w:t>
      </w:r>
      <w:r>
        <w:rPr>
          <w:spacing w:val="-1"/>
        </w:rPr>
        <w:t> </w:t>
      </w:r>
      <w:r>
        <w:rPr/>
        <w:t>either</w:t>
      </w:r>
      <w:r>
        <w:rPr>
          <w:spacing w:val="-1"/>
        </w:rPr>
        <w:t> </w:t>
      </w:r>
      <w:r>
        <w:rPr/>
        <w:t>L3</w:t>
      </w:r>
      <w:r>
        <w:rPr>
          <w:spacing w:val="-1"/>
        </w:rPr>
        <w:t> </w:t>
      </w:r>
      <w:r>
        <w:rPr/>
        <w:t>or</w:t>
      </w:r>
      <w:r>
        <w:rPr>
          <w:spacing w:val="-1"/>
        </w:rPr>
        <w:t> </w:t>
      </w:r>
      <w:r>
        <w:rPr/>
        <w:t>L4,</w:t>
      </w:r>
      <w:r>
        <w:rPr>
          <w:spacing w:val="-1"/>
        </w:rPr>
        <w:t> </w:t>
      </w:r>
      <w:r>
        <w:rPr/>
        <w:t>which</w:t>
      </w:r>
      <w:r>
        <w:rPr>
          <w:spacing w:val="-2"/>
        </w:rPr>
        <w:t> </w:t>
      </w:r>
      <w:r>
        <w:rPr/>
        <w:t>is</w:t>
      </w:r>
      <w:r>
        <w:rPr>
          <w:spacing w:val="-1"/>
        </w:rPr>
        <w:t> </w:t>
      </w:r>
      <w:r>
        <w:rPr/>
        <w:t>exactly what you would expect within a clearly defined trend. This process repeats day after day until the trend is broken. In this example, I have manually “filtered” the pivots to show only the most pertinent pivots when price is in a bearish trend (H3, L3, and L4). Manually, or automatically, filtering the pivots in this fashion forces you to become disciplined to the trend. This method forces you to focus on the right actions at the most important levels, which inherently improves</w:t>
      </w:r>
      <w:r>
        <w:rPr>
          <w:spacing w:val="-1"/>
        </w:rPr>
        <w:t> </w:t>
      </w:r>
      <w:r>
        <w:rPr/>
        <w:t>your</w:t>
      </w:r>
      <w:r>
        <w:rPr>
          <w:spacing w:val="-1"/>
        </w:rPr>
        <w:t> </w:t>
      </w:r>
      <w:r>
        <w:rPr/>
        <w:t>potential for success. So what</w:t>
      </w:r>
      <w:r>
        <w:rPr>
          <w:spacing w:val="-1"/>
        </w:rPr>
        <w:t> </w:t>
      </w:r>
      <w:r>
        <w:rPr/>
        <w:t>do</w:t>
      </w:r>
      <w:r>
        <w:rPr>
          <w:spacing w:val="-2"/>
        </w:rPr>
        <w:t> </w:t>
      </w:r>
      <w:r>
        <w:rPr/>
        <w:t>we do with this information? If the market closes the day lower within the bearish trend, the next morning you will be ready to sell any advance to H3 resistance, should you have proper confirmation. Once in the trade, you will look to cover</w:t>
      </w:r>
      <w:r>
        <w:rPr>
          <w:spacing w:val="30"/>
        </w:rPr>
        <w:t> </w:t>
      </w:r>
      <w:r>
        <w:rPr/>
        <w:t>the</w:t>
      </w:r>
      <w:r>
        <w:rPr>
          <w:spacing w:val="30"/>
        </w:rPr>
        <w:t> </w:t>
      </w:r>
      <w:r>
        <w:rPr/>
        <w:t>position</w:t>
      </w:r>
      <w:r>
        <w:rPr>
          <w:spacing w:val="30"/>
        </w:rPr>
        <w:t> </w:t>
      </w:r>
      <w:r>
        <w:rPr/>
        <w:t>at</w:t>
      </w:r>
      <w:r>
        <w:rPr>
          <w:spacing w:val="30"/>
        </w:rPr>
        <w:t> </w:t>
      </w:r>
      <w:r>
        <w:rPr/>
        <w:t>either</w:t>
      </w:r>
      <w:r>
        <w:rPr>
          <w:spacing w:val="30"/>
        </w:rPr>
        <w:t> </w:t>
      </w:r>
      <w:r>
        <w:rPr/>
        <w:t>L3</w:t>
      </w:r>
      <w:r>
        <w:rPr>
          <w:spacing w:val="30"/>
        </w:rPr>
        <w:t> </w:t>
      </w:r>
      <w:r>
        <w:rPr/>
        <w:t>or</w:t>
      </w:r>
      <w:r>
        <w:rPr>
          <w:spacing w:val="30"/>
        </w:rPr>
        <w:t> </w:t>
      </w:r>
      <w:r>
        <w:rPr/>
        <w:t>L4</w:t>
      </w:r>
      <w:r>
        <w:rPr>
          <w:spacing w:val="30"/>
        </w:rPr>
        <w:t> </w:t>
      </w:r>
      <w:r>
        <w:rPr/>
        <w:t>support.</w:t>
      </w:r>
      <w:r>
        <w:rPr>
          <w:spacing w:val="30"/>
        </w:rPr>
        <w:t> </w:t>
      </w:r>
      <w:r>
        <w:rPr/>
        <w:t>Likewise,</w:t>
      </w:r>
      <w:r>
        <w:rPr>
          <w:spacing w:val="30"/>
        </w:rPr>
        <w:t> </w:t>
      </w:r>
      <w:r>
        <w:rPr/>
        <w:t>if</w:t>
      </w:r>
      <w:r>
        <w:rPr>
          <w:spacing w:val="30"/>
        </w:rPr>
        <w:t> </w:t>
      </w:r>
      <w:r>
        <w:rPr/>
        <w:t>the</w:t>
      </w:r>
      <w:r>
        <w:rPr>
          <w:spacing w:val="33"/>
        </w:rPr>
        <w:t> </w:t>
      </w:r>
      <w:r>
        <w:rPr/>
        <w:t>market</w:t>
      </w:r>
      <w:r>
        <w:rPr>
          <w:spacing w:val="30"/>
        </w:rPr>
        <w:t> </w:t>
      </w:r>
      <w:r>
        <w:rPr>
          <w:spacing w:val="-5"/>
        </w:rPr>
        <w:t>has</w:t>
      </w:r>
    </w:p>
    <w:p>
      <w:pPr>
        <w:spacing w:after="0"/>
        <w:jc w:val="both"/>
        <w:sectPr>
          <w:pgSz w:w="8640" w:h="12960"/>
          <w:pgMar w:header="536" w:footer="1060" w:top="720" w:bottom="1180" w:left="580" w:right="580"/>
        </w:sectPr>
      </w:pPr>
    </w:p>
    <w:p>
      <w:pPr>
        <w:pStyle w:val="BodyText"/>
        <w:spacing w:before="5"/>
        <w:rPr>
          <w:sz w:val="18"/>
        </w:rPr>
      </w:pPr>
    </w:p>
    <w:p>
      <w:pPr>
        <w:pStyle w:val="BodyText"/>
        <w:spacing w:before="64"/>
        <w:ind w:left="140"/>
      </w:pPr>
      <w:r>
        <w:rPr/>
        <w:t>developed a bullish trend, you will be looking to buy the dip at L3 the next morning, with your target at either H3 or H4 resistance.</w:t>
      </w:r>
    </w:p>
    <w:p>
      <w:pPr>
        <w:pStyle w:val="BodyText"/>
        <w:spacing w:before="2"/>
        <w:rPr>
          <w:sz w:val="20"/>
        </w:rPr>
      </w:pPr>
      <w:r>
        <w:rPr/>
        <w:drawing>
          <wp:anchor distT="0" distB="0" distL="0" distR="0" allowOverlap="1" layoutInCell="1" locked="0" behindDoc="0" simplePos="0" relativeHeight="292">
            <wp:simplePos x="0" y="0"/>
            <wp:positionH relativeFrom="page">
              <wp:posOffset>457200</wp:posOffset>
            </wp:positionH>
            <wp:positionV relativeFrom="paragraph">
              <wp:posOffset>162958</wp:posOffset>
            </wp:positionV>
            <wp:extent cx="4343034" cy="3129057"/>
            <wp:effectExtent l="0" t="0" r="0" b="0"/>
            <wp:wrapTopAndBottom/>
            <wp:docPr id="261" name="image137.png"/>
            <wp:cNvGraphicFramePr>
              <a:graphicFrameLocks noChangeAspect="1"/>
            </wp:cNvGraphicFramePr>
            <a:graphic>
              <a:graphicData uri="http://schemas.openxmlformats.org/drawingml/2006/picture">
                <pic:pic>
                  <pic:nvPicPr>
                    <pic:cNvPr id="262" name="image137.png"/>
                    <pic:cNvPicPr/>
                  </pic:nvPicPr>
                  <pic:blipFill>
                    <a:blip r:embed="rId272" cstate="print"/>
                    <a:stretch>
                      <a:fillRect/>
                    </a:stretch>
                  </pic:blipFill>
                  <pic:spPr>
                    <a:xfrm>
                      <a:off x="0" y="0"/>
                      <a:ext cx="4343034" cy="3129057"/>
                    </a:xfrm>
                    <a:prstGeom prst="rect">
                      <a:avLst/>
                    </a:prstGeom>
                  </pic:spPr>
                </pic:pic>
              </a:graphicData>
            </a:graphic>
          </wp:anchor>
        </w:drawing>
      </w:r>
    </w:p>
    <w:p>
      <w:pPr>
        <w:spacing w:before="0"/>
        <w:ind w:left="140" w:right="0" w:firstLine="0"/>
        <w:jc w:val="left"/>
        <w:rPr>
          <w:sz w:val="16"/>
        </w:rPr>
      </w:pPr>
      <w:r>
        <w:rPr>
          <w:sz w:val="16"/>
        </w:rPr>
        <w:t>FIGURE</w:t>
      </w:r>
      <w:r>
        <w:rPr>
          <w:spacing w:val="2"/>
          <w:sz w:val="16"/>
        </w:rPr>
        <w:t> </w:t>
      </w:r>
      <w:r>
        <w:rPr>
          <w:sz w:val="16"/>
        </w:rPr>
        <w:t>8.24:</w:t>
      </w:r>
      <w:r>
        <w:rPr>
          <w:spacing w:val="2"/>
          <w:sz w:val="16"/>
        </w:rPr>
        <w:t> </w:t>
      </w:r>
      <w:r>
        <w:rPr>
          <w:sz w:val="16"/>
        </w:rPr>
        <w:t>Sell</w:t>
      </w:r>
      <w:r>
        <w:rPr>
          <w:spacing w:val="2"/>
          <w:sz w:val="16"/>
        </w:rPr>
        <w:t> </w:t>
      </w:r>
      <w:r>
        <w:rPr>
          <w:sz w:val="16"/>
        </w:rPr>
        <w:t>the</w:t>
      </w:r>
      <w:r>
        <w:rPr>
          <w:spacing w:val="2"/>
          <w:sz w:val="16"/>
        </w:rPr>
        <w:t> </w:t>
      </w:r>
      <w:r>
        <w:rPr>
          <w:sz w:val="16"/>
        </w:rPr>
        <w:t>rallies</w:t>
      </w:r>
      <w:r>
        <w:rPr>
          <w:spacing w:val="2"/>
          <w:sz w:val="16"/>
        </w:rPr>
        <w:t> </w:t>
      </w:r>
      <w:r>
        <w:rPr>
          <w:sz w:val="16"/>
        </w:rPr>
        <w:t>at</w:t>
      </w:r>
      <w:r>
        <w:rPr>
          <w:spacing w:val="4"/>
          <w:sz w:val="16"/>
        </w:rPr>
        <w:t> </w:t>
      </w:r>
      <w:r>
        <w:rPr>
          <w:sz w:val="16"/>
        </w:rPr>
        <w:t>H3</w:t>
      </w:r>
      <w:r>
        <w:rPr>
          <w:spacing w:val="3"/>
          <w:sz w:val="16"/>
        </w:rPr>
        <w:t> </w:t>
      </w:r>
      <w:r>
        <w:rPr>
          <w:sz w:val="16"/>
        </w:rPr>
        <w:t>in</w:t>
      </w:r>
      <w:r>
        <w:rPr>
          <w:spacing w:val="2"/>
          <w:sz w:val="16"/>
        </w:rPr>
        <w:t> </w:t>
      </w:r>
      <w:r>
        <w:rPr>
          <w:sz w:val="16"/>
        </w:rPr>
        <w:t>a</w:t>
      </w:r>
      <w:r>
        <w:rPr>
          <w:spacing w:val="2"/>
          <w:sz w:val="16"/>
        </w:rPr>
        <w:t> </w:t>
      </w:r>
      <w:r>
        <w:rPr>
          <w:sz w:val="16"/>
        </w:rPr>
        <w:t>bearish</w:t>
      </w:r>
      <w:r>
        <w:rPr>
          <w:spacing w:val="2"/>
          <w:sz w:val="16"/>
        </w:rPr>
        <w:t> </w:t>
      </w:r>
      <w:r>
        <w:rPr>
          <w:spacing w:val="-2"/>
          <w:sz w:val="16"/>
        </w:rPr>
        <w:t>trend</w:t>
      </w:r>
    </w:p>
    <w:p>
      <w:pPr>
        <w:pStyle w:val="BodyText"/>
        <w:spacing w:before="8"/>
        <w:rPr>
          <w:sz w:val="21"/>
        </w:rPr>
      </w:pPr>
    </w:p>
    <w:p>
      <w:pPr>
        <w:pStyle w:val="BodyText"/>
        <w:ind w:left="140" w:right="494" w:firstLine="432"/>
        <w:jc w:val="both"/>
      </w:pPr>
      <w:r>
        <w:rPr/>
        <w:t>Pivot trend analysis may seem like common sense after it has been illustrated</w:t>
      </w:r>
      <w:r>
        <w:rPr>
          <w:spacing w:val="-1"/>
        </w:rPr>
        <w:t> </w:t>
      </w:r>
      <w:r>
        <w:rPr/>
        <w:t>and</w:t>
      </w:r>
      <w:r>
        <w:rPr>
          <w:spacing w:val="-1"/>
        </w:rPr>
        <w:t> </w:t>
      </w:r>
      <w:r>
        <w:rPr/>
        <w:t>explained,</w:t>
      </w:r>
      <w:r>
        <w:rPr>
          <w:spacing w:val="-2"/>
        </w:rPr>
        <w:t> </w:t>
      </w:r>
      <w:r>
        <w:rPr/>
        <w:t>but</w:t>
      </w:r>
      <w:r>
        <w:rPr>
          <w:spacing w:val="-1"/>
        </w:rPr>
        <w:t> </w:t>
      </w:r>
      <w:r>
        <w:rPr/>
        <w:t>trust</w:t>
      </w:r>
      <w:r>
        <w:rPr>
          <w:spacing w:val="-1"/>
        </w:rPr>
        <w:t> </w:t>
      </w:r>
      <w:r>
        <w:rPr/>
        <w:t>me, many</w:t>
      </w:r>
      <w:r>
        <w:rPr>
          <w:spacing w:val="-1"/>
        </w:rPr>
        <w:t> </w:t>
      </w:r>
      <w:r>
        <w:rPr/>
        <w:t>inconsistent</w:t>
      </w:r>
      <w:r>
        <w:rPr>
          <w:spacing w:val="-1"/>
        </w:rPr>
        <w:t> </w:t>
      </w:r>
      <w:r>
        <w:rPr/>
        <w:t>traders have</w:t>
      </w:r>
      <w:r>
        <w:rPr>
          <w:spacing w:val="-1"/>
        </w:rPr>
        <w:t> </w:t>
      </w:r>
      <w:r>
        <w:rPr/>
        <w:t>not</w:t>
      </w:r>
      <w:r>
        <w:rPr>
          <w:spacing w:val="-2"/>
        </w:rPr>
        <w:t> </w:t>
      </w:r>
      <w:r>
        <w:rPr/>
        <w:t>yet made the correlation between this type of market behavior and how pivots factor into a trend. The use of pivots in a trend, whether Camarilla-based, Money Zone, or otherwise, offers you the most accurate method of forecasting turning points in a trend. Your ability to accurately diagnose the trend and identify the right actionable pivots can definitely put you ahead of the herd.</w:t>
      </w:r>
    </w:p>
    <w:p>
      <w:pPr>
        <w:pStyle w:val="BodyText"/>
        <w:spacing w:before="1"/>
        <w:ind w:left="140" w:right="496" w:firstLine="432"/>
        <w:jc w:val="both"/>
      </w:pPr>
      <w:r>
        <w:rPr/>
        <w:t>Of course, your definition of what constitutes a trend does not have to</w:t>
      </w:r>
      <w:r>
        <w:rPr>
          <w:spacing w:val="40"/>
        </w:rPr>
        <w:t> </w:t>
      </w:r>
      <w:r>
        <w:rPr/>
        <w:t>be rigid. Not all trends are long, glorious moves in the market. A two-day move in the same direction may be classified as a short-term trend, which</w:t>
      </w:r>
      <w:r>
        <w:rPr>
          <w:spacing w:val="80"/>
        </w:rPr>
        <w:t> </w:t>
      </w:r>
      <w:r>
        <w:rPr/>
        <w:t>can still allow you to take advantage of market moves using the appropriate pivots. Identifying the most pertinent trend will allow you to utilize the right Camarilla levels for the best results.</w:t>
      </w:r>
    </w:p>
    <w:p>
      <w:pPr>
        <w:pStyle w:val="BodyText"/>
        <w:ind w:left="140" w:right="495" w:firstLine="432"/>
        <w:jc w:val="both"/>
      </w:pPr>
      <w:r>
        <w:rPr/>
        <w:t>Let’s take a look at a bullish example. Figure 8.25 offers an excellent example of the type of pivot behavior you can expect when a market has established</w:t>
      </w:r>
      <w:r>
        <w:rPr>
          <w:spacing w:val="5"/>
        </w:rPr>
        <w:t> </w:t>
      </w:r>
      <w:r>
        <w:rPr/>
        <w:t>a</w:t>
      </w:r>
      <w:r>
        <w:rPr>
          <w:spacing w:val="6"/>
        </w:rPr>
        <w:t> </w:t>
      </w:r>
      <w:r>
        <w:rPr/>
        <w:t>bullish</w:t>
      </w:r>
      <w:r>
        <w:rPr>
          <w:spacing w:val="6"/>
        </w:rPr>
        <w:t> </w:t>
      </w:r>
      <w:r>
        <w:rPr/>
        <w:t>trend.</w:t>
      </w:r>
      <w:r>
        <w:rPr>
          <w:spacing w:val="5"/>
        </w:rPr>
        <w:t> </w:t>
      </w:r>
      <w:r>
        <w:rPr/>
        <w:t>I</w:t>
      </w:r>
      <w:r>
        <w:rPr>
          <w:spacing w:val="5"/>
        </w:rPr>
        <w:t> </w:t>
      </w:r>
      <w:r>
        <w:rPr/>
        <w:t>have</w:t>
      </w:r>
      <w:r>
        <w:rPr>
          <w:spacing w:val="6"/>
        </w:rPr>
        <w:t> </w:t>
      </w:r>
      <w:r>
        <w:rPr/>
        <w:t>also</w:t>
      </w:r>
      <w:r>
        <w:rPr>
          <w:spacing w:val="5"/>
        </w:rPr>
        <w:t> </w:t>
      </w:r>
      <w:r>
        <w:rPr/>
        <w:t>manually</w:t>
      </w:r>
      <w:r>
        <w:rPr>
          <w:spacing w:val="6"/>
        </w:rPr>
        <w:t> </w:t>
      </w:r>
      <w:r>
        <w:rPr/>
        <w:t>“filtered”</w:t>
      </w:r>
      <w:r>
        <w:rPr>
          <w:spacing w:val="6"/>
        </w:rPr>
        <w:t> </w:t>
      </w:r>
      <w:r>
        <w:rPr/>
        <w:t>the</w:t>
      </w:r>
      <w:r>
        <w:rPr>
          <w:spacing w:val="5"/>
        </w:rPr>
        <w:t> </w:t>
      </w:r>
      <w:r>
        <w:rPr/>
        <w:t>pivots</w:t>
      </w:r>
      <w:r>
        <w:rPr>
          <w:spacing w:val="6"/>
        </w:rPr>
        <w:t> </w:t>
      </w:r>
      <w:r>
        <w:rPr/>
        <w:t>for</w:t>
      </w:r>
      <w:r>
        <w:rPr>
          <w:spacing w:val="6"/>
        </w:rPr>
        <w:t> </w:t>
      </w:r>
      <w:r>
        <w:rPr>
          <w:spacing w:val="-4"/>
        </w:rPr>
        <w:t>this</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5"/>
        <w:jc w:val="both"/>
      </w:pPr>
      <w:r>
        <w:rPr/>
        <w:t>example, leaving only the pivots that are the most pertinent in a bullish trend (L3, H3, and H4). When the market has developed a well-behaved uptrend, you should see a clear pattern of buying pressure at L3, with targets at H3</w:t>
      </w:r>
      <w:r>
        <w:rPr>
          <w:spacing w:val="40"/>
        </w:rPr>
        <w:t> </w:t>
      </w:r>
      <w:r>
        <w:rPr/>
        <w:t>and H4. In this chart, the E-Mini Russell 2000 futures contract began a new uptrend when price closed beyond H4 resistance on September 3, 2009. The price</w:t>
      </w:r>
      <w:r>
        <w:rPr>
          <w:spacing w:val="-2"/>
        </w:rPr>
        <w:t> </w:t>
      </w:r>
      <w:r>
        <w:rPr/>
        <w:t>behavior</w:t>
      </w:r>
      <w:r>
        <w:rPr>
          <w:spacing w:val="-2"/>
        </w:rPr>
        <w:t> </w:t>
      </w:r>
      <w:r>
        <w:rPr/>
        <w:t>that</w:t>
      </w:r>
      <w:r>
        <w:rPr>
          <w:spacing w:val="-2"/>
        </w:rPr>
        <w:t> </w:t>
      </w:r>
      <w:r>
        <w:rPr/>
        <w:t>followed</w:t>
      </w:r>
      <w:r>
        <w:rPr>
          <w:spacing w:val="-2"/>
        </w:rPr>
        <w:t> </w:t>
      </w:r>
      <w:r>
        <w:rPr/>
        <w:t>was</w:t>
      </w:r>
      <w:r>
        <w:rPr>
          <w:spacing w:val="-1"/>
        </w:rPr>
        <w:t> </w:t>
      </w:r>
      <w:r>
        <w:rPr/>
        <w:t>a</w:t>
      </w:r>
      <w:r>
        <w:rPr>
          <w:spacing w:val="-2"/>
        </w:rPr>
        <w:t> </w:t>
      </w:r>
      <w:r>
        <w:rPr/>
        <w:t>clear</w:t>
      </w:r>
      <w:r>
        <w:rPr>
          <w:spacing w:val="-1"/>
        </w:rPr>
        <w:t> </w:t>
      </w:r>
      <w:r>
        <w:rPr/>
        <w:t>pattern</w:t>
      </w:r>
      <w:r>
        <w:rPr>
          <w:spacing w:val="-2"/>
        </w:rPr>
        <w:t> </w:t>
      </w:r>
      <w:r>
        <w:rPr/>
        <w:t>of</w:t>
      </w:r>
      <w:r>
        <w:rPr>
          <w:spacing w:val="-2"/>
        </w:rPr>
        <w:t> </w:t>
      </w:r>
      <w:r>
        <w:rPr/>
        <w:t>“buying</w:t>
      </w:r>
      <w:r>
        <w:rPr>
          <w:spacing w:val="-2"/>
        </w:rPr>
        <w:t> </w:t>
      </w:r>
      <w:r>
        <w:rPr/>
        <w:t>the</w:t>
      </w:r>
      <w:r>
        <w:rPr>
          <w:spacing w:val="-2"/>
        </w:rPr>
        <w:t> </w:t>
      </w:r>
      <w:r>
        <w:rPr/>
        <w:t>dips,”</w:t>
      </w:r>
      <w:r>
        <w:rPr>
          <w:spacing w:val="-2"/>
        </w:rPr>
        <w:t> </w:t>
      </w:r>
      <w:r>
        <w:rPr/>
        <w:t>as</w:t>
      </w:r>
      <w:r>
        <w:rPr>
          <w:spacing w:val="-1"/>
        </w:rPr>
        <w:t> </w:t>
      </w:r>
      <w:r>
        <w:rPr/>
        <w:t>three of the next four sessions saw buying pressure enter the market when L3 was tested early in each session. Each bounce at L3 support led to new highs within the uptrend to H3 resistance and beyond, which is exactly what you would expect when the market falls into this type of predictable behavior.</w:t>
      </w:r>
    </w:p>
    <w:p>
      <w:pPr>
        <w:pStyle w:val="BodyText"/>
        <w:ind w:left="500" w:right="138" w:firstLine="432"/>
        <w:jc w:val="both"/>
      </w:pPr>
      <w:r>
        <w:rPr/>
        <w:t>In other words, during a bullish trend, price typically pulls back from highs at some point the next morning, which offers a buying opportunity for savvy traders. This buying opportunity is usually seen at L3 support, as this level offers traders a high value entry point versus buying a new high, a method that is usually reserved for amateurs. This is the same type of consumer mentality that you would see in any marketplace around the globe. Why</w:t>
      </w:r>
      <w:r>
        <w:rPr>
          <w:spacing w:val="-1"/>
        </w:rPr>
        <w:t> </w:t>
      </w:r>
      <w:r>
        <w:rPr/>
        <w:t>buy</w:t>
      </w:r>
      <w:r>
        <w:rPr>
          <w:spacing w:val="-1"/>
        </w:rPr>
        <w:t> </w:t>
      </w:r>
      <w:r>
        <w:rPr/>
        <w:t>a</w:t>
      </w:r>
      <w:r>
        <w:rPr>
          <w:spacing w:val="-1"/>
        </w:rPr>
        <w:t> </w:t>
      </w:r>
      <w:r>
        <w:rPr/>
        <w:t>product</w:t>
      </w:r>
      <w:r>
        <w:rPr>
          <w:spacing w:val="-1"/>
        </w:rPr>
        <w:t> </w:t>
      </w:r>
      <w:r>
        <w:rPr/>
        <w:t>for</w:t>
      </w:r>
      <w:r>
        <w:rPr>
          <w:spacing w:val="-1"/>
        </w:rPr>
        <w:t> </w:t>
      </w:r>
      <w:r>
        <w:rPr/>
        <w:t>a</w:t>
      </w:r>
      <w:r>
        <w:rPr>
          <w:spacing w:val="-2"/>
        </w:rPr>
        <w:t> </w:t>
      </w:r>
      <w:r>
        <w:rPr/>
        <w:t>higher</w:t>
      </w:r>
      <w:r>
        <w:rPr>
          <w:spacing w:val="-1"/>
        </w:rPr>
        <w:t> </w:t>
      </w:r>
      <w:r>
        <w:rPr/>
        <w:t>price</w:t>
      </w:r>
      <w:r>
        <w:rPr>
          <w:spacing w:val="-1"/>
        </w:rPr>
        <w:t> </w:t>
      </w:r>
      <w:r>
        <w:rPr/>
        <w:t>at</w:t>
      </w:r>
      <w:r>
        <w:rPr>
          <w:spacing w:val="-1"/>
        </w:rPr>
        <w:t> </w:t>
      </w:r>
      <w:r>
        <w:rPr/>
        <w:t>one</w:t>
      </w:r>
      <w:r>
        <w:rPr>
          <w:spacing w:val="-1"/>
        </w:rPr>
        <w:t> </w:t>
      </w:r>
      <w:r>
        <w:rPr/>
        <w:t>store,</w:t>
      </w:r>
      <w:r>
        <w:rPr>
          <w:spacing w:val="-1"/>
        </w:rPr>
        <w:t> </w:t>
      </w:r>
      <w:r>
        <w:rPr/>
        <w:t>when</w:t>
      </w:r>
      <w:r>
        <w:rPr>
          <w:spacing w:val="-2"/>
        </w:rPr>
        <w:t> </w:t>
      </w:r>
      <w:r>
        <w:rPr/>
        <w:t>you</w:t>
      </w:r>
      <w:r>
        <w:rPr>
          <w:spacing w:val="-1"/>
        </w:rPr>
        <w:t> </w:t>
      </w:r>
      <w:r>
        <w:rPr/>
        <w:t>can</w:t>
      </w:r>
      <w:r>
        <w:rPr>
          <w:spacing w:val="-1"/>
        </w:rPr>
        <w:t> </w:t>
      </w:r>
      <w:r>
        <w:rPr/>
        <w:t>shop</w:t>
      </w:r>
      <w:r>
        <w:rPr>
          <w:spacing w:val="-1"/>
        </w:rPr>
        <w:t> </w:t>
      </w:r>
      <w:r>
        <w:rPr/>
        <w:t>around for the best price at other stores or on the Internet? Trading is always about getting the best price you can find, whether it’s buying as low as possible, or selling for as much as you can get.</w:t>
      </w:r>
    </w:p>
    <w:p>
      <w:pPr>
        <w:pStyle w:val="BodyText"/>
        <w:spacing w:before="1"/>
        <w:rPr>
          <w:sz w:val="20"/>
        </w:rPr>
      </w:pPr>
      <w:r>
        <w:rPr/>
        <w:drawing>
          <wp:anchor distT="0" distB="0" distL="0" distR="0" allowOverlap="1" layoutInCell="1" locked="0" behindDoc="0" simplePos="0" relativeHeight="293">
            <wp:simplePos x="0" y="0"/>
            <wp:positionH relativeFrom="page">
              <wp:posOffset>685800</wp:posOffset>
            </wp:positionH>
            <wp:positionV relativeFrom="paragraph">
              <wp:posOffset>162393</wp:posOffset>
            </wp:positionV>
            <wp:extent cx="4342239" cy="3111722"/>
            <wp:effectExtent l="0" t="0" r="0" b="0"/>
            <wp:wrapTopAndBottom/>
            <wp:docPr id="263" name="image138.png"/>
            <wp:cNvGraphicFramePr>
              <a:graphicFrameLocks noChangeAspect="1"/>
            </wp:cNvGraphicFramePr>
            <a:graphic>
              <a:graphicData uri="http://schemas.openxmlformats.org/drawingml/2006/picture">
                <pic:pic>
                  <pic:nvPicPr>
                    <pic:cNvPr id="264" name="image138.png"/>
                    <pic:cNvPicPr/>
                  </pic:nvPicPr>
                  <pic:blipFill>
                    <a:blip r:embed="rId273" cstate="print"/>
                    <a:stretch>
                      <a:fillRect/>
                    </a:stretch>
                  </pic:blipFill>
                  <pic:spPr>
                    <a:xfrm>
                      <a:off x="0" y="0"/>
                      <a:ext cx="4342239" cy="3111722"/>
                    </a:xfrm>
                    <a:prstGeom prst="rect">
                      <a:avLst/>
                    </a:prstGeom>
                  </pic:spPr>
                </pic:pic>
              </a:graphicData>
            </a:graphic>
          </wp:anchor>
        </w:drawing>
      </w:r>
    </w:p>
    <w:p>
      <w:pPr>
        <w:spacing w:before="0"/>
        <w:ind w:left="500" w:right="0" w:firstLine="0"/>
        <w:jc w:val="both"/>
        <w:rPr>
          <w:sz w:val="16"/>
        </w:rPr>
      </w:pPr>
      <w:r>
        <w:rPr>
          <w:sz w:val="16"/>
        </w:rPr>
        <w:t>FIGURE</w:t>
      </w:r>
      <w:r>
        <w:rPr>
          <w:spacing w:val="2"/>
          <w:sz w:val="16"/>
        </w:rPr>
        <w:t> </w:t>
      </w:r>
      <w:r>
        <w:rPr>
          <w:sz w:val="16"/>
        </w:rPr>
        <w:t>8.25:</w:t>
      </w:r>
      <w:r>
        <w:rPr>
          <w:spacing w:val="3"/>
          <w:sz w:val="16"/>
        </w:rPr>
        <w:t> </w:t>
      </w:r>
      <w:r>
        <w:rPr>
          <w:sz w:val="16"/>
        </w:rPr>
        <w:t>Buy</w:t>
      </w:r>
      <w:r>
        <w:rPr>
          <w:spacing w:val="3"/>
          <w:sz w:val="16"/>
        </w:rPr>
        <w:t> </w:t>
      </w:r>
      <w:r>
        <w:rPr>
          <w:sz w:val="16"/>
        </w:rPr>
        <w:t>the</w:t>
      </w:r>
      <w:r>
        <w:rPr>
          <w:spacing w:val="3"/>
          <w:sz w:val="16"/>
        </w:rPr>
        <w:t> </w:t>
      </w:r>
      <w:r>
        <w:rPr>
          <w:sz w:val="16"/>
        </w:rPr>
        <w:t>dips</w:t>
      </w:r>
      <w:r>
        <w:rPr>
          <w:spacing w:val="3"/>
          <w:sz w:val="16"/>
        </w:rPr>
        <w:t> </w:t>
      </w:r>
      <w:r>
        <w:rPr>
          <w:sz w:val="16"/>
        </w:rPr>
        <w:t>at</w:t>
      </w:r>
      <w:r>
        <w:rPr>
          <w:spacing w:val="4"/>
          <w:sz w:val="16"/>
        </w:rPr>
        <w:t> </w:t>
      </w:r>
      <w:r>
        <w:rPr>
          <w:sz w:val="16"/>
        </w:rPr>
        <w:t>L3</w:t>
      </w:r>
      <w:r>
        <w:rPr>
          <w:spacing w:val="3"/>
          <w:sz w:val="16"/>
        </w:rPr>
        <w:t> </w:t>
      </w:r>
      <w:r>
        <w:rPr>
          <w:sz w:val="16"/>
        </w:rPr>
        <w:t>in</w:t>
      </w:r>
      <w:r>
        <w:rPr>
          <w:spacing w:val="4"/>
          <w:sz w:val="16"/>
        </w:rPr>
        <w:t> </w:t>
      </w:r>
      <w:r>
        <w:rPr>
          <w:sz w:val="16"/>
        </w:rPr>
        <w:t>a</w:t>
      </w:r>
      <w:r>
        <w:rPr>
          <w:spacing w:val="3"/>
          <w:sz w:val="16"/>
        </w:rPr>
        <w:t> </w:t>
      </w:r>
      <w:r>
        <w:rPr>
          <w:sz w:val="16"/>
        </w:rPr>
        <w:t>bullish</w:t>
      </w:r>
      <w:r>
        <w:rPr>
          <w:spacing w:val="3"/>
          <w:sz w:val="16"/>
        </w:rPr>
        <w:t> </w:t>
      </w:r>
      <w:r>
        <w:rPr>
          <w:spacing w:val="-2"/>
          <w:sz w:val="16"/>
        </w:rPr>
        <w:t>trend</w:t>
      </w:r>
    </w:p>
    <w:p>
      <w:pPr>
        <w:spacing w:after="0"/>
        <w:jc w:val="both"/>
        <w:rPr>
          <w:sz w:val="16"/>
        </w:rPr>
        <w:sectPr>
          <w:pgSz w:w="8640" w:h="12960"/>
          <w:pgMar w:header="536" w:footer="1060" w:top="720" w:bottom="1260" w:left="580" w:right="580"/>
        </w:sectPr>
      </w:pPr>
    </w:p>
    <w:p>
      <w:pPr>
        <w:pStyle w:val="BodyText"/>
        <w:spacing w:before="5"/>
        <w:rPr>
          <w:sz w:val="18"/>
        </w:rPr>
      </w:pPr>
    </w:p>
    <w:p>
      <w:pPr>
        <w:pStyle w:val="BodyText"/>
        <w:spacing w:before="64"/>
        <w:ind w:left="140"/>
      </w:pPr>
      <w:r>
        <w:rPr/>
        <w:t>BOSS</w:t>
      </w:r>
      <w:r>
        <w:rPr>
          <w:spacing w:val="-5"/>
        </w:rPr>
        <w:t> </w:t>
      </w:r>
      <w:r>
        <w:rPr/>
        <w:t>IN</w:t>
      </w:r>
      <w:r>
        <w:rPr>
          <w:spacing w:val="-5"/>
        </w:rPr>
        <w:t> </w:t>
      </w:r>
      <w:r>
        <w:rPr>
          <w:spacing w:val="-2"/>
        </w:rPr>
        <w:t>ACTION</w:t>
      </w:r>
    </w:p>
    <w:p>
      <w:pPr>
        <w:pStyle w:val="BodyText"/>
      </w:pPr>
    </w:p>
    <w:p>
      <w:pPr>
        <w:pStyle w:val="BodyText"/>
        <w:spacing w:before="1"/>
        <w:ind w:left="140" w:right="496" w:firstLine="432"/>
        <w:jc w:val="both"/>
      </w:pPr>
      <w:r>
        <w:rPr/>
        <w:t>Let’s take a closer look at this phenomenon, and how I would approach it for executing a trade. Figure 8.26 shows the last two days of the bullish trend</w:t>
      </w:r>
      <w:r>
        <w:rPr>
          <w:spacing w:val="-1"/>
        </w:rPr>
        <w:t> </w:t>
      </w:r>
      <w:r>
        <w:rPr/>
        <w:t>from</w:t>
      </w:r>
      <w:r>
        <w:rPr>
          <w:spacing w:val="-1"/>
        </w:rPr>
        <w:t> </w:t>
      </w:r>
      <w:r>
        <w:rPr/>
        <w:t>the</w:t>
      </w:r>
      <w:r>
        <w:rPr>
          <w:spacing w:val="-1"/>
        </w:rPr>
        <w:t> </w:t>
      </w:r>
      <w:r>
        <w:rPr/>
        <w:t>previous</w:t>
      </w:r>
      <w:r>
        <w:rPr>
          <w:spacing w:val="-1"/>
        </w:rPr>
        <w:t> </w:t>
      </w:r>
      <w:r>
        <w:rPr/>
        <w:t>example.</w:t>
      </w:r>
      <w:r>
        <w:rPr>
          <w:spacing w:val="-1"/>
        </w:rPr>
        <w:t> </w:t>
      </w:r>
      <w:r>
        <w:rPr/>
        <w:t>I remember</w:t>
      </w:r>
      <w:r>
        <w:rPr>
          <w:spacing w:val="-1"/>
        </w:rPr>
        <w:t> </w:t>
      </w:r>
      <w:r>
        <w:rPr/>
        <w:t>September</w:t>
      </w:r>
      <w:r>
        <w:rPr>
          <w:spacing w:val="-1"/>
        </w:rPr>
        <w:t> </w:t>
      </w:r>
      <w:r>
        <w:rPr/>
        <w:t>10</w:t>
      </w:r>
      <w:r>
        <w:rPr>
          <w:spacing w:val="-1"/>
        </w:rPr>
        <w:t> </w:t>
      </w:r>
      <w:r>
        <w:rPr/>
        <w:t>clearly</w:t>
      </w:r>
      <w:r>
        <w:rPr>
          <w:spacing w:val="-1"/>
        </w:rPr>
        <w:t> </w:t>
      </w:r>
      <w:r>
        <w:rPr/>
        <w:t>because</w:t>
      </w:r>
      <w:r>
        <w:rPr>
          <w:spacing w:val="-1"/>
        </w:rPr>
        <w:t> </w:t>
      </w:r>
      <w:r>
        <w:rPr/>
        <w:t>I had</w:t>
      </w:r>
      <w:r>
        <w:rPr>
          <w:spacing w:val="-1"/>
        </w:rPr>
        <w:t> </w:t>
      </w:r>
      <w:r>
        <w:rPr/>
        <w:t>a</w:t>
      </w:r>
      <w:r>
        <w:rPr>
          <w:spacing w:val="-1"/>
        </w:rPr>
        <w:t> </w:t>
      </w:r>
      <w:r>
        <w:rPr/>
        <w:t>strong</w:t>
      </w:r>
      <w:r>
        <w:rPr>
          <w:spacing w:val="-1"/>
        </w:rPr>
        <w:t> </w:t>
      </w:r>
      <w:r>
        <w:rPr/>
        <w:t>belief</w:t>
      </w:r>
      <w:r>
        <w:rPr>
          <w:spacing w:val="-1"/>
        </w:rPr>
        <w:t> </w:t>
      </w:r>
      <w:r>
        <w:rPr/>
        <w:t>that</w:t>
      </w:r>
      <w:r>
        <w:rPr>
          <w:spacing w:val="-1"/>
        </w:rPr>
        <w:t> </w:t>
      </w:r>
      <w:r>
        <w:rPr/>
        <w:t>we would</w:t>
      </w:r>
      <w:r>
        <w:rPr>
          <w:spacing w:val="-1"/>
        </w:rPr>
        <w:t> </w:t>
      </w:r>
      <w:r>
        <w:rPr/>
        <w:t>see</w:t>
      </w:r>
      <w:r>
        <w:rPr>
          <w:spacing w:val="-1"/>
        </w:rPr>
        <w:t> </w:t>
      </w:r>
      <w:r>
        <w:rPr/>
        <w:t>early</w:t>
      </w:r>
      <w:r>
        <w:rPr>
          <w:spacing w:val="-1"/>
        </w:rPr>
        <w:t> </w:t>
      </w:r>
      <w:r>
        <w:rPr/>
        <w:t>selling</w:t>
      </w:r>
      <w:r>
        <w:rPr>
          <w:spacing w:val="-3"/>
        </w:rPr>
        <w:t> </w:t>
      </w:r>
      <w:r>
        <w:rPr/>
        <w:t>pressure</w:t>
      </w:r>
      <w:r>
        <w:rPr>
          <w:spacing w:val="-1"/>
        </w:rPr>
        <w:t> </w:t>
      </w:r>
      <w:r>
        <w:rPr/>
        <w:t>that</w:t>
      </w:r>
      <w:r>
        <w:rPr>
          <w:spacing w:val="-1"/>
        </w:rPr>
        <w:t> </w:t>
      </w:r>
      <w:r>
        <w:rPr/>
        <w:t>would</w:t>
      </w:r>
      <w:r>
        <w:rPr>
          <w:spacing w:val="-1"/>
        </w:rPr>
        <w:t> </w:t>
      </w:r>
      <w:r>
        <w:rPr/>
        <w:t>offer</w:t>
      </w:r>
      <w:r>
        <w:rPr>
          <w:spacing w:val="-1"/>
        </w:rPr>
        <w:t> </w:t>
      </w:r>
      <w:r>
        <w:rPr/>
        <w:t>a bargain buying opportunity, since the market had developed such a strong trend over the prior week of trading. As you are now familiar, having an educated guess about what the market is likely to do in the upcoming session is only the first part of the puzzle before you can pull the trigger on a trade. You must also get acceptance from the market in other forms, like the opening print in relation to value, pivot confirmation, and even candlestick setup confirmation.</w:t>
      </w:r>
    </w:p>
    <w:p>
      <w:pPr>
        <w:pStyle w:val="BodyText"/>
        <w:ind w:left="140" w:right="495" w:firstLine="432"/>
        <w:jc w:val="right"/>
      </w:pPr>
      <w:r>
        <w:rPr/>
        <w:t>Now that I am armed with an idea of how the market may behave in the upcoming session, I set out to confirm the trade. Before the market opens the session, I take a look at the pre-market futures data to get a feel for where the market is about to open the day. Remember, since this particular contract has been rising in a bullish trend, I want price to open the day anywhere above</w:t>
      </w:r>
      <w:r>
        <w:rPr>
          <w:spacing w:val="40"/>
        </w:rPr>
        <w:t> </w:t>
      </w:r>
      <w:r>
        <w:rPr/>
        <w:t>L3 support, but not beyond H4 or H5. The fact that price eventually opens</w:t>
      </w:r>
      <w:r>
        <w:rPr>
          <w:spacing w:val="80"/>
        </w:rPr>
        <w:t> </w:t>
      </w:r>
      <w:r>
        <w:rPr/>
        <w:t>the</w:t>
      </w:r>
      <w:r>
        <w:rPr>
          <w:spacing w:val="22"/>
        </w:rPr>
        <w:t> </w:t>
      </w:r>
      <w:r>
        <w:rPr/>
        <w:t>session</w:t>
      </w:r>
      <w:r>
        <w:rPr>
          <w:spacing w:val="21"/>
        </w:rPr>
        <w:t> </w:t>
      </w:r>
      <w:r>
        <w:rPr/>
        <w:t>above</w:t>
      </w:r>
      <w:r>
        <w:rPr>
          <w:spacing w:val="22"/>
        </w:rPr>
        <w:t> </w:t>
      </w:r>
      <w:r>
        <w:rPr/>
        <w:t>L3, but below</w:t>
      </w:r>
      <w:r>
        <w:rPr>
          <w:spacing w:val="22"/>
        </w:rPr>
        <w:t> </w:t>
      </w:r>
      <w:r>
        <w:rPr/>
        <w:t>H3,</w:t>
      </w:r>
      <w:r>
        <w:rPr>
          <w:spacing w:val="21"/>
        </w:rPr>
        <w:t> </w:t>
      </w:r>
      <w:r>
        <w:rPr/>
        <w:t>lets</w:t>
      </w:r>
      <w:r>
        <w:rPr>
          <w:spacing w:val="23"/>
        </w:rPr>
        <w:t> </w:t>
      </w:r>
      <w:r>
        <w:rPr/>
        <w:t>me</w:t>
      </w:r>
      <w:r>
        <w:rPr>
          <w:spacing w:val="22"/>
        </w:rPr>
        <w:t> </w:t>
      </w:r>
      <w:r>
        <w:rPr/>
        <w:t>know</w:t>
      </w:r>
      <w:r>
        <w:rPr>
          <w:spacing w:val="22"/>
        </w:rPr>
        <w:t> </w:t>
      </w:r>
      <w:r>
        <w:rPr/>
        <w:t>that</w:t>
      </w:r>
      <w:r>
        <w:rPr>
          <w:spacing w:val="22"/>
        </w:rPr>
        <w:t> </w:t>
      </w:r>
      <w:r>
        <w:rPr/>
        <w:t>if</w:t>
      </w:r>
      <w:r>
        <w:rPr>
          <w:spacing w:val="22"/>
        </w:rPr>
        <w:t> </w:t>
      </w:r>
      <w:r>
        <w:rPr/>
        <w:t>price is</w:t>
      </w:r>
      <w:r>
        <w:rPr>
          <w:spacing w:val="22"/>
        </w:rPr>
        <w:t> </w:t>
      </w:r>
      <w:r>
        <w:rPr/>
        <w:t>going to push higher, it will first test L3 support. Essentially, L3 becomes my action level.</w:t>
      </w:r>
      <w:r>
        <w:rPr>
          <w:spacing w:val="-2"/>
        </w:rPr>
        <w:t> </w:t>
      </w:r>
      <w:r>
        <w:rPr/>
        <w:t>Any</w:t>
      </w:r>
      <w:r>
        <w:rPr>
          <w:spacing w:val="-4"/>
        </w:rPr>
        <w:t> </w:t>
      </w:r>
      <w:r>
        <w:rPr/>
        <w:t>signs</w:t>
      </w:r>
      <w:r>
        <w:rPr>
          <w:spacing w:val="-2"/>
        </w:rPr>
        <w:t> </w:t>
      </w:r>
      <w:r>
        <w:rPr/>
        <w:t>of</w:t>
      </w:r>
      <w:r>
        <w:rPr>
          <w:spacing w:val="-2"/>
        </w:rPr>
        <w:t> </w:t>
      </w:r>
      <w:r>
        <w:rPr/>
        <w:t>strength</w:t>
      </w:r>
      <w:r>
        <w:rPr>
          <w:spacing w:val="-4"/>
        </w:rPr>
        <w:t> </w:t>
      </w:r>
      <w:r>
        <w:rPr/>
        <w:t>at</w:t>
      </w:r>
      <w:r>
        <w:rPr>
          <w:spacing w:val="-2"/>
        </w:rPr>
        <w:t> </w:t>
      </w:r>
      <w:r>
        <w:rPr/>
        <w:t>this</w:t>
      </w:r>
      <w:r>
        <w:rPr>
          <w:spacing w:val="-2"/>
        </w:rPr>
        <w:t> </w:t>
      </w:r>
      <w:r>
        <w:rPr/>
        <w:t>level</w:t>
      </w:r>
      <w:r>
        <w:rPr>
          <w:spacing w:val="-2"/>
        </w:rPr>
        <w:t> </w:t>
      </w:r>
      <w:r>
        <w:rPr/>
        <w:t>should</w:t>
      </w:r>
      <w:r>
        <w:rPr>
          <w:spacing w:val="-4"/>
        </w:rPr>
        <w:t> </w:t>
      </w:r>
      <w:r>
        <w:rPr/>
        <w:t>become</w:t>
      </w:r>
      <w:r>
        <w:rPr>
          <w:spacing w:val="-2"/>
        </w:rPr>
        <w:t> </w:t>
      </w:r>
      <w:r>
        <w:rPr/>
        <w:t>a</w:t>
      </w:r>
      <w:r>
        <w:rPr>
          <w:spacing w:val="-2"/>
        </w:rPr>
        <w:t> </w:t>
      </w:r>
      <w:r>
        <w:rPr/>
        <w:t>buying</w:t>
      </w:r>
      <w:r>
        <w:rPr>
          <w:spacing w:val="-4"/>
        </w:rPr>
        <w:t> </w:t>
      </w:r>
      <w:r>
        <w:rPr/>
        <w:t>opportunity. There are several ways to approach L3 for an entry. The ambush entry technique is an advanced entry method, but this technique shines in a well-</w:t>
      </w:r>
      <w:r>
        <w:rPr>
          <w:spacing w:val="40"/>
        </w:rPr>
        <w:t> </w:t>
      </w:r>
      <w:r>
        <w:rPr/>
        <w:t>behaved trend. Therefore, if you are going to dust off this entry type, now is the time to do it. You would place a Limit order entry to buy at L3 support</w:t>
      </w:r>
      <w:r>
        <w:rPr>
          <w:spacing w:val="40"/>
        </w:rPr>
        <w:t> </w:t>
      </w:r>
      <w:r>
        <w:rPr/>
        <w:t>and wait to be filled upon a test at this level. If you pass on this entry type,</w:t>
      </w:r>
      <w:r>
        <w:rPr>
          <w:spacing w:val="40"/>
        </w:rPr>
        <w:t> </w:t>
      </w:r>
      <w:r>
        <w:rPr/>
        <w:t>however,</w:t>
      </w:r>
      <w:r>
        <w:rPr>
          <w:spacing w:val="40"/>
        </w:rPr>
        <w:t> </w:t>
      </w:r>
      <w:r>
        <w:rPr/>
        <w:t>you</w:t>
      </w:r>
      <w:r>
        <w:rPr>
          <w:spacing w:val="40"/>
        </w:rPr>
        <w:t> </w:t>
      </w:r>
      <w:r>
        <w:rPr/>
        <w:t>can</w:t>
      </w:r>
      <w:r>
        <w:rPr>
          <w:spacing w:val="40"/>
        </w:rPr>
        <w:t> </w:t>
      </w:r>
      <w:r>
        <w:rPr/>
        <w:t>opt</w:t>
      </w:r>
      <w:r>
        <w:rPr>
          <w:spacing w:val="40"/>
        </w:rPr>
        <w:t> </w:t>
      </w:r>
      <w:r>
        <w:rPr/>
        <w:t>to</w:t>
      </w:r>
      <w:r>
        <w:rPr>
          <w:spacing w:val="40"/>
        </w:rPr>
        <w:t> </w:t>
      </w:r>
      <w:r>
        <w:rPr/>
        <w:t>wait</w:t>
      </w:r>
      <w:r>
        <w:rPr>
          <w:spacing w:val="40"/>
        </w:rPr>
        <w:t> </w:t>
      </w:r>
      <w:r>
        <w:rPr/>
        <w:t>for</w:t>
      </w:r>
      <w:r>
        <w:rPr>
          <w:spacing w:val="40"/>
        </w:rPr>
        <w:t> </w:t>
      </w:r>
      <w:r>
        <w:rPr/>
        <w:t>candlestick</w:t>
      </w:r>
      <w:r>
        <w:rPr>
          <w:spacing w:val="40"/>
        </w:rPr>
        <w:t> </w:t>
      </w:r>
      <w:r>
        <w:rPr/>
        <w:t>confirmation,</w:t>
      </w:r>
      <w:r>
        <w:rPr>
          <w:spacing w:val="40"/>
        </w:rPr>
        <w:t> </w:t>
      </w:r>
      <w:r>
        <w:rPr/>
        <w:t>which</w:t>
      </w:r>
      <w:r>
        <w:rPr>
          <w:spacing w:val="40"/>
        </w:rPr>
        <w:t> </w:t>
      </w:r>
      <w:r>
        <w:rPr/>
        <w:t>is</w:t>
      </w:r>
      <w:r>
        <w:rPr>
          <w:spacing w:val="40"/>
        </w:rPr>
        <w:t> </w:t>
      </w:r>
      <w:r>
        <w:rPr/>
        <w:t>the approach</w:t>
      </w:r>
      <w:r>
        <w:rPr>
          <w:spacing w:val="32"/>
        </w:rPr>
        <w:t> </w:t>
      </w:r>
      <w:r>
        <w:rPr/>
        <w:t>I</w:t>
      </w:r>
      <w:r>
        <w:rPr>
          <w:spacing w:val="32"/>
        </w:rPr>
        <w:t> </w:t>
      </w:r>
      <w:r>
        <w:rPr/>
        <w:t>took</w:t>
      </w:r>
      <w:r>
        <w:rPr>
          <w:spacing w:val="31"/>
        </w:rPr>
        <w:t> </w:t>
      </w:r>
      <w:r>
        <w:rPr/>
        <w:t>on</w:t>
      </w:r>
      <w:r>
        <w:rPr>
          <w:spacing w:val="32"/>
        </w:rPr>
        <w:t> </w:t>
      </w:r>
      <w:r>
        <w:rPr/>
        <w:t>this</w:t>
      </w:r>
      <w:r>
        <w:rPr>
          <w:spacing w:val="31"/>
        </w:rPr>
        <w:t> </w:t>
      </w:r>
      <w:r>
        <w:rPr/>
        <w:t>morning.</w:t>
      </w:r>
      <w:r>
        <w:rPr>
          <w:spacing w:val="33"/>
        </w:rPr>
        <w:t> </w:t>
      </w:r>
      <w:r>
        <w:rPr/>
        <w:t>The</w:t>
      </w:r>
      <w:r>
        <w:rPr>
          <w:spacing w:val="32"/>
        </w:rPr>
        <w:t> </w:t>
      </w:r>
      <w:r>
        <w:rPr/>
        <w:t>TF</w:t>
      </w:r>
      <w:r>
        <w:rPr>
          <w:spacing w:val="32"/>
        </w:rPr>
        <w:t> </w:t>
      </w:r>
      <w:r>
        <w:rPr/>
        <w:t>dropped</w:t>
      </w:r>
      <w:r>
        <w:rPr>
          <w:spacing w:val="32"/>
        </w:rPr>
        <w:t> </w:t>
      </w:r>
      <w:r>
        <w:rPr/>
        <w:t>into</w:t>
      </w:r>
      <w:r>
        <w:rPr>
          <w:spacing w:val="32"/>
        </w:rPr>
        <w:t> </w:t>
      </w:r>
      <w:r>
        <w:rPr/>
        <w:t>L3</w:t>
      </w:r>
      <w:r>
        <w:rPr>
          <w:spacing w:val="31"/>
        </w:rPr>
        <w:t> </w:t>
      </w:r>
      <w:r>
        <w:rPr/>
        <w:t>in</w:t>
      </w:r>
      <w:r>
        <w:rPr>
          <w:spacing w:val="31"/>
        </w:rPr>
        <w:t> </w:t>
      </w:r>
      <w:r>
        <w:rPr/>
        <w:t>an</w:t>
      </w:r>
      <w:r>
        <w:rPr>
          <w:spacing w:val="32"/>
        </w:rPr>
        <w:t> </w:t>
      </w:r>
      <w:r>
        <w:rPr/>
        <w:t>expected manner</w:t>
      </w:r>
      <w:r>
        <w:rPr>
          <w:spacing w:val="37"/>
        </w:rPr>
        <w:t> </w:t>
      </w:r>
      <w:r>
        <w:rPr/>
        <w:t>and</w:t>
      </w:r>
      <w:r>
        <w:rPr>
          <w:spacing w:val="37"/>
        </w:rPr>
        <w:t> </w:t>
      </w:r>
      <w:r>
        <w:rPr/>
        <w:t>formed</w:t>
      </w:r>
      <w:r>
        <w:rPr>
          <w:spacing w:val="37"/>
        </w:rPr>
        <w:t> </w:t>
      </w:r>
      <w:r>
        <w:rPr/>
        <w:t>a</w:t>
      </w:r>
      <w:r>
        <w:rPr>
          <w:spacing w:val="37"/>
        </w:rPr>
        <w:t> </w:t>
      </w:r>
      <w:r>
        <w:rPr/>
        <w:t>bullish</w:t>
      </w:r>
      <w:r>
        <w:rPr>
          <w:spacing w:val="37"/>
        </w:rPr>
        <w:t> </w:t>
      </w:r>
      <w:r>
        <w:rPr/>
        <w:t>wick</w:t>
      </w:r>
      <w:r>
        <w:rPr>
          <w:spacing w:val="37"/>
        </w:rPr>
        <w:t> </w:t>
      </w:r>
      <w:r>
        <w:rPr/>
        <w:t>reversal</w:t>
      </w:r>
      <w:r>
        <w:rPr>
          <w:spacing w:val="37"/>
        </w:rPr>
        <w:t> </w:t>
      </w:r>
      <w:r>
        <w:rPr/>
        <w:t>setup</w:t>
      </w:r>
      <w:r>
        <w:rPr>
          <w:spacing w:val="37"/>
        </w:rPr>
        <w:t> </w:t>
      </w:r>
      <w:r>
        <w:rPr/>
        <w:t>at</w:t>
      </w:r>
      <w:r>
        <w:rPr>
          <w:spacing w:val="37"/>
        </w:rPr>
        <w:t> </w:t>
      </w:r>
      <w:r>
        <w:rPr/>
        <w:t>this</w:t>
      </w:r>
      <w:r>
        <w:rPr>
          <w:spacing w:val="37"/>
        </w:rPr>
        <w:t> </w:t>
      </w:r>
      <w:r>
        <w:rPr/>
        <w:t>level,</w:t>
      </w:r>
      <w:r>
        <w:rPr>
          <w:spacing w:val="37"/>
        </w:rPr>
        <w:t> </w:t>
      </w:r>
      <w:r>
        <w:rPr/>
        <w:t>essentially triggering</w:t>
      </w:r>
      <w:r>
        <w:rPr>
          <w:spacing w:val="68"/>
        </w:rPr>
        <w:t> </w:t>
      </w:r>
      <w:r>
        <w:rPr/>
        <w:t>my</w:t>
      </w:r>
      <w:r>
        <w:rPr>
          <w:spacing w:val="67"/>
        </w:rPr>
        <w:t> </w:t>
      </w:r>
      <w:r>
        <w:rPr/>
        <w:t>long</w:t>
      </w:r>
      <w:r>
        <w:rPr>
          <w:spacing w:val="68"/>
        </w:rPr>
        <w:t> </w:t>
      </w:r>
      <w:r>
        <w:rPr/>
        <w:t>entry</w:t>
      </w:r>
      <w:r>
        <w:rPr>
          <w:spacing w:val="66"/>
        </w:rPr>
        <w:t> </w:t>
      </w:r>
      <w:r>
        <w:rPr/>
        <w:t>at</w:t>
      </w:r>
      <w:r>
        <w:rPr>
          <w:spacing w:val="68"/>
        </w:rPr>
        <w:t> </w:t>
      </w:r>
      <w:r>
        <w:rPr/>
        <w:t>the</w:t>
      </w:r>
      <w:r>
        <w:rPr>
          <w:spacing w:val="68"/>
        </w:rPr>
        <w:t> </w:t>
      </w:r>
      <w:r>
        <w:rPr/>
        <w:t>open</w:t>
      </w:r>
      <w:r>
        <w:rPr>
          <w:spacing w:val="68"/>
        </w:rPr>
        <w:t> </w:t>
      </w:r>
      <w:r>
        <w:rPr/>
        <w:t>of</w:t>
      </w:r>
      <w:r>
        <w:rPr>
          <w:spacing w:val="68"/>
        </w:rPr>
        <w:t> </w:t>
      </w:r>
      <w:r>
        <w:rPr/>
        <w:t>the</w:t>
      </w:r>
      <w:r>
        <w:rPr>
          <w:spacing w:val="68"/>
        </w:rPr>
        <w:t> </w:t>
      </w:r>
      <w:r>
        <w:rPr/>
        <w:t>following</w:t>
      </w:r>
      <w:r>
        <w:rPr>
          <w:spacing w:val="68"/>
        </w:rPr>
        <w:t> </w:t>
      </w:r>
      <w:r>
        <w:rPr/>
        <w:t>bar.</w:t>
      </w:r>
      <w:r>
        <w:rPr>
          <w:spacing w:val="66"/>
        </w:rPr>
        <w:t> </w:t>
      </w:r>
      <w:r>
        <w:rPr/>
        <w:t>This</w:t>
      </w:r>
      <w:r>
        <w:rPr>
          <w:spacing w:val="68"/>
        </w:rPr>
        <w:t> </w:t>
      </w:r>
      <w:r>
        <w:rPr/>
        <w:t>entry confirmation also gave me my stop loss placement, as I was able to place my fixed loss stop below the low of the wick reversal candlestick. I now focus</w:t>
      </w:r>
      <w:r>
        <w:rPr>
          <w:spacing w:val="40"/>
        </w:rPr>
        <w:t> </w:t>
      </w:r>
      <w:r>
        <w:rPr/>
        <w:t>my</w:t>
      </w:r>
      <w:r>
        <w:rPr>
          <w:spacing w:val="29"/>
        </w:rPr>
        <w:t> </w:t>
      </w:r>
      <w:r>
        <w:rPr/>
        <w:t>efforts</w:t>
      </w:r>
      <w:r>
        <w:rPr>
          <w:spacing w:val="29"/>
        </w:rPr>
        <w:t> </w:t>
      </w:r>
      <w:r>
        <w:rPr/>
        <w:t>on</w:t>
      </w:r>
      <w:r>
        <w:rPr>
          <w:spacing w:val="29"/>
        </w:rPr>
        <w:t> </w:t>
      </w:r>
      <w:r>
        <w:rPr/>
        <w:t>the</w:t>
      </w:r>
      <w:r>
        <w:rPr>
          <w:spacing w:val="29"/>
        </w:rPr>
        <w:t> </w:t>
      </w:r>
      <w:r>
        <w:rPr/>
        <w:t>trade</w:t>
      </w:r>
      <w:r>
        <w:rPr>
          <w:spacing w:val="29"/>
        </w:rPr>
        <w:t> </w:t>
      </w:r>
      <w:r>
        <w:rPr/>
        <w:t>target,</w:t>
      </w:r>
      <w:r>
        <w:rPr>
          <w:spacing w:val="29"/>
        </w:rPr>
        <w:t> </w:t>
      </w:r>
      <w:r>
        <w:rPr/>
        <w:t>which</w:t>
      </w:r>
      <w:r>
        <w:rPr>
          <w:spacing w:val="30"/>
        </w:rPr>
        <w:t> </w:t>
      </w:r>
      <w:r>
        <w:rPr/>
        <w:t>is</w:t>
      </w:r>
      <w:r>
        <w:rPr>
          <w:spacing w:val="29"/>
        </w:rPr>
        <w:t> </w:t>
      </w:r>
      <w:r>
        <w:rPr/>
        <w:t>H3,</w:t>
      </w:r>
      <w:r>
        <w:rPr>
          <w:spacing w:val="29"/>
        </w:rPr>
        <w:t> </w:t>
      </w:r>
      <w:r>
        <w:rPr/>
        <w:t>H4,</w:t>
      </w:r>
      <w:r>
        <w:rPr>
          <w:spacing w:val="29"/>
        </w:rPr>
        <w:t> </w:t>
      </w:r>
      <w:r>
        <w:rPr/>
        <w:t>or</w:t>
      </w:r>
      <w:r>
        <w:rPr>
          <w:spacing w:val="29"/>
        </w:rPr>
        <w:t> </w:t>
      </w:r>
      <w:r>
        <w:rPr/>
        <w:t>a</w:t>
      </w:r>
      <w:r>
        <w:rPr>
          <w:spacing w:val="29"/>
        </w:rPr>
        <w:t> </w:t>
      </w:r>
      <w:r>
        <w:rPr/>
        <w:t>new</w:t>
      </w:r>
      <w:r>
        <w:rPr>
          <w:spacing w:val="29"/>
        </w:rPr>
        <w:t> </w:t>
      </w:r>
      <w:r>
        <w:rPr/>
        <w:t>high</w:t>
      </w:r>
      <w:r>
        <w:rPr>
          <w:spacing w:val="29"/>
        </w:rPr>
        <w:t> </w:t>
      </w:r>
      <w:r>
        <w:rPr/>
        <w:t>within</w:t>
      </w:r>
      <w:r>
        <w:rPr>
          <w:spacing w:val="29"/>
        </w:rPr>
        <w:t> </w:t>
      </w:r>
      <w:r>
        <w:rPr/>
        <w:t>the current bullish trend. I chose to go with H3, since the spread between L3 and H3</w:t>
      </w:r>
      <w:r>
        <w:rPr>
          <w:spacing w:val="27"/>
        </w:rPr>
        <w:t> </w:t>
      </w:r>
      <w:r>
        <w:rPr/>
        <w:t>is</w:t>
      </w:r>
      <w:r>
        <w:rPr>
          <w:spacing w:val="29"/>
        </w:rPr>
        <w:t> </w:t>
      </w:r>
      <w:r>
        <w:rPr/>
        <w:t>a</w:t>
      </w:r>
      <w:r>
        <w:rPr>
          <w:spacing w:val="28"/>
        </w:rPr>
        <w:t> </w:t>
      </w:r>
      <w:r>
        <w:rPr/>
        <w:t>little</w:t>
      </w:r>
      <w:r>
        <w:rPr>
          <w:spacing w:val="29"/>
        </w:rPr>
        <w:t> </w:t>
      </w:r>
      <w:r>
        <w:rPr/>
        <w:t>wider</w:t>
      </w:r>
      <w:r>
        <w:rPr>
          <w:spacing w:val="27"/>
        </w:rPr>
        <w:t> </w:t>
      </w:r>
      <w:r>
        <w:rPr/>
        <w:t>than</w:t>
      </w:r>
      <w:r>
        <w:rPr>
          <w:spacing w:val="29"/>
        </w:rPr>
        <w:t> </w:t>
      </w:r>
      <w:r>
        <w:rPr/>
        <w:t>usual,</w:t>
      </w:r>
      <w:r>
        <w:rPr>
          <w:spacing w:val="28"/>
        </w:rPr>
        <w:t> </w:t>
      </w:r>
      <w:r>
        <w:rPr/>
        <w:t>which</w:t>
      </w:r>
      <w:r>
        <w:rPr>
          <w:spacing w:val="29"/>
        </w:rPr>
        <w:t> </w:t>
      </w:r>
      <w:r>
        <w:rPr/>
        <w:t>means</w:t>
      </w:r>
      <w:r>
        <w:rPr>
          <w:spacing w:val="28"/>
        </w:rPr>
        <w:t> </w:t>
      </w:r>
      <w:r>
        <w:rPr/>
        <w:t>price</w:t>
      </w:r>
      <w:r>
        <w:rPr>
          <w:spacing w:val="29"/>
        </w:rPr>
        <w:t> </w:t>
      </w:r>
      <w:r>
        <w:rPr/>
        <w:t>has</w:t>
      </w:r>
      <w:r>
        <w:rPr>
          <w:spacing w:val="29"/>
        </w:rPr>
        <w:t> </w:t>
      </w:r>
      <w:r>
        <w:rPr/>
        <w:t>a</w:t>
      </w:r>
      <w:r>
        <w:rPr>
          <w:spacing w:val="28"/>
        </w:rPr>
        <w:t> </w:t>
      </w:r>
      <w:r>
        <w:rPr/>
        <w:t>bit</w:t>
      </w:r>
      <w:r>
        <w:rPr>
          <w:spacing w:val="28"/>
        </w:rPr>
        <w:t> </w:t>
      </w:r>
      <w:r>
        <w:rPr/>
        <w:t>of</w:t>
      </w:r>
      <w:r>
        <w:rPr>
          <w:spacing w:val="29"/>
        </w:rPr>
        <w:t> </w:t>
      </w:r>
      <w:r>
        <w:rPr/>
        <w:t>distance</w:t>
      </w:r>
      <w:r>
        <w:rPr>
          <w:spacing w:val="29"/>
        </w:rPr>
        <w:t> </w:t>
      </w:r>
      <w:r>
        <w:rPr/>
        <w:t>to cover.</w:t>
      </w:r>
      <w:r>
        <w:rPr>
          <w:spacing w:val="-1"/>
        </w:rPr>
        <w:t> </w:t>
      </w:r>
      <w:r>
        <w:rPr/>
        <w:t>Eventually,</w:t>
      </w:r>
      <w:r>
        <w:rPr>
          <w:spacing w:val="-1"/>
        </w:rPr>
        <w:t> </w:t>
      </w:r>
      <w:r>
        <w:rPr/>
        <w:t>the</w:t>
      </w:r>
      <w:r>
        <w:rPr>
          <w:spacing w:val="-1"/>
        </w:rPr>
        <w:t> </w:t>
      </w:r>
      <w:r>
        <w:rPr/>
        <w:t>H3</w:t>
      </w:r>
      <w:r>
        <w:rPr>
          <w:spacing w:val="-1"/>
        </w:rPr>
        <w:t> </w:t>
      </w:r>
      <w:r>
        <w:rPr/>
        <w:t>target</w:t>
      </w:r>
      <w:r>
        <w:rPr>
          <w:spacing w:val="-1"/>
        </w:rPr>
        <w:t> </w:t>
      </w:r>
      <w:r>
        <w:rPr/>
        <w:t>was</w:t>
      </w:r>
      <w:r>
        <w:rPr>
          <w:spacing w:val="-1"/>
        </w:rPr>
        <w:t> </w:t>
      </w:r>
      <w:r>
        <w:rPr/>
        <w:t>reached,</w:t>
      </w:r>
      <w:r>
        <w:rPr>
          <w:spacing w:val="-1"/>
        </w:rPr>
        <w:t> </w:t>
      </w:r>
      <w:r>
        <w:rPr/>
        <w:t>which</w:t>
      </w:r>
      <w:r>
        <w:rPr>
          <w:spacing w:val="-1"/>
        </w:rPr>
        <w:t> </w:t>
      </w:r>
      <w:r>
        <w:rPr/>
        <w:t>completed</w:t>
      </w:r>
      <w:r>
        <w:rPr>
          <w:spacing w:val="-1"/>
        </w:rPr>
        <w:t> </w:t>
      </w:r>
      <w:r>
        <w:rPr/>
        <w:t>a</w:t>
      </w:r>
      <w:r>
        <w:rPr>
          <w:spacing w:val="-1"/>
        </w:rPr>
        <w:t> </w:t>
      </w:r>
      <w:r>
        <w:rPr/>
        <w:t>nice</w:t>
      </w:r>
      <w:r>
        <w:rPr>
          <w:spacing w:val="-1"/>
        </w:rPr>
        <w:t> </w:t>
      </w:r>
      <w:r>
        <w:rPr/>
        <w:t>gain</w:t>
      </w:r>
      <w:r>
        <w:rPr>
          <w:spacing w:val="-1"/>
        </w:rPr>
        <w:t> </w:t>
      </w:r>
      <w:r>
        <w:rPr/>
        <w:t>of about</w:t>
      </w:r>
      <w:r>
        <w:rPr>
          <w:spacing w:val="33"/>
        </w:rPr>
        <w:t> </w:t>
      </w:r>
      <w:r>
        <w:rPr/>
        <w:t>7</w:t>
      </w:r>
      <w:r>
        <w:rPr>
          <w:spacing w:val="33"/>
        </w:rPr>
        <w:t> </w:t>
      </w:r>
      <w:r>
        <w:rPr/>
        <w:t>points</w:t>
      </w:r>
      <w:r>
        <w:rPr>
          <w:spacing w:val="34"/>
        </w:rPr>
        <w:t> </w:t>
      </w:r>
      <w:r>
        <w:rPr/>
        <w:t>on</w:t>
      </w:r>
      <w:r>
        <w:rPr>
          <w:spacing w:val="33"/>
        </w:rPr>
        <w:t> </w:t>
      </w:r>
      <w:r>
        <w:rPr/>
        <w:t>this</w:t>
      </w:r>
      <w:r>
        <w:rPr>
          <w:spacing w:val="34"/>
        </w:rPr>
        <w:t> </w:t>
      </w:r>
      <w:r>
        <w:rPr/>
        <w:t>trade,</w:t>
      </w:r>
      <w:r>
        <w:rPr>
          <w:spacing w:val="34"/>
        </w:rPr>
        <w:t> </w:t>
      </w:r>
      <w:r>
        <w:rPr/>
        <w:t>which</w:t>
      </w:r>
      <w:r>
        <w:rPr>
          <w:spacing w:val="34"/>
        </w:rPr>
        <w:t> </w:t>
      </w:r>
      <w:r>
        <w:rPr/>
        <w:t>amounts</w:t>
      </w:r>
      <w:r>
        <w:rPr>
          <w:spacing w:val="33"/>
        </w:rPr>
        <w:t> </w:t>
      </w:r>
      <w:r>
        <w:rPr/>
        <w:t>to</w:t>
      </w:r>
      <w:r>
        <w:rPr>
          <w:spacing w:val="34"/>
        </w:rPr>
        <w:t> </w:t>
      </w:r>
      <w:r>
        <w:rPr/>
        <w:t>roughly</w:t>
      </w:r>
      <w:r>
        <w:rPr>
          <w:spacing w:val="33"/>
        </w:rPr>
        <w:t> </w:t>
      </w:r>
      <w:r>
        <w:rPr/>
        <w:t>$700</w:t>
      </w:r>
      <w:r>
        <w:rPr>
          <w:spacing w:val="31"/>
        </w:rPr>
        <w:t> </w:t>
      </w:r>
      <w:r>
        <w:rPr/>
        <w:t>per</w:t>
      </w:r>
      <w:r>
        <w:rPr>
          <w:spacing w:val="33"/>
        </w:rPr>
        <w:t> </w:t>
      </w:r>
      <w:r>
        <w:rPr>
          <w:spacing w:val="-2"/>
        </w:rPr>
        <w:t>contract</w:t>
      </w:r>
    </w:p>
    <w:p>
      <w:pPr>
        <w:pStyle w:val="BodyText"/>
        <w:spacing w:line="252" w:lineRule="exact"/>
        <w:ind w:left="140"/>
      </w:pPr>
      <w:r>
        <w:rPr>
          <w:spacing w:val="-2"/>
        </w:rPr>
        <w:t>traded.</w:t>
      </w:r>
    </w:p>
    <w:p>
      <w:pPr>
        <w:spacing w:after="0" w:line="252" w:lineRule="exact"/>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265" name="image139.png"/>
            <wp:cNvGraphicFramePr>
              <a:graphicFrameLocks noChangeAspect="1"/>
            </wp:cNvGraphicFramePr>
            <a:graphic>
              <a:graphicData uri="http://schemas.openxmlformats.org/drawingml/2006/picture">
                <pic:pic>
                  <pic:nvPicPr>
                    <pic:cNvPr id="266" name="image139.png"/>
                    <pic:cNvPicPr/>
                  </pic:nvPicPr>
                  <pic:blipFill>
                    <a:blip r:embed="rId274"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2"/>
          <w:sz w:val="16"/>
        </w:rPr>
        <w:t> </w:t>
      </w:r>
      <w:r>
        <w:rPr>
          <w:sz w:val="16"/>
        </w:rPr>
        <w:t>8.26:</w:t>
      </w:r>
      <w:r>
        <w:rPr>
          <w:spacing w:val="3"/>
          <w:sz w:val="16"/>
        </w:rPr>
        <w:t> </w:t>
      </w:r>
      <w:r>
        <w:rPr>
          <w:sz w:val="16"/>
        </w:rPr>
        <w:t>Buying</w:t>
      </w:r>
      <w:r>
        <w:rPr>
          <w:spacing w:val="2"/>
          <w:sz w:val="16"/>
        </w:rPr>
        <w:t> </w:t>
      </w:r>
      <w:r>
        <w:rPr>
          <w:sz w:val="16"/>
        </w:rPr>
        <w:t>the</w:t>
      </w:r>
      <w:r>
        <w:rPr>
          <w:spacing w:val="3"/>
          <w:sz w:val="16"/>
        </w:rPr>
        <w:t> </w:t>
      </w:r>
      <w:r>
        <w:rPr>
          <w:sz w:val="16"/>
        </w:rPr>
        <w:t>dip</w:t>
      </w:r>
      <w:r>
        <w:rPr>
          <w:spacing w:val="2"/>
          <w:sz w:val="16"/>
        </w:rPr>
        <w:t> </w:t>
      </w:r>
      <w:r>
        <w:rPr>
          <w:sz w:val="16"/>
        </w:rPr>
        <w:t>at</w:t>
      </w:r>
      <w:r>
        <w:rPr>
          <w:spacing w:val="3"/>
          <w:sz w:val="16"/>
        </w:rPr>
        <w:t> </w:t>
      </w:r>
      <w:r>
        <w:rPr>
          <w:sz w:val="16"/>
        </w:rPr>
        <w:t>L3</w:t>
      </w:r>
      <w:r>
        <w:rPr>
          <w:spacing w:val="3"/>
          <w:sz w:val="16"/>
        </w:rPr>
        <w:t> </w:t>
      </w:r>
      <w:r>
        <w:rPr>
          <w:sz w:val="16"/>
        </w:rPr>
        <w:t>in</w:t>
      </w:r>
      <w:r>
        <w:rPr>
          <w:spacing w:val="2"/>
          <w:sz w:val="16"/>
        </w:rPr>
        <w:t> </w:t>
      </w:r>
      <w:r>
        <w:rPr>
          <w:sz w:val="16"/>
        </w:rPr>
        <w:t>a</w:t>
      </w:r>
      <w:r>
        <w:rPr>
          <w:spacing w:val="3"/>
          <w:sz w:val="16"/>
        </w:rPr>
        <w:t> </w:t>
      </w:r>
      <w:r>
        <w:rPr>
          <w:sz w:val="16"/>
        </w:rPr>
        <w:t>bullish</w:t>
      </w:r>
      <w:r>
        <w:rPr>
          <w:spacing w:val="2"/>
          <w:sz w:val="16"/>
        </w:rPr>
        <w:t> </w:t>
      </w:r>
      <w:r>
        <w:rPr>
          <w:spacing w:val="-2"/>
          <w:sz w:val="16"/>
        </w:rPr>
        <w:t>trend.</w:t>
      </w:r>
    </w:p>
    <w:p>
      <w:pPr>
        <w:pStyle w:val="BodyText"/>
        <w:spacing w:before="2"/>
      </w:pPr>
    </w:p>
    <w:p>
      <w:pPr>
        <w:pStyle w:val="BodyText"/>
        <w:ind w:left="500" w:right="137" w:firstLine="432"/>
        <w:jc w:val="both"/>
      </w:pPr>
      <w:r>
        <w:rPr/>
        <w:t>It cannot be overstated how important pivot trend analysis can be to</w:t>
      </w:r>
      <w:r>
        <w:rPr>
          <w:spacing w:val="40"/>
        </w:rPr>
        <w:t> </w:t>
      </w:r>
      <w:r>
        <w:rPr/>
        <w:t>your trading. From time to time, the market can move in highly predictable waves. The pivots allow you to capitalize on this predictable behavior by offering you calculated value areas of support and resistance in your charts. The ability to program your brain to sniff out these opportunities will allow you to be a highly consistent trader for many years to come. Be aware, however, that the market only trends an average of 30 percent of the time, which means you must have the patience to wait for a confirmed trend in order play this type predictability in the market. The rest of the time is</w:t>
      </w:r>
      <w:r>
        <w:rPr>
          <w:spacing w:val="40"/>
        </w:rPr>
        <w:t> </w:t>
      </w:r>
      <w:r>
        <w:rPr/>
        <w:t>perfect for two-day pivot analysis, pivot width analysis, and golf.</w:t>
      </w:r>
    </w:p>
    <w:p>
      <w:pPr>
        <w:pStyle w:val="BodyText"/>
      </w:pPr>
    </w:p>
    <w:p>
      <w:pPr>
        <w:pStyle w:val="BodyText"/>
        <w:ind w:left="500"/>
      </w:pPr>
      <w:r>
        <w:rPr/>
        <w:pict>
          <v:shape style="position:absolute;margin-left:54.779999pt;margin-top:14.771025pt;width:341pt;height:.1pt;mso-position-horizontal-relative:page;mso-position-vertical-relative:paragraph;z-index:-15578112;mso-wrap-distance-left:0;mso-wrap-distance-right:0" id="docshape825" coordorigin="1096,295" coordsize="6820,0" path="m1096,295l7915,295e" filled="false" stroked="true" strokeweight=".75pt" strokecolor="#000000">
            <v:path arrowok="t"/>
            <v:stroke dashstyle="solid"/>
            <w10:wrap type="topAndBottom"/>
          </v:shape>
        </w:pict>
      </w:r>
      <w:r>
        <w:rPr>
          <w:spacing w:val="-2"/>
        </w:rPr>
        <w:t>THE</w:t>
      </w:r>
      <w:r>
        <w:rPr>
          <w:spacing w:val="4"/>
        </w:rPr>
        <w:t> </w:t>
      </w:r>
      <w:r>
        <w:rPr>
          <w:spacing w:val="-2"/>
        </w:rPr>
        <w:t>CAMARILLA</w:t>
      </w:r>
      <w:r>
        <w:rPr>
          <w:spacing w:val="-9"/>
        </w:rPr>
        <w:t> </w:t>
      </w:r>
      <w:r>
        <w:rPr>
          <w:spacing w:val="-2"/>
        </w:rPr>
        <w:t>REVOLUTION</w:t>
      </w:r>
    </w:p>
    <w:p>
      <w:pPr>
        <w:pStyle w:val="BodyText"/>
        <w:spacing w:before="6"/>
        <w:rPr>
          <w:sz w:val="17"/>
        </w:rPr>
      </w:pPr>
    </w:p>
    <w:p>
      <w:pPr>
        <w:pStyle w:val="BodyText"/>
        <w:ind w:left="500" w:right="136" w:firstLine="432"/>
        <w:jc w:val="both"/>
      </w:pPr>
      <w:r>
        <w:rPr/>
        <w:t>I have to admit, I was quite skeptical of the Camarilla pivots when they were first introduced to me. I had already been firmly entrenched into my own world of Floor Pivots and I wasn’t going to let go of them easily. As a matter of fact, I had written off the Cams as a viable trading method after hastily reviewing them on a handful of charts. However, like many traders that are new to a concept, I did not have the proper understanding of these powerful</w:t>
      </w:r>
      <w:r>
        <w:rPr>
          <w:spacing w:val="1"/>
        </w:rPr>
        <w:t> </w:t>
      </w:r>
      <w:r>
        <w:rPr/>
        <w:t>levels.</w:t>
      </w:r>
      <w:r>
        <w:rPr>
          <w:spacing w:val="1"/>
        </w:rPr>
        <w:t> </w:t>
      </w:r>
      <w:r>
        <w:rPr/>
        <w:t>Fortunately,</w:t>
      </w:r>
      <w:r>
        <w:rPr>
          <w:spacing w:val="1"/>
        </w:rPr>
        <w:t> </w:t>
      </w:r>
      <w:r>
        <w:rPr/>
        <w:t>I</w:t>
      </w:r>
      <w:r>
        <w:rPr>
          <w:spacing w:val="1"/>
        </w:rPr>
        <w:t> </w:t>
      </w:r>
      <w:r>
        <w:rPr/>
        <w:t>gave</w:t>
      </w:r>
      <w:r>
        <w:rPr>
          <w:spacing w:val="1"/>
        </w:rPr>
        <w:t> </w:t>
      </w:r>
      <w:r>
        <w:rPr/>
        <w:t>the Cams</w:t>
      </w:r>
      <w:r>
        <w:rPr>
          <w:spacing w:val="1"/>
        </w:rPr>
        <w:t> </w:t>
      </w:r>
      <w:r>
        <w:rPr/>
        <w:t>another</w:t>
      </w:r>
      <w:r>
        <w:rPr>
          <w:spacing w:val="1"/>
        </w:rPr>
        <w:t> </w:t>
      </w:r>
      <w:r>
        <w:rPr/>
        <w:t>shot,</w:t>
      </w:r>
      <w:r>
        <w:rPr>
          <w:spacing w:val="1"/>
        </w:rPr>
        <w:t> </w:t>
      </w:r>
      <w:r>
        <w:rPr/>
        <w:t>and</w:t>
      </w:r>
      <w:r>
        <w:rPr>
          <w:spacing w:val="1"/>
        </w:rPr>
        <w:t> </w:t>
      </w:r>
      <w:r>
        <w:rPr/>
        <w:t>this</w:t>
      </w:r>
      <w:r>
        <w:rPr>
          <w:spacing w:val="1"/>
        </w:rPr>
        <w:t> </w:t>
      </w:r>
      <w:r>
        <w:rPr/>
        <w:t>time,</w:t>
      </w:r>
      <w:r>
        <w:rPr>
          <w:spacing w:val="2"/>
        </w:rPr>
        <w:t> </w:t>
      </w:r>
      <w:r>
        <w:rPr>
          <w:spacing w:val="-5"/>
        </w:rPr>
        <w:t>the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4"/>
        <w:jc w:val="both"/>
        <w:rPr>
          <w:i/>
        </w:rPr>
      </w:pPr>
      <w:r>
        <w:rPr/>
        <w:t>opportunities for profit became exceedingly clear. Concepts like two-day pivot relationships, pivot width analysis, and pivot trend analysis are the cornerstone to making big money with this indicator, and any pivot-related indicator. However, these concepts took me many years to discover and develop. As an old timer would say, </w:t>
      </w:r>
      <w:r>
        <w:rPr>
          <w:i/>
        </w:rPr>
        <w:t>“I wish I knew then what I know now.”</w:t>
      </w:r>
    </w:p>
    <w:p>
      <w:pPr>
        <w:pStyle w:val="BodyText"/>
        <w:ind w:left="139" w:right="491" w:firstLine="432"/>
        <w:jc w:val="both"/>
      </w:pPr>
      <w:r>
        <w:rPr/>
        <w:t>Thankfully,</w:t>
      </w:r>
      <w:r>
        <w:rPr>
          <w:spacing w:val="40"/>
        </w:rPr>
        <w:t> </w:t>
      </w:r>
      <w:r>
        <w:rPr/>
        <w:t>I</w:t>
      </w:r>
      <w:r>
        <w:rPr>
          <w:spacing w:val="40"/>
        </w:rPr>
        <w:t> </w:t>
      </w:r>
      <w:r>
        <w:rPr/>
        <w:t>didn’t</w:t>
      </w:r>
      <w:r>
        <w:rPr>
          <w:spacing w:val="40"/>
        </w:rPr>
        <w:t> </w:t>
      </w:r>
      <w:r>
        <w:rPr/>
        <w:t>have</w:t>
      </w:r>
      <w:r>
        <w:rPr>
          <w:spacing w:val="40"/>
        </w:rPr>
        <w:t> </w:t>
      </w:r>
      <w:r>
        <w:rPr/>
        <w:t>to</w:t>
      </w:r>
      <w:r>
        <w:rPr>
          <w:spacing w:val="40"/>
        </w:rPr>
        <w:t> </w:t>
      </w:r>
      <w:r>
        <w:rPr/>
        <w:t>dispense</w:t>
      </w:r>
      <w:r>
        <w:rPr>
          <w:spacing w:val="40"/>
        </w:rPr>
        <w:t> </w:t>
      </w:r>
      <w:r>
        <w:rPr/>
        <w:t>of</w:t>
      </w:r>
      <w:r>
        <w:rPr>
          <w:spacing w:val="40"/>
        </w:rPr>
        <w:t> </w:t>
      </w:r>
      <w:r>
        <w:rPr/>
        <w:t>my</w:t>
      </w:r>
      <w:r>
        <w:rPr>
          <w:spacing w:val="40"/>
        </w:rPr>
        <w:t> </w:t>
      </w:r>
      <w:r>
        <w:rPr/>
        <w:t>beloved</w:t>
      </w:r>
      <w:r>
        <w:rPr>
          <w:spacing w:val="40"/>
        </w:rPr>
        <w:t> </w:t>
      </w:r>
      <w:r>
        <w:rPr/>
        <w:t>Floor</w:t>
      </w:r>
      <w:r>
        <w:rPr>
          <w:spacing w:val="40"/>
        </w:rPr>
        <w:t> </w:t>
      </w:r>
      <w:r>
        <w:rPr/>
        <w:t>Pivots either.</w:t>
      </w:r>
      <w:r>
        <w:rPr>
          <w:spacing w:val="40"/>
        </w:rPr>
        <w:t> </w:t>
      </w:r>
      <w:r>
        <w:rPr/>
        <w:t>Instead,</w:t>
      </w:r>
      <w:r>
        <w:rPr>
          <w:spacing w:val="40"/>
        </w:rPr>
        <w:t> </w:t>
      </w:r>
      <w:r>
        <w:rPr/>
        <w:t>the</w:t>
      </w:r>
      <w:r>
        <w:rPr>
          <w:spacing w:val="40"/>
        </w:rPr>
        <w:t> </w:t>
      </w:r>
      <w:r>
        <w:rPr/>
        <w:t>combination</w:t>
      </w:r>
      <w:r>
        <w:rPr>
          <w:spacing w:val="40"/>
        </w:rPr>
        <w:t> </w:t>
      </w:r>
      <w:r>
        <w:rPr/>
        <w:t>of</w:t>
      </w:r>
      <w:r>
        <w:rPr>
          <w:spacing w:val="40"/>
        </w:rPr>
        <w:t> </w:t>
      </w:r>
      <w:r>
        <w:rPr/>
        <w:t>the</w:t>
      </w:r>
      <w:r>
        <w:rPr>
          <w:spacing w:val="40"/>
        </w:rPr>
        <w:t> </w:t>
      </w:r>
      <w:r>
        <w:rPr/>
        <w:t>two</w:t>
      </w:r>
      <w:r>
        <w:rPr>
          <w:spacing w:val="40"/>
        </w:rPr>
        <w:t> </w:t>
      </w:r>
      <w:r>
        <w:rPr/>
        <w:t>sets</w:t>
      </w:r>
      <w:r>
        <w:rPr>
          <w:spacing w:val="40"/>
        </w:rPr>
        <w:t> </w:t>
      </w:r>
      <w:r>
        <w:rPr/>
        <w:t>of</w:t>
      </w:r>
      <w:r>
        <w:rPr>
          <w:spacing w:val="40"/>
        </w:rPr>
        <w:t> </w:t>
      </w:r>
      <w:r>
        <w:rPr/>
        <w:t>pivots</w:t>
      </w:r>
      <w:r>
        <w:rPr>
          <w:spacing w:val="40"/>
        </w:rPr>
        <w:t> </w:t>
      </w:r>
      <w:r>
        <w:rPr/>
        <w:t>led</w:t>
      </w:r>
      <w:r>
        <w:rPr>
          <w:spacing w:val="40"/>
        </w:rPr>
        <w:t> </w:t>
      </w:r>
      <w:r>
        <w:rPr/>
        <w:t>to</w:t>
      </w:r>
      <w:r>
        <w:rPr>
          <w:spacing w:val="40"/>
        </w:rPr>
        <w:t> </w:t>
      </w:r>
      <w:r>
        <w:rPr/>
        <w:t>some</w:t>
      </w:r>
      <w:r>
        <w:rPr>
          <w:spacing w:val="40"/>
        </w:rPr>
        <w:t> </w:t>
      </w:r>
      <w:r>
        <w:rPr/>
        <w:t>of the</w:t>
      </w:r>
      <w:r>
        <w:rPr>
          <w:spacing w:val="40"/>
        </w:rPr>
        <w:t> </w:t>
      </w:r>
      <w:r>
        <w:rPr/>
        <w:t>most</w:t>
      </w:r>
      <w:r>
        <w:rPr>
          <w:spacing w:val="40"/>
        </w:rPr>
        <w:t> </w:t>
      </w:r>
      <w:r>
        <w:rPr/>
        <w:t>powerful</w:t>
      </w:r>
      <w:r>
        <w:rPr>
          <w:spacing w:val="40"/>
        </w:rPr>
        <w:t> </w:t>
      </w:r>
      <w:r>
        <w:rPr/>
        <w:t>discoveries</w:t>
      </w:r>
      <w:r>
        <w:rPr>
          <w:spacing w:val="40"/>
        </w:rPr>
        <w:t> </w:t>
      </w:r>
      <w:r>
        <w:rPr/>
        <w:t>that</w:t>
      </w:r>
      <w:r>
        <w:rPr>
          <w:spacing w:val="40"/>
        </w:rPr>
        <w:t> </w:t>
      </w:r>
      <w:r>
        <w:rPr/>
        <w:t>I’ve</w:t>
      </w:r>
      <w:r>
        <w:rPr>
          <w:spacing w:val="40"/>
        </w:rPr>
        <w:t> </w:t>
      </w:r>
      <w:r>
        <w:rPr/>
        <w:t>come</w:t>
      </w:r>
      <w:r>
        <w:rPr>
          <w:spacing w:val="40"/>
        </w:rPr>
        <w:t> </w:t>
      </w:r>
      <w:r>
        <w:rPr/>
        <w:t>across</w:t>
      </w:r>
      <w:r>
        <w:rPr>
          <w:spacing w:val="40"/>
        </w:rPr>
        <w:t> </w:t>
      </w:r>
      <w:r>
        <w:rPr/>
        <w:t>in</w:t>
      </w:r>
      <w:r>
        <w:rPr>
          <w:spacing w:val="40"/>
        </w:rPr>
        <w:t> </w:t>
      </w:r>
      <w:r>
        <w:rPr/>
        <w:t>trading.</w:t>
      </w:r>
      <w:r>
        <w:rPr>
          <w:spacing w:val="40"/>
        </w:rPr>
        <w:t> </w:t>
      </w:r>
      <w:r>
        <w:rPr/>
        <w:t>The inclusion</w:t>
      </w:r>
      <w:r>
        <w:rPr>
          <w:spacing w:val="40"/>
        </w:rPr>
        <w:t> </w:t>
      </w:r>
      <w:r>
        <w:rPr/>
        <w:t>of</w:t>
      </w:r>
      <w:r>
        <w:rPr>
          <w:spacing w:val="40"/>
        </w:rPr>
        <w:t> </w:t>
      </w:r>
      <w:r>
        <w:rPr/>
        <w:t>the</w:t>
      </w:r>
      <w:r>
        <w:rPr>
          <w:spacing w:val="40"/>
        </w:rPr>
        <w:t> </w:t>
      </w:r>
      <w:r>
        <w:rPr/>
        <w:t>Money</w:t>
      </w:r>
      <w:r>
        <w:rPr>
          <w:spacing w:val="40"/>
        </w:rPr>
        <w:t> </w:t>
      </w:r>
      <w:r>
        <w:rPr/>
        <w:t>Zone</w:t>
      </w:r>
      <w:r>
        <w:rPr>
          <w:spacing w:val="40"/>
        </w:rPr>
        <w:t> </w:t>
      </w:r>
      <w:r>
        <w:rPr/>
        <w:t>further</w:t>
      </w:r>
      <w:r>
        <w:rPr>
          <w:spacing w:val="40"/>
        </w:rPr>
        <w:t> </w:t>
      </w:r>
      <w:r>
        <w:rPr/>
        <w:t>amplifies</w:t>
      </w:r>
      <w:r>
        <w:rPr>
          <w:spacing w:val="40"/>
        </w:rPr>
        <w:t> </w:t>
      </w:r>
      <w:r>
        <w:rPr/>
        <w:t>these</w:t>
      </w:r>
      <w:r>
        <w:rPr>
          <w:spacing w:val="40"/>
        </w:rPr>
        <w:t> </w:t>
      </w:r>
      <w:r>
        <w:rPr/>
        <w:t>combinations, creating</w:t>
      </w:r>
      <w:r>
        <w:rPr>
          <w:spacing w:val="80"/>
        </w:rPr>
        <w:t> </w:t>
      </w:r>
      <w:r>
        <w:rPr/>
        <w:t>incredible</w:t>
      </w:r>
      <w:r>
        <w:rPr>
          <w:spacing w:val="80"/>
        </w:rPr>
        <w:t> </w:t>
      </w:r>
      <w:r>
        <w:rPr/>
        <w:t>multi-pivot</w:t>
      </w:r>
      <w:r>
        <w:rPr>
          <w:spacing w:val="80"/>
        </w:rPr>
        <w:t> </w:t>
      </w:r>
      <w:r>
        <w:rPr/>
        <w:t>discoveries,</w:t>
      </w:r>
      <w:r>
        <w:rPr>
          <w:spacing w:val="80"/>
        </w:rPr>
        <w:t> </w:t>
      </w:r>
      <w:r>
        <w:rPr/>
        <w:t>which</w:t>
      </w:r>
      <w:r>
        <w:rPr>
          <w:spacing w:val="80"/>
        </w:rPr>
        <w:t> </w:t>
      </w:r>
      <w:r>
        <w:rPr/>
        <w:t>I</w:t>
      </w:r>
      <w:r>
        <w:rPr>
          <w:spacing w:val="80"/>
        </w:rPr>
        <w:t> </w:t>
      </w:r>
      <w:r>
        <w:rPr/>
        <w:t>will</w:t>
      </w:r>
      <w:r>
        <w:rPr>
          <w:spacing w:val="80"/>
        </w:rPr>
        <w:t> </w:t>
      </w:r>
      <w:r>
        <w:rPr/>
        <w:t>share</w:t>
      </w:r>
      <w:r>
        <w:rPr>
          <w:spacing w:val="80"/>
        </w:rPr>
        <w:t> </w:t>
      </w:r>
      <w:r>
        <w:rPr/>
        <w:t>in Chapter</w:t>
      </w:r>
      <w:r>
        <w:rPr>
          <w:spacing w:val="59"/>
        </w:rPr>
        <w:t> </w:t>
      </w:r>
      <w:r>
        <w:rPr/>
        <w:t>11.</w:t>
      </w:r>
      <w:r>
        <w:rPr>
          <w:spacing w:val="57"/>
        </w:rPr>
        <w:t> </w:t>
      </w:r>
      <w:r>
        <w:rPr/>
        <w:t>But</w:t>
      </w:r>
      <w:r>
        <w:rPr>
          <w:spacing w:val="60"/>
        </w:rPr>
        <w:t> </w:t>
      </w:r>
      <w:r>
        <w:rPr/>
        <w:t>first,</w:t>
      </w:r>
      <w:r>
        <w:rPr>
          <w:spacing w:val="59"/>
        </w:rPr>
        <w:t> </w:t>
      </w:r>
      <w:r>
        <w:rPr/>
        <w:t>let</w:t>
      </w:r>
      <w:r>
        <w:rPr>
          <w:spacing w:val="57"/>
        </w:rPr>
        <w:t> </w:t>
      </w:r>
      <w:r>
        <w:rPr/>
        <w:t>delve</w:t>
      </w:r>
      <w:r>
        <w:rPr>
          <w:spacing w:val="60"/>
        </w:rPr>
        <w:t> </w:t>
      </w:r>
      <w:r>
        <w:rPr/>
        <w:t>into</w:t>
      </w:r>
      <w:r>
        <w:rPr>
          <w:spacing w:val="57"/>
        </w:rPr>
        <w:t> </w:t>
      </w:r>
      <w:r>
        <w:rPr/>
        <w:t>Higher</w:t>
      </w:r>
      <w:r>
        <w:rPr>
          <w:spacing w:val="59"/>
        </w:rPr>
        <w:t> </w:t>
      </w:r>
      <w:r>
        <w:rPr/>
        <w:t>Timeframe</w:t>
      </w:r>
      <w:r>
        <w:rPr>
          <w:spacing w:val="60"/>
        </w:rPr>
        <w:t> </w:t>
      </w:r>
      <w:r>
        <w:rPr/>
        <w:t>Pivot</w:t>
      </w:r>
      <w:r>
        <w:rPr>
          <w:spacing w:val="59"/>
        </w:rPr>
        <w:t> </w:t>
      </w:r>
      <w:r>
        <w:rPr>
          <w:spacing w:val="-2"/>
        </w:rPr>
        <w:t>Analysis.</w:t>
      </w:r>
    </w:p>
    <w:p>
      <w:pPr>
        <w:spacing w:after="0"/>
        <w:jc w:val="both"/>
        <w:sectPr>
          <w:pgSz w:w="8640" w:h="12960"/>
          <w:pgMar w:header="579" w:footer="1060" w:top="760" w:bottom="126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309"/>
        <w:rPr>
          <w:sz w:val="180"/>
        </w:rPr>
      </w:pPr>
      <w:r>
        <w:rPr/>
        <w:pict>
          <v:line style="position:absolute;mso-position-horizontal-relative:page;mso-position-vertical-relative:paragraph;z-index:-19535872" from="54.060001pt,109.552979pt" to="388.500001pt,109.552979pt" stroked="true" strokeweight=".75pt" strokecolor="#000000">
            <v:stroke dashstyle="solid"/>
            <w10:wrap type="none"/>
          </v:line>
        </w:pict>
      </w:r>
      <w:bookmarkStart w:name="_TOC_250020" w:id="71"/>
      <w:r>
        <w:rPr>
          <w:w w:val="105"/>
        </w:rPr>
        <w:t>C H A P T E R</w:t>
      </w:r>
      <w:r>
        <w:rPr>
          <w:spacing w:val="-1"/>
          <w:w w:val="105"/>
        </w:rPr>
        <w:t> </w:t>
      </w:r>
      <w:bookmarkEnd w:id="71"/>
      <w:r>
        <w:rPr>
          <w:spacing w:val="-12"/>
          <w:w w:val="105"/>
          <w:sz w:val="180"/>
        </w:rPr>
        <w:t>9</w:t>
      </w:r>
    </w:p>
    <w:p>
      <w:pPr>
        <w:pStyle w:val="Heading1"/>
        <w:spacing w:line="276" w:lineRule="auto" w:before="310"/>
        <w:ind w:left="2914" w:hanging="999"/>
      </w:pPr>
      <w:bookmarkStart w:name="_TOC_250019" w:id="72"/>
      <w:r>
        <w:rPr>
          <w:smallCaps/>
          <w:w w:val="90"/>
        </w:rPr>
        <w:t>Higher Timeframe Pivot</w:t>
      </w:r>
      <w:r>
        <w:rPr>
          <w:smallCaps/>
        </w:rPr>
        <w:t> </w:t>
      </w:r>
      <w:bookmarkEnd w:id="72"/>
      <w:r>
        <w:rPr>
          <w:smallCaps/>
          <w:spacing w:val="-2"/>
          <w:w w:val="90"/>
        </w:rPr>
        <w:t>Analysis</w:t>
      </w:r>
    </w:p>
    <w:p>
      <w:pPr>
        <w:spacing w:line="276" w:lineRule="auto" w:before="291"/>
        <w:ind w:left="1219" w:right="137" w:firstLine="0"/>
        <w:jc w:val="both"/>
        <w:rPr>
          <w:i/>
          <w:sz w:val="22"/>
        </w:rPr>
      </w:pPr>
      <w:r>
        <w:rPr>
          <w:i/>
          <w:sz w:val="22"/>
        </w:rPr>
        <w:t>“The big money was not in the individual fluctuations but in the</w:t>
      </w:r>
      <w:r>
        <w:rPr>
          <w:i/>
          <w:spacing w:val="80"/>
          <w:sz w:val="22"/>
        </w:rPr>
        <w:t> </w:t>
      </w:r>
      <w:r>
        <w:rPr>
          <w:i/>
          <w:sz w:val="22"/>
        </w:rPr>
        <w:t>main movements—that is, not in the reading of the tape but in the sizing up the entire market and its trend.”</w:t>
      </w:r>
    </w:p>
    <w:p>
      <w:pPr>
        <w:pStyle w:val="BodyText"/>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pStyle w:val="BodyText"/>
        <w:ind w:left="499" w:right="137" w:firstLine="432"/>
        <w:jc w:val="both"/>
      </w:pPr>
      <w:r>
        <w:rPr/>
        <w:t>I was a believer in the pivots for intraday use for quite some time before I discovered higher timeframe pivot analysis. It took me a while to warm up to the idea for the sheer fact that setups and price-to-pivot behavior take</w:t>
      </w:r>
      <w:r>
        <w:rPr>
          <w:spacing w:val="40"/>
        </w:rPr>
        <w:t> </w:t>
      </w:r>
      <w:r>
        <w:rPr/>
        <w:t>much</w:t>
      </w:r>
      <w:r>
        <w:rPr>
          <w:spacing w:val="46"/>
        </w:rPr>
        <w:t> </w:t>
      </w:r>
      <w:r>
        <w:rPr/>
        <w:t>longer</w:t>
      </w:r>
      <w:r>
        <w:rPr>
          <w:spacing w:val="46"/>
        </w:rPr>
        <w:t> </w:t>
      </w:r>
      <w:r>
        <w:rPr/>
        <w:t>to</w:t>
      </w:r>
      <w:r>
        <w:rPr>
          <w:spacing w:val="46"/>
        </w:rPr>
        <w:t> </w:t>
      </w:r>
      <w:r>
        <w:rPr/>
        <w:t>develop,</w:t>
      </w:r>
      <w:r>
        <w:rPr>
          <w:spacing w:val="45"/>
        </w:rPr>
        <w:t> </w:t>
      </w:r>
      <w:r>
        <w:rPr/>
        <w:t>thus</w:t>
      </w:r>
      <w:r>
        <w:rPr>
          <w:spacing w:val="46"/>
        </w:rPr>
        <w:t> </w:t>
      </w:r>
      <w:r>
        <w:rPr/>
        <w:t>observe,</w:t>
      </w:r>
      <w:r>
        <w:rPr>
          <w:spacing w:val="46"/>
        </w:rPr>
        <w:t> </w:t>
      </w:r>
      <w:r>
        <w:rPr/>
        <w:t>using</w:t>
      </w:r>
      <w:r>
        <w:rPr>
          <w:spacing w:val="46"/>
        </w:rPr>
        <w:t> </w:t>
      </w:r>
      <w:r>
        <w:rPr/>
        <w:t>daily</w:t>
      </w:r>
      <w:r>
        <w:rPr>
          <w:spacing w:val="46"/>
        </w:rPr>
        <w:t> </w:t>
      </w:r>
      <w:r>
        <w:rPr/>
        <w:t>or</w:t>
      </w:r>
      <w:r>
        <w:rPr>
          <w:spacing w:val="46"/>
        </w:rPr>
        <w:t> </w:t>
      </w:r>
      <w:r>
        <w:rPr/>
        <w:t>weekly</w:t>
      </w:r>
      <w:r>
        <w:rPr>
          <w:spacing w:val="45"/>
        </w:rPr>
        <w:t> </w:t>
      </w:r>
      <w:r>
        <w:rPr/>
        <w:t>bars.</w:t>
      </w:r>
      <w:r>
        <w:rPr>
          <w:spacing w:val="46"/>
        </w:rPr>
        <w:t> </w:t>
      </w:r>
      <w:r>
        <w:rPr>
          <w:spacing w:val="-4"/>
        </w:rPr>
        <w:t>With</w:t>
      </w:r>
    </w:p>
    <w:p>
      <w:pPr>
        <w:pStyle w:val="BodyText"/>
        <w:spacing w:line="253" w:lineRule="exact"/>
        <w:ind w:left="470"/>
        <w:jc w:val="both"/>
      </w:pPr>
      <w:r>
        <w:rPr>
          <w:spacing w:val="-26"/>
          <w:u w:val="single"/>
        </w:rPr>
        <w:t> </w:t>
      </w:r>
      <w:r>
        <w:rPr>
          <w:u w:val="single"/>
        </w:rPr>
        <w:t>intraday</w:t>
      </w:r>
      <w:r>
        <w:rPr>
          <w:spacing w:val="52"/>
          <w:u w:val="single"/>
        </w:rPr>
        <w:t> </w:t>
      </w:r>
      <w:r>
        <w:rPr>
          <w:u w:val="single"/>
        </w:rPr>
        <w:t>trading,</w:t>
      </w:r>
      <w:r>
        <w:rPr>
          <w:spacing w:val="53"/>
          <w:u w:val="single"/>
        </w:rPr>
        <w:t> </w:t>
      </w:r>
      <w:r>
        <w:rPr>
          <w:u w:val="single"/>
        </w:rPr>
        <w:t>however,</w:t>
      </w:r>
      <w:r>
        <w:rPr>
          <w:spacing w:val="53"/>
          <w:u w:val="single"/>
        </w:rPr>
        <w:t> </w:t>
      </w:r>
      <w:r>
        <w:rPr>
          <w:u w:val="single"/>
        </w:rPr>
        <w:t>I</w:t>
      </w:r>
      <w:r>
        <w:rPr>
          <w:spacing w:val="53"/>
          <w:u w:val="single"/>
        </w:rPr>
        <w:t> </w:t>
      </w:r>
      <w:r>
        <w:rPr>
          <w:u w:val="single"/>
        </w:rPr>
        <w:t>was</w:t>
      </w:r>
      <w:r>
        <w:rPr>
          <w:spacing w:val="54"/>
          <w:u w:val="single"/>
        </w:rPr>
        <w:t> </w:t>
      </w:r>
      <w:r>
        <w:rPr>
          <w:u w:val="single"/>
        </w:rPr>
        <w:t>able</w:t>
      </w:r>
      <w:r>
        <w:rPr>
          <w:spacing w:val="54"/>
          <w:u w:val="single"/>
        </w:rPr>
        <w:t> </w:t>
      </w:r>
      <w:r>
        <w:rPr>
          <w:u w:val="single"/>
        </w:rPr>
        <w:t>to</w:t>
      </w:r>
      <w:r>
        <w:rPr>
          <w:spacing w:val="53"/>
          <w:u w:val="single"/>
        </w:rPr>
        <w:t> </w:t>
      </w:r>
      <w:r>
        <w:rPr>
          <w:u w:val="single"/>
        </w:rPr>
        <w:t>quickly</w:t>
      </w:r>
      <w:r>
        <w:rPr>
          <w:spacing w:val="52"/>
          <w:u w:val="single"/>
        </w:rPr>
        <w:t> </w:t>
      </w:r>
      <w:r>
        <w:rPr>
          <w:u w:val="single"/>
        </w:rPr>
        <w:t>and</w:t>
      </w:r>
      <w:r>
        <w:rPr>
          <w:spacing w:val="53"/>
          <w:u w:val="single"/>
        </w:rPr>
        <w:t> </w:t>
      </w:r>
      <w:r>
        <w:rPr>
          <w:u w:val="single"/>
        </w:rPr>
        <w:t>easily</w:t>
      </w:r>
      <w:r>
        <w:rPr>
          <w:spacing w:val="53"/>
          <w:u w:val="single"/>
        </w:rPr>
        <w:t> </w:t>
      </w:r>
      <w:r>
        <w:rPr>
          <w:u w:val="single"/>
        </w:rPr>
        <w:t>observe</w:t>
      </w:r>
      <w:r>
        <w:rPr>
          <w:spacing w:val="54"/>
          <w:u w:val="single"/>
        </w:rPr>
        <w:t> </w:t>
      </w:r>
      <w:r>
        <w:rPr>
          <w:spacing w:val="-5"/>
          <w:u w:val="single"/>
        </w:rPr>
        <w:t>the</w:t>
      </w:r>
    </w:p>
    <w:p>
      <w:pPr>
        <w:spacing w:after="0" w:line="253" w:lineRule="exact"/>
        <w:jc w:val="both"/>
        <w:sectPr>
          <w:headerReference w:type="default" r:id="rId275"/>
          <w:footerReference w:type="default" r:id="rId276"/>
          <w:footerReference w:type="even" r:id="rId277"/>
          <w:pgSz w:w="8640" w:h="12960"/>
          <w:pgMar w:header="0" w:footer="991" w:top="1480" w:bottom="1180" w:left="580" w:right="580"/>
          <w:pgNumType w:start="235"/>
        </w:sectPr>
      </w:pPr>
    </w:p>
    <w:p>
      <w:pPr>
        <w:pStyle w:val="BodyText"/>
        <w:spacing w:before="5"/>
        <w:rPr>
          <w:sz w:val="18"/>
        </w:rPr>
      </w:pPr>
    </w:p>
    <w:p>
      <w:pPr>
        <w:pStyle w:val="BodyText"/>
        <w:spacing w:before="64"/>
        <w:ind w:left="140" w:right="495"/>
        <w:jc w:val="both"/>
      </w:pPr>
      <w:r>
        <w:rPr/>
        <w:t>effectiveness of pivots and setup follow-through using anywhere from a one- to sixty-minute chart. Therefore, in a matter of minutes, or hours, I was able to gauge the effectiveness of the pivots in real-time trading. Conversely, higher timeframe pivots can take weeks, months, or even years, before you finally see the end result of a trade or setup. However, one chart and an amazing call changed my view on higher timeframe pivot analysis forever.</w:t>
      </w:r>
    </w:p>
    <w:p>
      <w:pPr>
        <w:pStyle w:val="BodyText"/>
        <w:ind w:left="140" w:right="495" w:firstLine="432"/>
        <w:jc w:val="both"/>
      </w:pPr>
      <w:r>
        <w:rPr/>
        <w:t>At the beginning of 2003, I made a bold call in my daily market commentary that the S&amp;P 500 would return to the 1,000 level. If you recall, the market had been in a major three-year correction since topping out in the year 2000, but was beginning to find support at the end of 2002. The index traded lower in the first quarter of 2003, but found both visual and pivot support at about the 800 level, which happened to be the yearly L3 Camarilla support level. As you can see from the chart in Figure 9.1, three separate</w:t>
      </w:r>
      <w:r>
        <w:rPr>
          <w:spacing w:val="40"/>
        </w:rPr>
        <w:t> </w:t>
      </w:r>
      <w:r>
        <w:rPr/>
        <w:t>wick reversal signals fired long at this level, essentially confirming strength</w:t>
      </w:r>
      <w:r>
        <w:rPr>
          <w:spacing w:val="40"/>
        </w:rPr>
        <w:t> </w:t>
      </w:r>
      <w:r>
        <w:rPr/>
        <w:t>at this important pivot level. These elements helped me predict a major reversal in the market, as the S&amp;P 500 rallied to 1,100 to finish the year.</w:t>
      </w:r>
    </w:p>
    <w:p>
      <w:pPr>
        <w:pStyle w:val="BodyText"/>
        <w:spacing w:before="2"/>
        <w:rPr>
          <w:sz w:val="20"/>
        </w:rPr>
      </w:pPr>
      <w:r>
        <w:rPr/>
        <w:drawing>
          <wp:anchor distT="0" distB="0" distL="0" distR="0" allowOverlap="1" layoutInCell="1" locked="0" behindDoc="0" simplePos="0" relativeHeight="296">
            <wp:simplePos x="0" y="0"/>
            <wp:positionH relativeFrom="page">
              <wp:posOffset>457200</wp:posOffset>
            </wp:positionH>
            <wp:positionV relativeFrom="paragraph">
              <wp:posOffset>162641</wp:posOffset>
            </wp:positionV>
            <wp:extent cx="4342239" cy="3111722"/>
            <wp:effectExtent l="0" t="0" r="0" b="0"/>
            <wp:wrapTopAndBottom/>
            <wp:docPr id="267" name="image140.png"/>
            <wp:cNvGraphicFramePr>
              <a:graphicFrameLocks noChangeAspect="1"/>
            </wp:cNvGraphicFramePr>
            <a:graphic>
              <a:graphicData uri="http://schemas.openxmlformats.org/drawingml/2006/picture">
                <pic:pic>
                  <pic:nvPicPr>
                    <pic:cNvPr id="268" name="image140.png"/>
                    <pic:cNvPicPr/>
                  </pic:nvPicPr>
                  <pic:blipFill>
                    <a:blip r:embed="rId280"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 9.1:</w:t>
      </w:r>
      <w:r>
        <w:rPr>
          <w:spacing w:val="1"/>
          <w:sz w:val="16"/>
        </w:rPr>
        <w:t> </w:t>
      </w:r>
      <w:r>
        <w:rPr>
          <w:sz w:val="16"/>
        </w:rPr>
        <w:t>The</w:t>
      </w:r>
      <w:r>
        <w:rPr>
          <w:spacing w:val="2"/>
          <w:sz w:val="16"/>
        </w:rPr>
        <w:t> </w:t>
      </w:r>
      <w:r>
        <w:rPr>
          <w:sz w:val="16"/>
        </w:rPr>
        <w:t>S&amp;P</w:t>
      </w:r>
      <w:r>
        <w:rPr>
          <w:spacing w:val="1"/>
          <w:sz w:val="16"/>
        </w:rPr>
        <w:t> </w:t>
      </w:r>
      <w:r>
        <w:rPr>
          <w:sz w:val="16"/>
        </w:rPr>
        <w:t>500 reacts</w:t>
      </w:r>
      <w:r>
        <w:rPr>
          <w:spacing w:val="1"/>
          <w:sz w:val="16"/>
        </w:rPr>
        <w:t> </w:t>
      </w:r>
      <w:r>
        <w:rPr>
          <w:sz w:val="16"/>
        </w:rPr>
        <w:t>to</w:t>
      </w:r>
      <w:r>
        <w:rPr>
          <w:spacing w:val="1"/>
          <w:sz w:val="16"/>
        </w:rPr>
        <w:t> </w:t>
      </w:r>
      <w:r>
        <w:rPr>
          <w:sz w:val="16"/>
        </w:rPr>
        <w:t>the yearly</w:t>
      </w:r>
      <w:r>
        <w:rPr>
          <w:spacing w:val="1"/>
          <w:sz w:val="16"/>
        </w:rPr>
        <w:t> </w:t>
      </w:r>
      <w:r>
        <w:rPr>
          <w:sz w:val="16"/>
        </w:rPr>
        <w:t>L3 Camarilla pivot</w:t>
      </w:r>
      <w:r>
        <w:rPr>
          <w:spacing w:val="1"/>
          <w:sz w:val="16"/>
        </w:rPr>
        <w:t> </w:t>
      </w:r>
      <w:r>
        <w:rPr>
          <w:sz w:val="16"/>
        </w:rPr>
        <w:t>in </w:t>
      </w:r>
      <w:r>
        <w:rPr>
          <w:spacing w:val="-4"/>
          <w:sz w:val="16"/>
        </w:rPr>
        <w:t>2003</w:t>
      </w:r>
    </w:p>
    <w:p>
      <w:pPr>
        <w:pStyle w:val="BodyText"/>
        <w:spacing w:before="9"/>
        <w:rPr>
          <w:sz w:val="21"/>
        </w:rPr>
      </w:pPr>
    </w:p>
    <w:p>
      <w:pPr>
        <w:pStyle w:val="BodyText"/>
        <w:ind w:left="140" w:right="496" w:firstLine="432"/>
        <w:jc w:val="both"/>
      </w:pPr>
      <w:r>
        <w:rPr/>
        <w:t>Up to this point in my trading and analytical career, it had been quite easy to call bearish moves in the market, as my entire professional career coincided with the stock market bubble of 2000 after the roaring bull market</w:t>
      </w:r>
    </w:p>
    <w:p>
      <w:pPr>
        <w:spacing w:after="0"/>
        <w:jc w:val="both"/>
        <w:sectPr>
          <w:headerReference w:type="even" r:id="rId278"/>
          <w:headerReference w:type="default" r:id="rId279"/>
          <w:pgSz w:w="8640" w:h="12960"/>
          <w:pgMar w:header="579" w:footer="1060" w:top="760" w:bottom="1260" w:left="580" w:right="580"/>
        </w:sectPr>
      </w:pPr>
    </w:p>
    <w:p>
      <w:pPr>
        <w:pStyle w:val="BodyText"/>
        <w:spacing w:before="3"/>
      </w:pPr>
    </w:p>
    <w:p>
      <w:pPr>
        <w:pStyle w:val="BodyText"/>
        <w:spacing w:before="64"/>
        <w:ind w:left="500" w:right="136"/>
        <w:jc w:val="both"/>
      </w:pPr>
      <w:r>
        <w:rPr/>
        <w:t>of the 1990s. However, this particular juncture in the charts became my first major public bullish call on the market. There was a heavy confluence of visual</w:t>
      </w:r>
      <w:r>
        <w:rPr>
          <w:spacing w:val="-1"/>
        </w:rPr>
        <w:t> </w:t>
      </w:r>
      <w:r>
        <w:rPr/>
        <w:t>and</w:t>
      </w:r>
      <w:r>
        <w:rPr>
          <w:spacing w:val="-1"/>
        </w:rPr>
        <w:t> </w:t>
      </w:r>
      <w:r>
        <w:rPr/>
        <w:t>pivot</w:t>
      </w:r>
      <w:r>
        <w:rPr>
          <w:spacing w:val="-1"/>
        </w:rPr>
        <w:t> </w:t>
      </w:r>
      <w:r>
        <w:rPr/>
        <w:t>support</w:t>
      </w:r>
      <w:r>
        <w:rPr>
          <w:spacing w:val="-1"/>
        </w:rPr>
        <w:t> </w:t>
      </w:r>
      <w:r>
        <w:rPr/>
        <w:t>at</w:t>
      </w:r>
      <w:r>
        <w:rPr>
          <w:spacing w:val="-2"/>
        </w:rPr>
        <w:t> </w:t>
      </w:r>
      <w:r>
        <w:rPr/>
        <w:t>the</w:t>
      </w:r>
      <w:r>
        <w:rPr>
          <w:spacing w:val="-1"/>
        </w:rPr>
        <w:t> </w:t>
      </w:r>
      <w:r>
        <w:rPr/>
        <w:t>eight</w:t>
      </w:r>
      <w:r>
        <w:rPr>
          <w:spacing w:val="-1"/>
        </w:rPr>
        <w:t> </w:t>
      </w:r>
      <w:r>
        <w:rPr/>
        <w:t>hundred</w:t>
      </w:r>
      <w:r>
        <w:rPr>
          <w:spacing w:val="-1"/>
        </w:rPr>
        <w:t> </w:t>
      </w:r>
      <w:r>
        <w:rPr/>
        <w:t>level</w:t>
      </w:r>
      <w:r>
        <w:rPr>
          <w:spacing w:val="-1"/>
        </w:rPr>
        <w:t> </w:t>
      </w:r>
      <w:r>
        <w:rPr/>
        <w:t>and</w:t>
      </w:r>
      <w:r>
        <w:rPr>
          <w:spacing w:val="-1"/>
        </w:rPr>
        <w:t> </w:t>
      </w:r>
      <w:r>
        <w:rPr/>
        <w:t>it</w:t>
      </w:r>
      <w:r>
        <w:rPr>
          <w:spacing w:val="-1"/>
        </w:rPr>
        <w:t> </w:t>
      </w:r>
      <w:r>
        <w:rPr/>
        <w:t>was my</w:t>
      </w:r>
      <w:r>
        <w:rPr>
          <w:spacing w:val="-1"/>
        </w:rPr>
        <w:t> </w:t>
      </w:r>
      <w:r>
        <w:rPr/>
        <w:t>opinion</w:t>
      </w:r>
      <w:r>
        <w:rPr>
          <w:spacing w:val="-2"/>
        </w:rPr>
        <w:t> </w:t>
      </w:r>
      <w:r>
        <w:rPr/>
        <w:t>that the market would rebound significantly, sparking a multi-year recovery. I actively structured the holdings in my 401k retirement account, as well as those</w:t>
      </w:r>
      <w:r>
        <w:rPr>
          <w:spacing w:val="-3"/>
        </w:rPr>
        <w:t> </w:t>
      </w:r>
      <w:r>
        <w:rPr/>
        <w:t>of</w:t>
      </w:r>
      <w:r>
        <w:rPr>
          <w:spacing w:val="-2"/>
        </w:rPr>
        <w:t> </w:t>
      </w:r>
      <w:r>
        <w:rPr/>
        <w:t>my</w:t>
      </w:r>
      <w:r>
        <w:rPr>
          <w:spacing w:val="-3"/>
        </w:rPr>
        <w:t> </w:t>
      </w:r>
      <w:r>
        <w:rPr/>
        <w:t>family</w:t>
      </w:r>
      <w:r>
        <w:rPr>
          <w:spacing w:val="-3"/>
        </w:rPr>
        <w:t> </w:t>
      </w:r>
      <w:r>
        <w:rPr/>
        <w:t>and</w:t>
      </w:r>
      <w:r>
        <w:rPr>
          <w:spacing w:val="-3"/>
        </w:rPr>
        <w:t> </w:t>
      </w:r>
      <w:r>
        <w:rPr/>
        <w:t>friends,</w:t>
      </w:r>
      <w:r>
        <w:rPr>
          <w:spacing w:val="-4"/>
        </w:rPr>
        <w:t> </w:t>
      </w:r>
      <w:r>
        <w:rPr/>
        <w:t>to</w:t>
      </w:r>
      <w:r>
        <w:rPr>
          <w:spacing w:val="-3"/>
        </w:rPr>
        <w:t> </w:t>
      </w:r>
      <w:r>
        <w:rPr/>
        <w:t>reflect</w:t>
      </w:r>
      <w:r>
        <w:rPr>
          <w:spacing w:val="-3"/>
        </w:rPr>
        <w:t> </w:t>
      </w:r>
      <w:r>
        <w:rPr/>
        <w:t>this</w:t>
      </w:r>
      <w:r>
        <w:rPr>
          <w:spacing w:val="-3"/>
        </w:rPr>
        <w:t> </w:t>
      </w:r>
      <w:r>
        <w:rPr/>
        <w:t>long-term</w:t>
      </w:r>
      <w:r>
        <w:rPr>
          <w:spacing w:val="-3"/>
        </w:rPr>
        <w:t> </w:t>
      </w:r>
      <w:r>
        <w:rPr/>
        <w:t>bullish</w:t>
      </w:r>
      <w:r>
        <w:rPr>
          <w:spacing w:val="-3"/>
        </w:rPr>
        <w:t> </w:t>
      </w:r>
      <w:r>
        <w:rPr/>
        <w:t>outlook</w:t>
      </w:r>
      <w:r>
        <w:rPr>
          <w:spacing w:val="-3"/>
        </w:rPr>
        <w:t> </w:t>
      </w:r>
      <w:r>
        <w:rPr/>
        <w:t>and</w:t>
      </w:r>
      <w:r>
        <w:rPr>
          <w:spacing w:val="-3"/>
        </w:rPr>
        <w:t> </w:t>
      </w:r>
      <w:r>
        <w:rPr/>
        <w:t>it paid off dearly. Needless to say, I’ve gotten high-fives from family and friends ever since.</w:t>
      </w:r>
    </w:p>
    <w:p>
      <w:pPr>
        <w:pStyle w:val="BodyText"/>
        <w:spacing w:before="1"/>
        <w:ind w:left="500" w:right="134" w:firstLine="432"/>
        <w:jc w:val="both"/>
      </w:pPr>
      <w:r>
        <w:rPr/>
        <w:t>Without a doubt, higher timeframe pivots can be as explosive and reliable as their intraday counterparts. As a matter of fact, the majority of market participants will actually find higher timeframe pivots to be a better</w:t>
      </w:r>
      <w:r>
        <w:rPr>
          <w:spacing w:val="40"/>
        </w:rPr>
        <w:t> </w:t>
      </w:r>
      <w:r>
        <w:rPr/>
        <w:t>fit to their trading style, since this group comprises the majority of players in the market. Aside from the fact that most market participants are long term oriented, many may argue that higher timeframe pivot analysis is much more valuable due to the fact that the resulting moves are vastly larger, thus significantly more profitable. Therefore, instead of capturing multiple intraday moves a day, you could capture just one or two moves a month, or year, and come out far ahead of your intraday trading profits. This approach can add an interesting dimension to your trading regimen.</w:t>
      </w:r>
    </w:p>
    <w:p>
      <w:pPr>
        <w:pStyle w:val="BodyText"/>
        <w:ind w:left="500" w:right="135" w:firstLine="432"/>
        <w:jc w:val="both"/>
      </w:pPr>
      <w:r>
        <w:rPr/>
        <w:t>As you will soon discover, the same concepts that we have covered throughout the book will also apply to higher timeframe pivot analysis. Concepts like pivot trend analysis, pivot width analysis, and important pivot relationships all play a major role in this chapter. In fact, if you are a swing trader, position trader, or investor, you may find a lot more value in this chapter, as the information and the resulting moves will likely complement your trading style.</w:t>
      </w:r>
    </w:p>
    <w:p>
      <w:pPr>
        <w:pStyle w:val="BodyText"/>
        <w:spacing w:before="9"/>
        <w:rPr>
          <w:sz w:val="21"/>
        </w:rPr>
      </w:pPr>
    </w:p>
    <w:p>
      <w:pPr>
        <w:pStyle w:val="Heading3"/>
        <w:spacing w:before="1"/>
        <w:ind w:left="500"/>
        <w:jc w:val="both"/>
      </w:pPr>
      <w:r>
        <w:rPr/>
        <w:pict>
          <v:shape style="position:absolute;margin-left:54.779999pt;margin-top:18.340317pt;width:341pt;height:.1pt;mso-position-horizontal-relative:page;mso-position-vertical-relative:paragraph;z-index:-15576576;mso-wrap-distance-left:0;mso-wrap-distance-right:0" id="docshape835" coordorigin="1096,367" coordsize="6820,0" path="m1096,367l7915,367e" filled="false" stroked="true" strokeweight=".75pt" strokecolor="#000000">
            <v:path arrowok="t"/>
            <v:stroke dashstyle="solid"/>
            <w10:wrap type="topAndBottom"/>
          </v:shape>
        </w:pict>
      </w:r>
      <w:bookmarkStart w:name="_TOC_250018" w:id="73"/>
      <w:r>
        <w:rPr>
          <w:smallCaps/>
        </w:rPr>
        <w:t>Types</w:t>
      </w:r>
      <w:r>
        <w:rPr>
          <w:smallCaps/>
          <w:spacing w:val="-10"/>
        </w:rPr>
        <w:t> </w:t>
      </w:r>
      <w:r>
        <w:rPr>
          <w:smallCaps/>
        </w:rPr>
        <w:t>of</w:t>
      </w:r>
      <w:r>
        <w:rPr>
          <w:smallCaps/>
          <w:spacing w:val="-9"/>
        </w:rPr>
        <w:t> </w:t>
      </w:r>
      <w:r>
        <w:rPr>
          <w:smallCaps/>
        </w:rPr>
        <w:t>Higher</w:t>
      </w:r>
      <w:r>
        <w:rPr>
          <w:smallCaps/>
          <w:spacing w:val="-9"/>
        </w:rPr>
        <w:t> </w:t>
      </w:r>
      <w:r>
        <w:rPr>
          <w:smallCaps/>
        </w:rPr>
        <w:t>Timeframe</w:t>
      </w:r>
      <w:r>
        <w:rPr>
          <w:smallCaps/>
          <w:spacing w:val="-10"/>
        </w:rPr>
        <w:t> </w:t>
      </w:r>
      <w:bookmarkEnd w:id="73"/>
      <w:r>
        <w:rPr>
          <w:smallCaps/>
          <w:spacing w:val="-2"/>
        </w:rPr>
        <w:t>Pivots</w:t>
      </w:r>
    </w:p>
    <w:p>
      <w:pPr>
        <w:pStyle w:val="BodyText"/>
        <w:spacing w:before="202"/>
        <w:ind w:left="499" w:right="136" w:firstLine="432"/>
        <w:jc w:val="both"/>
      </w:pPr>
      <w:r>
        <w:rPr/>
        <w:t>Up to this point in the book, we have been using a prior session’s values to calculate the pivots for the upcoming session. However, with higher timeframe pivots, we use the values for a prior period of time to calculate the pivots for the next period of time. The three major types of higher timeframe pivots are yearly, monthly, and weekly</w:t>
      </w:r>
      <w:r>
        <w:rPr>
          <w:spacing w:val="-1"/>
        </w:rPr>
        <w:t> </w:t>
      </w:r>
      <w:r>
        <w:rPr/>
        <w:t>pivots. To calculate the yearly pivots, you use the high, low, and close prices of the prior year in order to generate the levels for the upcoming year. For monthly pivots, you use the high, low, and</w:t>
      </w:r>
      <w:r>
        <w:rPr>
          <w:spacing w:val="-1"/>
        </w:rPr>
        <w:t> </w:t>
      </w:r>
      <w:r>
        <w:rPr/>
        <w:t>close</w:t>
      </w:r>
      <w:r>
        <w:rPr>
          <w:spacing w:val="-1"/>
        </w:rPr>
        <w:t> </w:t>
      </w:r>
      <w:r>
        <w:rPr/>
        <w:t>prices</w:t>
      </w:r>
      <w:r>
        <w:rPr>
          <w:spacing w:val="-1"/>
        </w:rPr>
        <w:t> </w:t>
      </w:r>
      <w:r>
        <w:rPr/>
        <w:t>of</w:t>
      </w:r>
      <w:r>
        <w:rPr>
          <w:spacing w:val="-1"/>
        </w:rPr>
        <w:t> </w:t>
      </w:r>
      <w:r>
        <w:rPr/>
        <w:t>the prior month</w:t>
      </w:r>
      <w:r>
        <w:rPr>
          <w:spacing w:val="-1"/>
        </w:rPr>
        <w:t> </w:t>
      </w:r>
      <w:r>
        <w:rPr/>
        <w:t>in</w:t>
      </w:r>
      <w:r>
        <w:rPr>
          <w:spacing w:val="-1"/>
        </w:rPr>
        <w:t> </w:t>
      </w:r>
      <w:r>
        <w:rPr/>
        <w:t>order</w:t>
      </w:r>
      <w:r>
        <w:rPr>
          <w:spacing w:val="-1"/>
        </w:rPr>
        <w:t> </w:t>
      </w:r>
      <w:r>
        <w:rPr/>
        <w:t>to</w:t>
      </w:r>
      <w:r>
        <w:rPr>
          <w:spacing w:val="-1"/>
        </w:rPr>
        <w:t> </w:t>
      </w:r>
      <w:r>
        <w:rPr/>
        <w:t>see</w:t>
      </w:r>
      <w:r>
        <w:rPr>
          <w:spacing w:val="-1"/>
        </w:rPr>
        <w:t> </w:t>
      </w:r>
      <w:r>
        <w:rPr/>
        <w:t>the levels</w:t>
      </w:r>
      <w:r>
        <w:rPr>
          <w:spacing w:val="-1"/>
        </w:rPr>
        <w:t> </w:t>
      </w:r>
      <w:r>
        <w:rPr/>
        <w:t>for the following month. Likewise, you would use the high, low, and close prices of the prior week in order to calculate the levels for the next week.</w:t>
      </w:r>
    </w:p>
    <w:p>
      <w:pPr>
        <w:pStyle w:val="BodyText"/>
        <w:ind w:left="499" w:right="135" w:firstLine="432"/>
        <w:jc w:val="both"/>
      </w:pPr>
      <w:r>
        <w:rPr/>
        <w:t>These types of higher timeframe pivots are important because they inspire</w:t>
      </w:r>
      <w:r>
        <w:rPr>
          <w:spacing w:val="29"/>
        </w:rPr>
        <w:t> </w:t>
      </w:r>
      <w:r>
        <w:rPr/>
        <w:t>different</w:t>
      </w:r>
      <w:r>
        <w:rPr>
          <w:spacing w:val="30"/>
        </w:rPr>
        <w:t> </w:t>
      </w:r>
      <w:r>
        <w:rPr/>
        <w:t>types</w:t>
      </w:r>
      <w:r>
        <w:rPr>
          <w:spacing w:val="30"/>
        </w:rPr>
        <w:t> </w:t>
      </w:r>
      <w:r>
        <w:rPr/>
        <w:t>of</w:t>
      </w:r>
      <w:r>
        <w:rPr>
          <w:spacing w:val="29"/>
        </w:rPr>
        <w:t> </w:t>
      </w:r>
      <w:r>
        <w:rPr/>
        <w:t>market</w:t>
      </w:r>
      <w:r>
        <w:rPr>
          <w:spacing w:val="30"/>
        </w:rPr>
        <w:t> </w:t>
      </w:r>
      <w:r>
        <w:rPr/>
        <w:t>participants</w:t>
      </w:r>
      <w:r>
        <w:rPr>
          <w:spacing w:val="30"/>
        </w:rPr>
        <w:t> </w:t>
      </w:r>
      <w:r>
        <w:rPr/>
        <w:t>to</w:t>
      </w:r>
      <w:r>
        <w:rPr>
          <w:spacing w:val="30"/>
        </w:rPr>
        <w:t> </w:t>
      </w:r>
      <w:r>
        <w:rPr/>
        <w:t>enter</w:t>
      </w:r>
      <w:r>
        <w:rPr>
          <w:spacing w:val="29"/>
        </w:rPr>
        <w:t> </w:t>
      </w:r>
      <w:r>
        <w:rPr/>
        <w:t>the</w:t>
      </w:r>
      <w:r>
        <w:rPr>
          <w:spacing w:val="32"/>
        </w:rPr>
        <w:t> </w:t>
      </w:r>
      <w:r>
        <w:rPr/>
        <w:t>market.</w:t>
      </w:r>
      <w:r>
        <w:rPr>
          <w:spacing w:val="30"/>
        </w:rPr>
        <w:t> </w:t>
      </w:r>
      <w:r>
        <w:rPr>
          <w:spacing w:val="-2"/>
        </w:rPr>
        <w:t>Namely,</w:t>
      </w:r>
    </w:p>
    <w:p>
      <w:pPr>
        <w:spacing w:after="0"/>
        <w:jc w:val="both"/>
        <w:sectPr>
          <w:footerReference w:type="default" r:id="rId281"/>
          <w:footerReference w:type="even" r:id="rId282"/>
          <w:pgSz w:w="8640" w:h="12960"/>
          <w:pgMar w:footer="1060" w:header="536" w:top="720" w:bottom="1260" w:left="580" w:right="580"/>
          <w:pgNumType w:start="237"/>
        </w:sectPr>
      </w:pPr>
    </w:p>
    <w:p>
      <w:pPr>
        <w:pStyle w:val="BodyText"/>
        <w:spacing w:before="5"/>
        <w:rPr>
          <w:sz w:val="18"/>
        </w:rPr>
      </w:pPr>
    </w:p>
    <w:p>
      <w:pPr>
        <w:pStyle w:val="BodyText"/>
        <w:spacing w:before="64"/>
        <w:ind w:left="140" w:right="496"/>
        <w:jc w:val="both"/>
      </w:pPr>
      <w:r>
        <w:rPr/>
        <w:t>weekly pivots inspire swing traders to buy or sell, monthly pivots offer a call to action to position traders, and the yearly pivots trigger investor participation. Understanding this paradigm will help you understand which groups of market participants are influencing price behavior, which allows you to gauge price conviction.</w:t>
      </w:r>
    </w:p>
    <w:p>
      <w:pPr>
        <w:pStyle w:val="BodyText"/>
        <w:ind w:left="140" w:right="493" w:firstLine="432"/>
        <w:jc w:val="both"/>
      </w:pPr>
      <w:r>
        <w:rPr/>
        <w:t>Let’s take a closer look at the yearly pivots. Remember, to plot the yearly pivots, take the high, low, and close prices of the prior year and insert these values into the pivot formula. The outcome will be the pivots for the upcoming year. Therefore, taking the high, low, and close of 2008 gives you the pivots for all of 2009, as seen in the weekly chart of the continuous contract of the Mini-Sized Dow futures contract in Figure 9.2. Depending on the trading platform you use, however, the indicators for the Floor</w:t>
      </w:r>
      <w:r>
        <w:rPr>
          <w:spacing w:val="-1"/>
        </w:rPr>
        <w:t> </w:t>
      </w:r>
      <w:r>
        <w:rPr/>
        <w:t>Pivots and the Camarilla Equation may not automatically calculate the yearly pivots for you. When I submitted the “spec sheet” for the creation of the pivots for the OmniTrader and VisualTrader platforms, I made sure to include the yearly pivots for these indicators. Therefore, when I flip to a weekly bar chart, the yearly pivots automatically appear when one of these indicators is plotted. Look no further than the weekly chart of the Mini-Sized Dow futures</w:t>
      </w:r>
      <w:r>
        <w:rPr>
          <w:spacing w:val="40"/>
        </w:rPr>
        <w:t> </w:t>
      </w:r>
      <w:r>
        <w:rPr/>
        <w:t>contract for proof that higher timeframe pivots are special.</w:t>
      </w:r>
    </w:p>
    <w:p>
      <w:pPr>
        <w:pStyle w:val="BodyText"/>
        <w:spacing w:before="2"/>
        <w:rPr>
          <w:sz w:val="20"/>
        </w:rPr>
      </w:pPr>
      <w:r>
        <w:rPr/>
        <w:drawing>
          <wp:anchor distT="0" distB="0" distL="0" distR="0" allowOverlap="1" layoutInCell="1" locked="0" behindDoc="0" simplePos="0" relativeHeight="298">
            <wp:simplePos x="0" y="0"/>
            <wp:positionH relativeFrom="page">
              <wp:posOffset>457200</wp:posOffset>
            </wp:positionH>
            <wp:positionV relativeFrom="paragraph">
              <wp:posOffset>163063</wp:posOffset>
            </wp:positionV>
            <wp:extent cx="4343302" cy="3111722"/>
            <wp:effectExtent l="0" t="0" r="0" b="0"/>
            <wp:wrapTopAndBottom/>
            <wp:docPr id="269" name="image141.png"/>
            <wp:cNvGraphicFramePr>
              <a:graphicFrameLocks noChangeAspect="1"/>
            </wp:cNvGraphicFramePr>
            <a:graphic>
              <a:graphicData uri="http://schemas.openxmlformats.org/drawingml/2006/picture">
                <pic:pic>
                  <pic:nvPicPr>
                    <pic:cNvPr id="270" name="image141.png"/>
                    <pic:cNvPicPr/>
                  </pic:nvPicPr>
                  <pic:blipFill>
                    <a:blip r:embed="rId283" cstate="print"/>
                    <a:stretch>
                      <a:fillRect/>
                    </a:stretch>
                  </pic:blipFill>
                  <pic:spPr>
                    <a:xfrm>
                      <a:off x="0" y="0"/>
                      <a:ext cx="4343302" cy="3111722"/>
                    </a:xfrm>
                    <a:prstGeom prst="rect">
                      <a:avLst/>
                    </a:prstGeom>
                  </pic:spPr>
                </pic:pic>
              </a:graphicData>
            </a:graphic>
          </wp:anchor>
        </w:drawing>
      </w:r>
    </w:p>
    <w:p>
      <w:pPr>
        <w:spacing w:before="0"/>
        <w:ind w:left="140" w:right="0" w:firstLine="0"/>
        <w:jc w:val="both"/>
        <w:rPr>
          <w:sz w:val="16"/>
        </w:rPr>
      </w:pPr>
      <w:r>
        <w:rPr>
          <w:sz w:val="16"/>
        </w:rPr>
        <w:t>FIGURE 9.2:</w:t>
      </w:r>
      <w:r>
        <w:rPr>
          <w:spacing w:val="2"/>
          <w:sz w:val="16"/>
        </w:rPr>
        <w:t> </w:t>
      </w:r>
      <w:r>
        <w:rPr>
          <w:sz w:val="16"/>
        </w:rPr>
        <w:t>The</w:t>
      </w:r>
      <w:r>
        <w:rPr>
          <w:spacing w:val="2"/>
          <w:sz w:val="16"/>
        </w:rPr>
        <w:t> </w:t>
      </w:r>
      <w:r>
        <w:rPr>
          <w:sz w:val="16"/>
        </w:rPr>
        <w:t>yearly</w:t>
      </w:r>
      <w:r>
        <w:rPr>
          <w:spacing w:val="1"/>
          <w:sz w:val="16"/>
        </w:rPr>
        <w:t> </w:t>
      </w:r>
      <w:r>
        <w:rPr>
          <w:sz w:val="16"/>
        </w:rPr>
        <w:t>pivots</w:t>
      </w:r>
      <w:r>
        <w:rPr>
          <w:spacing w:val="1"/>
          <w:sz w:val="16"/>
        </w:rPr>
        <w:t> </w:t>
      </w:r>
      <w:r>
        <w:rPr>
          <w:sz w:val="16"/>
        </w:rPr>
        <w:t>helped</w:t>
      </w:r>
      <w:r>
        <w:rPr>
          <w:spacing w:val="2"/>
          <w:sz w:val="16"/>
        </w:rPr>
        <w:t> </w:t>
      </w:r>
      <w:r>
        <w:rPr>
          <w:sz w:val="16"/>
        </w:rPr>
        <w:t>make sense</w:t>
      </w:r>
      <w:r>
        <w:rPr>
          <w:spacing w:val="1"/>
          <w:sz w:val="16"/>
        </w:rPr>
        <w:t> </w:t>
      </w:r>
      <w:r>
        <w:rPr>
          <w:sz w:val="16"/>
        </w:rPr>
        <w:t>of</w:t>
      </w:r>
      <w:r>
        <w:rPr>
          <w:spacing w:val="1"/>
          <w:sz w:val="16"/>
        </w:rPr>
        <w:t> </w:t>
      </w:r>
      <w:r>
        <w:rPr>
          <w:sz w:val="16"/>
        </w:rPr>
        <w:t>2008 and</w:t>
      </w:r>
      <w:r>
        <w:rPr>
          <w:spacing w:val="1"/>
          <w:sz w:val="16"/>
        </w:rPr>
        <w:t> </w:t>
      </w:r>
      <w:r>
        <w:rPr>
          <w:sz w:val="16"/>
        </w:rPr>
        <w:t>2009</w:t>
      </w:r>
      <w:r>
        <w:rPr>
          <w:spacing w:val="1"/>
          <w:sz w:val="16"/>
        </w:rPr>
        <w:t> </w:t>
      </w:r>
      <w:r>
        <w:rPr>
          <w:sz w:val="16"/>
        </w:rPr>
        <w:t>in the</w:t>
      </w:r>
      <w:r>
        <w:rPr>
          <w:spacing w:val="1"/>
          <w:sz w:val="16"/>
        </w:rPr>
        <w:t> </w:t>
      </w:r>
      <w:r>
        <w:rPr>
          <w:spacing w:val="-5"/>
          <w:sz w:val="16"/>
        </w:rPr>
        <w:t>YM.</w:t>
      </w:r>
    </w:p>
    <w:p>
      <w:pPr>
        <w:spacing w:after="0"/>
        <w:jc w:val="both"/>
        <w:rPr>
          <w:sz w:val="16"/>
        </w:rPr>
        <w:sectPr>
          <w:pgSz w:w="8640" w:h="12960"/>
          <w:pgMar w:header="579" w:footer="1060" w:top="760" w:bottom="1260" w:left="580" w:right="580"/>
        </w:sectPr>
      </w:pPr>
    </w:p>
    <w:p>
      <w:pPr>
        <w:pStyle w:val="BodyText"/>
        <w:spacing w:before="3"/>
      </w:pPr>
    </w:p>
    <w:p>
      <w:pPr>
        <w:pStyle w:val="BodyText"/>
        <w:spacing w:before="64"/>
        <w:ind w:left="500" w:right="133" w:firstLine="432"/>
        <w:jc w:val="both"/>
      </w:pPr>
      <w:r>
        <w:rPr/>
        <w:t>Figure 9.2 shows a two-year view of the continuous contract of the YM from 2008 to 2009. As you may recall, 2008 was a year that saw a major collapse in the financial markets. However, despite the chaotic nature of the market during this time, the Floor Pivots show the YM actually traded in a much more orderly manner than most people realize, as price played off</w:t>
      </w:r>
      <w:r>
        <w:rPr>
          <w:spacing w:val="40"/>
        </w:rPr>
        <w:t> </w:t>
      </w:r>
      <w:r>
        <w:rPr/>
        <w:t>these levels quite nicely. Even in a year that saw financial ruin, the pivots were one of the few tools that demonstrated a high level of accuracy.</w:t>
      </w:r>
    </w:p>
    <w:p>
      <w:pPr>
        <w:pStyle w:val="BodyText"/>
        <w:ind w:left="500" w:right="135" w:firstLine="432"/>
        <w:jc w:val="both"/>
      </w:pPr>
      <w:r>
        <w:rPr/>
        <w:t>Of course, the Dow continued to sell off in the first quarter of 2009, but found a major source of support at the yearly S1 pivot level. The Dow rallied sharply from S1 and pushed higher the rest of the year, culminating its move at the central pivot range. It seems the smart money was definitely using the pivots as a guide during this tumultuous time, as the Dow reacted to every pivot level in an orderly, and almost mechanical, manner. In fact, the yearly pivots helped me to identify where the Dow might be headed </w:t>
      </w:r>
      <w:r>
        <w:rPr>
          <w:i/>
        </w:rPr>
        <w:t>much </w:t>
      </w:r>
      <w:r>
        <w:rPr/>
        <w:t>earlier than the talking heads you are used to seeing on television. The accuracy of the Floor Pivots during this two-year period is simply incredible. Of course, the pivots aren’t always this precise, but I’d much rather have them on my charts than without, which would be like driving your car at night without </w:t>
      </w:r>
      <w:r>
        <w:rPr>
          <w:spacing w:val="-2"/>
        </w:rPr>
        <w:t>headlights.</w:t>
      </w:r>
    </w:p>
    <w:p>
      <w:pPr>
        <w:pStyle w:val="BodyText"/>
        <w:spacing w:before="1"/>
        <w:ind w:left="500" w:right="135" w:firstLine="432"/>
        <w:jc w:val="both"/>
      </w:pPr>
      <w:r>
        <w:rPr/>
        <w:t>The monthly pivots can be equally outstanding and can open the door to very nice profits for swing and position traders. These pivots are calculated</w:t>
      </w:r>
      <w:r>
        <w:rPr>
          <w:spacing w:val="40"/>
        </w:rPr>
        <w:t> </w:t>
      </w:r>
      <w:r>
        <w:rPr/>
        <w:t>in much the same fashion as the yearly pivots, but instead use the prior month’s high, low, and close prices to plot the pivots for the upcoming</w:t>
      </w:r>
      <w:r>
        <w:rPr>
          <w:spacing w:val="40"/>
        </w:rPr>
        <w:t> </w:t>
      </w:r>
      <w:r>
        <w:rPr/>
        <w:t>month of trading. While the yearly pivots can inspire long- term traders and investors</w:t>
      </w:r>
      <w:r>
        <w:rPr>
          <w:spacing w:val="-3"/>
        </w:rPr>
        <w:t> </w:t>
      </w:r>
      <w:r>
        <w:rPr/>
        <w:t>to</w:t>
      </w:r>
      <w:r>
        <w:rPr>
          <w:spacing w:val="-3"/>
        </w:rPr>
        <w:t> </w:t>
      </w:r>
      <w:r>
        <w:rPr/>
        <w:t>enter</w:t>
      </w:r>
      <w:r>
        <w:rPr>
          <w:spacing w:val="-3"/>
        </w:rPr>
        <w:t> </w:t>
      </w:r>
      <w:r>
        <w:rPr/>
        <w:t>the</w:t>
      </w:r>
      <w:r>
        <w:rPr>
          <w:spacing w:val="-2"/>
        </w:rPr>
        <w:t> </w:t>
      </w:r>
      <w:r>
        <w:rPr/>
        <w:t>market</w:t>
      </w:r>
      <w:r>
        <w:rPr>
          <w:spacing w:val="-3"/>
        </w:rPr>
        <w:t> </w:t>
      </w:r>
      <w:r>
        <w:rPr/>
        <w:t>en</w:t>
      </w:r>
      <w:r>
        <w:rPr>
          <w:spacing w:val="-2"/>
        </w:rPr>
        <w:t> </w:t>
      </w:r>
      <w:r>
        <w:rPr/>
        <w:t>masse,</w:t>
      </w:r>
      <w:r>
        <w:rPr>
          <w:spacing w:val="-4"/>
        </w:rPr>
        <w:t> </w:t>
      </w:r>
      <w:r>
        <w:rPr/>
        <w:t>the</w:t>
      </w:r>
      <w:r>
        <w:rPr>
          <w:spacing w:val="-2"/>
        </w:rPr>
        <w:t> </w:t>
      </w:r>
      <w:r>
        <w:rPr/>
        <w:t>monthly</w:t>
      </w:r>
      <w:r>
        <w:rPr>
          <w:spacing w:val="-4"/>
        </w:rPr>
        <w:t> </w:t>
      </w:r>
      <w:r>
        <w:rPr/>
        <w:t>pivot</w:t>
      </w:r>
      <w:r>
        <w:rPr>
          <w:spacing w:val="-3"/>
        </w:rPr>
        <w:t> </w:t>
      </w:r>
      <w:r>
        <w:rPr/>
        <w:t>levels</w:t>
      </w:r>
      <w:r>
        <w:rPr>
          <w:spacing w:val="-3"/>
        </w:rPr>
        <w:t> </w:t>
      </w:r>
      <w:r>
        <w:rPr/>
        <w:t>offer</w:t>
      </w:r>
      <w:r>
        <w:rPr>
          <w:spacing w:val="-3"/>
        </w:rPr>
        <w:t> </w:t>
      </w:r>
      <w:r>
        <w:rPr/>
        <w:t>a</w:t>
      </w:r>
      <w:r>
        <w:rPr>
          <w:spacing w:val="-3"/>
        </w:rPr>
        <w:t> </w:t>
      </w:r>
      <w:r>
        <w:rPr/>
        <w:t>call</w:t>
      </w:r>
      <w:r>
        <w:rPr>
          <w:spacing w:val="-3"/>
        </w:rPr>
        <w:t> </w:t>
      </w:r>
      <w:r>
        <w:rPr/>
        <w:t>to action to position and swing traders, as the resulting moves range anywhere from a week to several months.</w:t>
      </w:r>
    </w:p>
    <w:p>
      <w:pPr>
        <w:pStyle w:val="BodyText"/>
        <w:ind w:left="500" w:right="134" w:firstLine="432"/>
        <w:jc w:val="both"/>
      </w:pPr>
      <w:r>
        <w:rPr/>
        <w:t>Let’s take a look at an example. Figure 9.3 shows a two-month view of</w:t>
      </w:r>
      <w:r>
        <w:rPr>
          <w:spacing w:val="40"/>
        </w:rPr>
        <w:t> </w:t>
      </w:r>
      <w:r>
        <w:rPr/>
        <w:t>a daily chart of the Crude Oil futures contract. Two key moves were seen off the Floor Pivots in December, while an amazing reversal occurred off the Cams in January. Every major swing in this chart was a result of price reacting to a pivot in addition to important candlestick signal confirmation. Clearly, major players in the market are watching the pivots and putting money to work when price approaches theses key pivot levels. In this case, Crude Oil turned on a dime after dipping below $70 a barrel near S3 support, as responsive buyers stepped in to push price to higher value. Once price reached H3 resistance in January 2010, however, responsive sellers entered the market and pushed price back to the L4 support level. These were razor sharp reversals that were highly predictable in a commodity that is widely traded by speculators across the world.</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271" name="image142.png"/>
            <wp:cNvGraphicFramePr>
              <a:graphicFrameLocks noChangeAspect="1"/>
            </wp:cNvGraphicFramePr>
            <a:graphic>
              <a:graphicData uri="http://schemas.openxmlformats.org/drawingml/2006/picture">
                <pic:pic>
                  <pic:nvPicPr>
                    <pic:cNvPr id="272" name="image142.png"/>
                    <pic:cNvPicPr/>
                  </pic:nvPicPr>
                  <pic:blipFill>
                    <a:blip r:embed="rId284"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both"/>
        <w:rPr>
          <w:sz w:val="16"/>
        </w:rPr>
      </w:pPr>
      <w:r>
        <w:rPr>
          <w:sz w:val="16"/>
        </w:rPr>
        <w:t>FIGURE 9.3:</w:t>
      </w:r>
      <w:r>
        <w:rPr>
          <w:spacing w:val="1"/>
          <w:sz w:val="16"/>
        </w:rPr>
        <w:t> </w:t>
      </w:r>
      <w:r>
        <w:rPr>
          <w:sz w:val="16"/>
        </w:rPr>
        <w:t>Crude</w:t>
      </w:r>
      <w:r>
        <w:rPr>
          <w:spacing w:val="1"/>
          <w:sz w:val="16"/>
        </w:rPr>
        <w:t> </w:t>
      </w:r>
      <w:r>
        <w:rPr>
          <w:sz w:val="16"/>
        </w:rPr>
        <w:t>Oil</w:t>
      </w:r>
      <w:r>
        <w:rPr>
          <w:spacing w:val="1"/>
          <w:sz w:val="16"/>
        </w:rPr>
        <w:t> </w:t>
      </w:r>
      <w:r>
        <w:rPr>
          <w:sz w:val="16"/>
        </w:rPr>
        <w:t>reacts</w:t>
      </w:r>
      <w:r>
        <w:rPr>
          <w:spacing w:val="1"/>
          <w:sz w:val="16"/>
        </w:rPr>
        <w:t> </w:t>
      </w:r>
      <w:r>
        <w:rPr>
          <w:sz w:val="16"/>
        </w:rPr>
        <w:t>to</w:t>
      </w:r>
      <w:r>
        <w:rPr>
          <w:spacing w:val="1"/>
          <w:sz w:val="16"/>
        </w:rPr>
        <w:t> </w:t>
      </w:r>
      <w:r>
        <w:rPr>
          <w:sz w:val="16"/>
        </w:rPr>
        <w:t>the</w:t>
      </w:r>
      <w:r>
        <w:rPr>
          <w:spacing w:val="3"/>
          <w:sz w:val="16"/>
        </w:rPr>
        <w:t> </w:t>
      </w:r>
      <w:r>
        <w:rPr>
          <w:sz w:val="16"/>
        </w:rPr>
        <w:t>monthly</w:t>
      </w:r>
      <w:r>
        <w:rPr>
          <w:spacing w:val="1"/>
          <w:sz w:val="16"/>
        </w:rPr>
        <w:t> </w:t>
      </w:r>
      <w:r>
        <w:rPr>
          <w:sz w:val="16"/>
        </w:rPr>
        <w:t>Floor</w:t>
      </w:r>
      <w:r>
        <w:rPr>
          <w:spacing w:val="2"/>
          <w:sz w:val="16"/>
        </w:rPr>
        <w:t> </w:t>
      </w:r>
      <w:r>
        <w:rPr>
          <w:sz w:val="16"/>
        </w:rPr>
        <w:t>and</w:t>
      </w:r>
      <w:r>
        <w:rPr>
          <w:spacing w:val="1"/>
          <w:sz w:val="16"/>
        </w:rPr>
        <w:t> </w:t>
      </w:r>
      <w:r>
        <w:rPr>
          <w:sz w:val="16"/>
        </w:rPr>
        <w:t>Camarilla</w:t>
      </w:r>
      <w:r>
        <w:rPr>
          <w:spacing w:val="1"/>
          <w:sz w:val="16"/>
        </w:rPr>
        <w:t> </w:t>
      </w:r>
      <w:r>
        <w:rPr>
          <w:sz w:val="16"/>
        </w:rPr>
        <w:t>pivots</w:t>
      </w:r>
      <w:r>
        <w:rPr>
          <w:spacing w:val="1"/>
          <w:sz w:val="16"/>
        </w:rPr>
        <w:t> </w:t>
      </w:r>
      <w:r>
        <w:rPr>
          <w:sz w:val="16"/>
        </w:rPr>
        <w:t>in</w:t>
      </w:r>
      <w:r>
        <w:rPr>
          <w:spacing w:val="1"/>
          <w:sz w:val="16"/>
        </w:rPr>
        <w:t> </w:t>
      </w:r>
      <w:r>
        <w:rPr>
          <w:sz w:val="16"/>
        </w:rPr>
        <w:t>consecutive</w:t>
      </w:r>
      <w:r>
        <w:rPr>
          <w:spacing w:val="2"/>
          <w:sz w:val="16"/>
        </w:rPr>
        <w:t> </w:t>
      </w:r>
      <w:r>
        <w:rPr>
          <w:spacing w:val="-2"/>
          <w:sz w:val="16"/>
        </w:rPr>
        <w:t>months.</w:t>
      </w:r>
    </w:p>
    <w:p>
      <w:pPr>
        <w:pStyle w:val="BodyText"/>
        <w:spacing w:before="2"/>
        <w:ind w:left="140" w:right="499" w:firstLine="432"/>
        <w:jc w:val="both"/>
      </w:pPr>
      <w:r>
        <w:rPr/>
        <w:t>What continues to amaze me is the fact that all types of financial</w:t>
      </w:r>
      <w:r>
        <w:rPr>
          <w:spacing w:val="40"/>
        </w:rPr>
        <w:t> </w:t>
      </w:r>
      <w:r>
        <w:rPr/>
        <w:t>markets respond to the pivots, including stocks, commodities, and forex, regardless of the timeframe. This is no</w:t>
      </w:r>
      <w:r>
        <w:rPr>
          <w:spacing w:val="-1"/>
        </w:rPr>
        <w:t> </w:t>
      </w:r>
      <w:r>
        <w:rPr/>
        <w:t>more apparent than in the recent Gold boom,</w:t>
      </w:r>
      <w:r>
        <w:rPr>
          <w:spacing w:val="36"/>
        </w:rPr>
        <w:t> </w:t>
      </w:r>
      <w:r>
        <w:rPr/>
        <w:t>where</w:t>
      </w:r>
      <w:r>
        <w:rPr>
          <w:spacing w:val="38"/>
        </w:rPr>
        <w:t> </w:t>
      </w:r>
      <w:r>
        <w:rPr/>
        <w:t>the</w:t>
      </w:r>
      <w:r>
        <w:rPr>
          <w:spacing w:val="36"/>
        </w:rPr>
        <w:t> </w:t>
      </w:r>
      <w:r>
        <w:rPr/>
        <w:t>precious</w:t>
      </w:r>
      <w:r>
        <w:rPr>
          <w:spacing w:val="35"/>
        </w:rPr>
        <w:t> </w:t>
      </w:r>
      <w:r>
        <w:rPr/>
        <w:t>metal</w:t>
      </w:r>
      <w:r>
        <w:rPr>
          <w:spacing w:val="36"/>
        </w:rPr>
        <w:t> </w:t>
      </w:r>
      <w:r>
        <w:rPr/>
        <w:t>experienced</w:t>
      </w:r>
      <w:r>
        <w:rPr>
          <w:spacing w:val="36"/>
        </w:rPr>
        <w:t> </w:t>
      </w:r>
      <w:r>
        <w:rPr/>
        <w:t>an</w:t>
      </w:r>
      <w:r>
        <w:rPr>
          <w:spacing w:val="36"/>
        </w:rPr>
        <w:t> </w:t>
      </w:r>
      <w:r>
        <w:rPr/>
        <w:t>unprecedented</w:t>
      </w:r>
      <w:r>
        <w:rPr>
          <w:spacing w:val="36"/>
        </w:rPr>
        <w:t> </w:t>
      </w:r>
      <w:r>
        <w:rPr/>
        <w:t>rally</w:t>
      </w:r>
      <w:r>
        <w:rPr>
          <w:spacing w:val="36"/>
        </w:rPr>
        <w:t> </w:t>
      </w:r>
      <w:r>
        <w:rPr/>
        <w:t>from</w:t>
      </w:r>
    </w:p>
    <w:p>
      <w:pPr>
        <w:pStyle w:val="BodyText"/>
        <w:ind w:left="140" w:right="496"/>
        <w:jc w:val="both"/>
      </w:pPr>
      <w:r>
        <w:rPr/>
        <w:t>$700 an ounce to over $1,200 an ounce by the end of 2009, partially shown</w:t>
      </w:r>
      <w:r>
        <w:rPr>
          <w:spacing w:val="40"/>
        </w:rPr>
        <w:t> </w:t>
      </w:r>
      <w:r>
        <w:rPr/>
        <w:t>in</w:t>
      </w:r>
      <w:r>
        <w:rPr>
          <w:spacing w:val="41"/>
        </w:rPr>
        <w:t> </w:t>
      </w:r>
      <w:r>
        <w:rPr/>
        <w:t>Figure</w:t>
      </w:r>
      <w:r>
        <w:rPr>
          <w:spacing w:val="42"/>
        </w:rPr>
        <w:t> </w:t>
      </w:r>
      <w:r>
        <w:rPr/>
        <w:t>9.4.</w:t>
      </w:r>
      <w:r>
        <w:rPr>
          <w:spacing w:val="41"/>
        </w:rPr>
        <w:t> </w:t>
      </w:r>
      <w:r>
        <w:rPr/>
        <w:t>Gold</w:t>
      </w:r>
      <w:r>
        <w:rPr>
          <w:spacing w:val="42"/>
        </w:rPr>
        <w:t> </w:t>
      </w:r>
      <w:r>
        <w:rPr/>
        <w:t>found</w:t>
      </w:r>
      <w:r>
        <w:rPr>
          <w:spacing w:val="40"/>
        </w:rPr>
        <w:t> </w:t>
      </w:r>
      <w:r>
        <w:rPr/>
        <w:t>one</w:t>
      </w:r>
      <w:r>
        <w:rPr>
          <w:spacing w:val="42"/>
        </w:rPr>
        <w:t> </w:t>
      </w:r>
      <w:r>
        <w:rPr/>
        <w:t>last</w:t>
      </w:r>
      <w:r>
        <w:rPr>
          <w:spacing w:val="43"/>
        </w:rPr>
        <w:t> </w:t>
      </w:r>
      <w:r>
        <w:rPr/>
        <w:t>push</w:t>
      </w:r>
      <w:r>
        <w:rPr>
          <w:spacing w:val="41"/>
        </w:rPr>
        <w:t> </w:t>
      </w:r>
      <w:r>
        <w:rPr/>
        <w:t>late</w:t>
      </w:r>
      <w:r>
        <w:rPr>
          <w:spacing w:val="43"/>
        </w:rPr>
        <w:t> </w:t>
      </w:r>
      <w:r>
        <w:rPr/>
        <w:t>in</w:t>
      </w:r>
      <w:r>
        <w:rPr>
          <w:spacing w:val="41"/>
        </w:rPr>
        <w:t> </w:t>
      </w:r>
      <w:r>
        <w:rPr/>
        <w:t>2009</w:t>
      </w:r>
      <w:r>
        <w:rPr>
          <w:spacing w:val="42"/>
        </w:rPr>
        <w:t> </w:t>
      </w:r>
      <w:r>
        <w:rPr/>
        <w:t>and</w:t>
      </w:r>
      <w:r>
        <w:rPr>
          <w:spacing w:val="42"/>
        </w:rPr>
        <w:t> </w:t>
      </w:r>
      <w:r>
        <w:rPr/>
        <w:t>rallied</w:t>
      </w:r>
      <w:r>
        <w:rPr>
          <w:spacing w:val="41"/>
        </w:rPr>
        <w:t> </w:t>
      </w:r>
      <w:r>
        <w:rPr/>
        <w:t>to</w:t>
      </w:r>
      <w:r>
        <w:rPr>
          <w:spacing w:val="42"/>
        </w:rPr>
        <w:t> </w:t>
      </w:r>
      <w:r>
        <w:rPr>
          <w:spacing w:val="-4"/>
        </w:rPr>
        <w:t>over</w:t>
      </w:r>
    </w:p>
    <w:p>
      <w:pPr>
        <w:pStyle w:val="BodyText"/>
        <w:ind w:left="140" w:right="496"/>
        <w:jc w:val="both"/>
      </w:pPr>
      <w:r>
        <w:rPr/>
        <w:t>$1,225</w:t>
      </w:r>
      <w:r>
        <w:rPr>
          <w:spacing w:val="-1"/>
        </w:rPr>
        <w:t> </w:t>
      </w:r>
      <w:r>
        <w:rPr/>
        <w:t>per</w:t>
      </w:r>
      <w:r>
        <w:rPr>
          <w:spacing w:val="-1"/>
        </w:rPr>
        <w:t> </w:t>
      </w:r>
      <w:r>
        <w:rPr/>
        <w:t>ounce,</w:t>
      </w:r>
      <w:r>
        <w:rPr>
          <w:spacing w:val="-1"/>
        </w:rPr>
        <w:t> </w:t>
      </w:r>
      <w:r>
        <w:rPr/>
        <w:t>but</w:t>
      </w:r>
      <w:r>
        <w:rPr>
          <w:spacing w:val="-1"/>
        </w:rPr>
        <w:t> </w:t>
      </w:r>
      <w:r>
        <w:rPr/>
        <w:t>the</w:t>
      </w:r>
      <w:r>
        <w:rPr>
          <w:spacing w:val="-1"/>
        </w:rPr>
        <w:t> </w:t>
      </w:r>
      <w:r>
        <w:rPr/>
        <w:t>advance</w:t>
      </w:r>
      <w:r>
        <w:rPr>
          <w:spacing w:val="-1"/>
        </w:rPr>
        <w:t> </w:t>
      </w:r>
      <w:r>
        <w:rPr/>
        <w:t>stalled</w:t>
      </w:r>
      <w:r>
        <w:rPr>
          <w:spacing w:val="-1"/>
        </w:rPr>
        <w:t> </w:t>
      </w:r>
      <w:r>
        <w:rPr/>
        <w:t>right</w:t>
      </w:r>
      <w:r>
        <w:rPr>
          <w:spacing w:val="-1"/>
        </w:rPr>
        <w:t> </w:t>
      </w:r>
      <w:r>
        <w:rPr/>
        <w:t>at</w:t>
      </w:r>
      <w:r>
        <w:rPr>
          <w:spacing w:val="-1"/>
        </w:rPr>
        <w:t> </w:t>
      </w:r>
      <w:r>
        <w:rPr/>
        <w:t>the</w:t>
      </w:r>
      <w:r>
        <w:rPr>
          <w:spacing w:val="-2"/>
        </w:rPr>
        <w:t> </w:t>
      </w:r>
      <w:r>
        <w:rPr/>
        <w:t>monthly</w:t>
      </w:r>
      <w:r>
        <w:rPr>
          <w:spacing w:val="-1"/>
        </w:rPr>
        <w:t> </w:t>
      </w:r>
      <w:r>
        <w:rPr/>
        <w:t>H3</w:t>
      </w:r>
      <w:r>
        <w:rPr>
          <w:spacing w:val="-1"/>
        </w:rPr>
        <w:t> </w:t>
      </w:r>
      <w:r>
        <w:rPr/>
        <w:t>pivot</w:t>
      </w:r>
      <w:r>
        <w:rPr>
          <w:spacing w:val="-1"/>
        </w:rPr>
        <w:t> </w:t>
      </w:r>
      <w:r>
        <w:rPr/>
        <w:t>level. Price formed a bearish doji reversal pattern at the pivot, which helped to signal</w:t>
      </w:r>
      <w:r>
        <w:rPr>
          <w:spacing w:val="-1"/>
        </w:rPr>
        <w:t> </w:t>
      </w:r>
      <w:r>
        <w:rPr/>
        <w:t>a major</w:t>
      </w:r>
      <w:r>
        <w:rPr>
          <w:spacing w:val="-1"/>
        </w:rPr>
        <w:t> </w:t>
      </w:r>
      <w:r>
        <w:rPr/>
        <w:t>correction</w:t>
      </w:r>
      <w:r>
        <w:rPr>
          <w:spacing w:val="-1"/>
        </w:rPr>
        <w:t> </w:t>
      </w:r>
      <w:r>
        <w:rPr/>
        <w:t>in</w:t>
      </w:r>
      <w:r>
        <w:rPr>
          <w:spacing w:val="-1"/>
        </w:rPr>
        <w:t> </w:t>
      </w:r>
      <w:r>
        <w:rPr/>
        <w:t>the</w:t>
      </w:r>
      <w:r>
        <w:rPr>
          <w:spacing w:val="-1"/>
        </w:rPr>
        <w:t> </w:t>
      </w:r>
      <w:r>
        <w:rPr/>
        <w:t>price</w:t>
      </w:r>
      <w:r>
        <w:rPr>
          <w:spacing w:val="-1"/>
        </w:rPr>
        <w:t> </w:t>
      </w:r>
      <w:r>
        <w:rPr/>
        <w:t>of</w:t>
      </w:r>
      <w:r>
        <w:rPr>
          <w:spacing w:val="-1"/>
        </w:rPr>
        <w:t> </w:t>
      </w:r>
      <w:r>
        <w:rPr/>
        <w:t>Gold</w:t>
      </w:r>
      <w:r>
        <w:rPr>
          <w:spacing w:val="-1"/>
        </w:rPr>
        <w:t> </w:t>
      </w:r>
      <w:r>
        <w:rPr/>
        <w:t>over</w:t>
      </w:r>
      <w:r>
        <w:rPr>
          <w:spacing w:val="-1"/>
        </w:rPr>
        <w:t> </w:t>
      </w:r>
      <w:r>
        <w:rPr/>
        <w:t>the</w:t>
      </w:r>
      <w:r>
        <w:rPr>
          <w:spacing w:val="-1"/>
        </w:rPr>
        <w:t> </w:t>
      </w:r>
      <w:r>
        <w:rPr/>
        <w:t>following</w:t>
      </w:r>
      <w:r>
        <w:rPr>
          <w:spacing w:val="-1"/>
        </w:rPr>
        <w:t> </w:t>
      </w:r>
      <w:r>
        <w:rPr/>
        <w:t>three</w:t>
      </w:r>
      <w:r>
        <w:rPr>
          <w:spacing w:val="-1"/>
        </w:rPr>
        <w:t> </w:t>
      </w:r>
      <w:r>
        <w:rPr/>
        <w:t>weeks. Gold prices dropped back below the $1,100 mark, which was precisely L4 support. Isn’t it amazing that price-to-pivot behavior with signal</w:t>
      </w:r>
      <w:r>
        <w:rPr>
          <w:spacing w:val="80"/>
        </w:rPr>
        <w:t> </w:t>
      </w:r>
      <w:r>
        <w:rPr/>
        <w:t>confirmation can help to identify major market reversals? The combination</w:t>
      </w:r>
      <w:r>
        <w:rPr>
          <w:spacing w:val="40"/>
        </w:rPr>
        <w:t> </w:t>
      </w:r>
      <w:r>
        <w:rPr/>
        <w:t>of the pivots and key signal confirmation at these levels never ceases to amaze me.</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273" name="image143.png"/>
            <wp:cNvGraphicFramePr>
              <a:graphicFrameLocks noChangeAspect="1"/>
            </wp:cNvGraphicFramePr>
            <a:graphic>
              <a:graphicData uri="http://schemas.openxmlformats.org/drawingml/2006/picture">
                <pic:pic>
                  <pic:nvPicPr>
                    <pic:cNvPr id="274" name="image143.png"/>
                    <pic:cNvPicPr/>
                  </pic:nvPicPr>
                  <pic:blipFill>
                    <a:blip r:embed="rId285"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2"/>
          <w:sz w:val="16"/>
        </w:rPr>
        <w:t> </w:t>
      </w:r>
      <w:r>
        <w:rPr>
          <w:sz w:val="16"/>
        </w:rPr>
        <w:t>9.4: Gold</w:t>
      </w:r>
      <w:r>
        <w:rPr>
          <w:spacing w:val="-1"/>
          <w:sz w:val="16"/>
        </w:rPr>
        <w:t> </w:t>
      </w:r>
      <w:r>
        <w:rPr>
          <w:sz w:val="16"/>
        </w:rPr>
        <w:t>futures</w:t>
      </w:r>
      <w:r>
        <w:rPr>
          <w:spacing w:val="-2"/>
          <w:sz w:val="16"/>
        </w:rPr>
        <w:t> </w:t>
      </w:r>
      <w:r>
        <w:rPr>
          <w:sz w:val="16"/>
        </w:rPr>
        <w:t>falls</w:t>
      </w:r>
      <w:r>
        <w:rPr>
          <w:spacing w:val="-1"/>
          <w:sz w:val="16"/>
        </w:rPr>
        <w:t> </w:t>
      </w:r>
      <w:r>
        <w:rPr>
          <w:sz w:val="16"/>
        </w:rPr>
        <w:t>from</w:t>
      </w:r>
      <w:r>
        <w:rPr>
          <w:spacing w:val="1"/>
          <w:sz w:val="16"/>
        </w:rPr>
        <w:t> </w:t>
      </w:r>
      <w:r>
        <w:rPr>
          <w:sz w:val="16"/>
        </w:rPr>
        <w:t>all-time highs</w:t>
      </w:r>
      <w:r>
        <w:rPr>
          <w:spacing w:val="-2"/>
          <w:sz w:val="16"/>
        </w:rPr>
        <w:t> </w:t>
      </w:r>
      <w:r>
        <w:rPr>
          <w:sz w:val="16"/>
        </w:rPr>
        <w:t>in</w:t>
      </w:r>
      <w:r>
        <w:rPr>
          <w:spacing w:val="-1"/>
          <w:sz w:val="16"/>
        </w:rPr>
        <w:t> </w:t>
      </w:r>
      <w:r>
        <w:rPr>
          <w:sz w:val="16"/>
        </w:rPr>
        <w:t>December</w:t>
      </w:r>
      <w:r>
        <w:rPr>
          <w:spacing w:val="-1"/>
          <w:sz w:val="16"/>
        </w:rPr>
        <w:t> </w:t>
      </w:r>
      <w:r>
        <w:rPr>
          <w:sz w:val="16"/>
        </w:rPr>
        <w:t>2009</w:t>
      </w:r>
      <w:r>
        <w:rPr>
          <w:spacing w:val="-1"/>
          <w:sz w:val="16"/>
        </w:rPr>
        <w:t> </w:t>
      </w:r>
      <w:r>
        <w:rPr>
          <w:sz w:val="16"/>
        </w:rPr>
        <w:t>after</w:t>
      </w:r>
      <w:r>
        <w:rPr>
          <w:spacing w:val="-2"/>
          <w:sz w:val="16"/>
        </w:rPr>
        <w:t> </w:t>
      </w:r>
      <w:r>
        <w:rPr>
          <w:sz w:val="16"/>
        </w:rPr>
        <w:t>testing</w:t>
      </w:r>
      <w:r>
        <w:rPr>
          <w:spacing w:val="1"/>
          <w:sz w:val="16"/>
        </w:rPr>
        <w:t> </w:t>
      </w:r>
      <w:r>
        <w:rPr>
          <w:sz w:val="16"/>
        </w:rPr>
        <w:t>monthly </w:t>
      </w:r>
      <w:r>
        <w:rPr>
          <w:spacing w:val="-5"/>
          <w:sz w:val="16"/>
        </w:rPr>
        <w:t>H3</w:t>
      </w:r>
    </w:p>
    <w:p>
      <w:pPr>
        <w:pStyle w:val="BodyText"/>
        <w:spacing w:before="2"/>
      </w:pPr>
    </w:p>
    <w:p>
      <w:pPr>
        <w:pStyle w:val="BodyText"/>
        <w:ind w:left="500" w:right="134" w:firstLine="432"/>
        <w:jc w:val="both"/>
      </w:pPr>
      <w:r>
        <w:rPr/>
        <w:t>While investors and position traders pay attention to the yearly and monthly pivot levels, swing traders usually hone in to the weekly pivots. As you recall, weekly pivots are calculated by using the prior week’s high, low, and close prices in order to forecast the pivots for the upcoming week of trading. Therefore, you would use the high, low, and close prices that occurred from Monday to Friday in order to forecast the pivots for the upcoming week, from Monday to Friday, as illustrated in sixty-minute chart of Devon Energy in Figure 9.5. The Camarilla pivots in this chart were derived from price activity that occurred from March 15 through March 19. Since DVN had a wide price range during this week of trading, the pivots for the following week were wider than normal and forecasted trading range behavior. Given the theory of trading range behavior, you will look for price reversals at key Camarilla pivot levels with candlestick confirmation. As it turns out, the wick reversal and extreme reversal setups helped identify key turning points in the charts at both L3 and H3, which offered perfect two- to three-day swing trading opportunities.</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275" name="image144.png"/>
            <wp:cNvGraphicFramePr>
              <a:graphicFrameLocks noChangeAspect="1"/>
            </wp:cNvGraphicFramePr>
            <a:graphic>
              <a:graphicData uri="http://schemas.openxmlformats.org/drawingml/2006/picture">
                <pic:pic>
                  <pic:nvPicPr>
                    <pic:cNvPr id="276" name="image144.png"/>
                    <pic:cNvPicPr/>
                  </pic:nvPicPr>
                  <pic:blipFill>
                    <a:blip r:embed="rId286"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1"/>
          <w:sz w:val="16"/>
        </w:rPr>
        <w:t> </w:t>
      </w:r>
      <w:r>
        <w:rPr>
          <w:sz w:val="16"/>
        </w:rPr>
        <w:t>9.5:</w:t>
      </w:r>
      <w:r>
        <w:rPr>
          <w:spacing w:val="3"/>
          <w:sz w:val="16"/>
        </w:rPr>
        <w:t> </w:t>
      </w:r>
      <w:r>
        <w:rPr>
          <w:sz w:val="16"/>
        </w:rPr>
        <w:t>Devon</w:t>
      </w:r>
      <w:r>
        <w:rPr>
          <w:spacing w:val="2"/>
          <w:sz w:val="16"/>
        </w:rPr>
        <w:t> </w:t>
      </w:r>
      <w:r>
        <w:rPr>
          <w:sz w:val="16"/>
        </w:rPr>
        <w:t>Energy</w:t>
      </w:r>
      <w:r>
        <w:rPr>
          <w:spacing w:val="2"/>
          <w:sz w:val="16"/>
        </w:rPr>
        <w:t> </w:t>
      </w:r>
      <w:r>
        <w:rPr>
          <w:sz w:val="16"/>
        </w:rPr>
        <w:t>responds</w:t>
      </w:r>
      <w:r>
        <w:rPr>
          <w:spacing w:val="1"/>
          <w:sz w:val="16"/>
        </w:rPr>
        <w:t> </w:t>
      </w:r>
      <w:r>
        <w:rPr>
          <w:sz w:val="16"/>
        </w:rPr>
        <w:t>to</w:t>
      </w:r>
      <w:r>
        <w:rPr>
          <w:spacing w:val="2"/>
          <w:sz w:val="16"/>
        </w:rPr>
        <w:t> </w:t>
      </w:r>
      <w:r>
        <w:rPr>
          <w:sz w:val="16"/>
        </w:rPr>
        <w:t>the</w:t>
      </w:r>
      <w:r>
        <w:rPr>
          <w:spacing w:val="2"/>
          <w:sz w:val="16"/>
        </w:rPr>
        <w:t> </w:t>
      </w:r>
      <w:r>
        <w:rPr>
          <w:sz w:val="16"/>
        </w:rPr>
        <w:t>weekly</w:t>
      </w:r>
      <w:r>
        <w:rPr>
          <w:spacing w:val="3"/>
          <w:sz w:val="16"/>
        </w:rPr>
        <w:t> </w:t>
      </w:r>
      <w:r>
        <w:rPr>
          <w:sz w:val="16"/>
        </w:rPr>
        <w:t>pivots</w:t>
      </w:r>
      <w:r>
        <w:rPr>
          <w:spacing w:val="1"/>
          <w:sz w:val="16"/>
        </w:rPr>
        <w:t> </w:t>
      </w:r>
      <w:r>
        <w:rPr>
          <w:sz w:val="16"/>
        </w:rPr>
        <w:t>in</w:t>
      </w:r>
      <w:r>
        <w:rPr>
          <w:spacing w:val="2"/>
          <w:sz w:val="16"/>
        </w:rPr>
        <w:t> </w:t>
      </w:r>
      <w:r>
        <w:rPr>
          <w:spacing w:val="-2"/>
          <w:sz w:val="16"/>
        </w:rPr>
        <w:t>March</w:t>
      </w:r>
    </w:p>
    <w:p>
      <w:pPr>
        <w:pStyle w:val="BodyText"/>
        <w:spacing w:before="2"/>
      </w:pPr>
    </w:p>
    <w:p>
      <w:pPr>
        <w:pStyle w:val="BodyText"/>
        <w:ind w:left="140" w:right="494" w:firstLine="432"/>
        <w:jc w:val="both"/>
      </w:pPr>
      <w:r>
        <w:rPr/>
        <w:t>As you may recall from Chapter 2, the higher the periodicity of the</w:t>
      </w:r>
      <w:r>
        <w:rPr>
          <w:spacing w:val="40"/>
        </w:rPr>
        <w:t> </w:t>
      </w:r>
      <w:r>
        <w:rPr/>
        <w:t>chart,</w:t>
      </w:r>
      <w:r>
        <w:rPr/>
        <w:t> the more meaningful the candlestick setup will be. Put another way,</w:t>
      </w:r>
      <w:r>
        <w:rPr>
          <w:spacing w:val="40"/>
        </w:rPr>
        <w:t> </w:t>
      </w:r>
      <w:r>
        <w:rPr/>
        <w:t>the longer it takes to form a candlestick setup, the more trader psychology went into creating that pattern, thereby creating more meaning in the market. Two</w:t>
      </w:r>
      <w:r>
        <w:rPr>
          <w:spacing w:val="-2"/>
        </w:rPr>
        <w:t> </w:t>
      </w:r>
      <w:r>
        <w:rPr/>
        <w:t>hours</w:t>
      </w:r>
      <w:r>
        <w:rPr>
          <w:spacing w:val="-2"/>
        </w:rPr>
        <w:t> </w:t>
      </w:r>
      <w:r>
        <w:rPr/>
        <w:t>of</w:t>
      </w:r>
      <w:r>
        <w:rPr>
          <w:spacing w:val="-3"/>
        </w:rPr>
        <w:t> </w:t>
      </w:r>
      <w:r>
        <w:rPr/>
        <w:t>trader</w:t>
      </w:r>
      <w:r>
        <w:rPr>
          <w:spacing w:val="-2"/>
        </w:rPr>
        <w:t> </w:t>
      </w:r>
      <w:r>
        <w:rPr/>
        <w:t>psychology</w:t>
      </w:r>
      <w:r>
        <w:rPr>
          <w:spacing w:val="-2"/>
        </w:rPr>
        <w:t> </w:t>
      </w:r>
      <w:r>
        <w:rPr/>
        <w:t>went</w:t>
      </w:r>
      <w:r>
        <w:rPr>
          <w:spacing w:val="-2"/>
        </w:rPr>
        <w:t> </w:t>
      </w:r>
      <w:r>
        <w:rPr/>
        <w:t>into</w:t>
      </w:r>
      <w:r>
        <w:rPr>
          <w:spacing w:val="-2"/>
        </w:rPr>
        <w:t> </w:t>
      </w:r>
      <w:r>
        <w:rPr/>
        <w:t>creating</w:t>
      </w:r>
      <w:r>
        <w:rPr>
          <w:spacing w:val="-2"/>
        </w:rPr>
        <w:t> </w:t>
      </w:r>
      <w:r>
        <w:rPr/>
        <w:t>the</w:t>
      </w:r>
      <w:r>
        <w:rPr>
          <w:spacing w:val="-2"/>
        </w:rPr>
        <w:t> </w:t>
      </w:r>
      <w:r>
        <w:rPr/>
        <w:t>extreme</w:t>
      </w:r>
      <w:r>
        <w:rPr>
          <w:spacing w:val="-2"/>
        </w:rPr>
        <w:t> </w:t>
      </w:r>
      <w:r>
        <w:rPr/>
        <w:t>reversal</w:t>
      </w:r>
      <w:r>
        <w:rPr>
          <w:spacing w:val="-2"/>
        </w:rPr>
        <w:t> </w:t>
      </w:r>
      <w:r>
        <w:rPr/>
        <w:t>setup at the H3 pivot level. This setup alone in a sixty-minute chart is trader gold, as this pattern has been mechanically back and forward tested to be highly profitable. However, qualifying this signal with a test at a major pivot level within the right trend is almost unfair, as the results are typically</w:t>
      </w:r>
      <w:r>
        <w:rPr>
          <w:spacing w:val="40"/>
        </w:rPr>
        <w:t> </w:t>
      </w:r>
      <w:r>
        <w:rPr/>
        <w:t>phenomenal. Remember, the code for this setup is in Appendix B. The extreme reversal setup is like a sports car. I have given you the key to the Porsche, all you have to do is turn the key to the ignition and drive </w:t>
      </w:r>
      <w:r>
        <w:rPr>
          <w:spacing w:val="-2"/>
        </w:rPr>
        <w:t>responsibly.</w:t>
      </w:r>
    </w:p>
    <w:p>
      <w:pPr>
        <w:pStyle w:val="BodyText"/>
        <w:spacing w:before="10"/>
        <w:rPr>
          <w:sz w:val="21"/>
        </w:rPr>
      </w:pPr>
    </w:p>
    <w:p>
      <w:pPr>
        <w:pStyle w:val="Heading3"/>
      </w:pPr>
      <w:r>
        <w:rPr/>
        <w:pict>
          <v:shape style="position:absolute;margin-left:36.779999pt;margin-top:18.230318pt;width:341pt;height:.1pt;mso-position-horizontal-relative:page;mso-position-vertical-relative:paragraph;z-index:-15575552;mso-wrap-distance-left:0;mso-wrap-distance-right:0" id="docshape836" coordorigin="736,365" coordsize="6820,0" path="m736,365l7555,365e" filled="false" stroked="true" strokeweight=".75pt" strokecolor="#000000">
            <v:path arrowok="t"/>
            <v:stroke dashstyle="solid"/>
            <w10:wrap type="topAndBottom"/>
          </v:shape>
        </w:pict>
      </w:r>
      <w:bookmarkStart w:name="_TOC_250017" w:id="74"/>
      <w:r>
        <w:rPr>
          <w:smallCaps/>
          <w:spacing w:val="-2"/>
        </w:rPr>
        <w:t>Long-Term</w:t>
      </w:r>
      <w:r>
        <w:rPr>
          <w:smallCaps/>
          <w:spacing w:val="-6"/>
        </w:rPr>
        <w:t> </w:t>
      </w:r>
      <w:r>
        <w:rPr>
          <w:smallCaps/>
          <w:spacing w:val="-2"/>
        </w:rPr>
        <w:t>Pivot</w:t>
      </w:r>
      <w:r>
        <w:rPr>
          <w:smallCaps/>
          <w:spacing w:val="-9"/>
        </w:rPr>
        <w:t> </w:t>
      </w:r>
      <w:r>
        <w:rPr>
          <w:smallCaps/>
          <w:spacing w:val="-2"/>
        </w:rPr>
        <w:t>Width</w:t>
      </w:r>
      <w:r>
        <w:rPr>
          <w:smallCaps/>
          <w:spacing w:val="-5"/>
        </w:rPr>
        <w:t> </w:t>
      </w:r>
      <w:bookmarkEnd w:id="74"/>
      <w:r>
        <w:rPr>
          <w:smallCaps/>
          <w:spacing w:val="-2"/>
        </w:rPr>
        <w:t>Forecasting</w:t>
      </w:r>
    </w:p>
    <w:p>
      <w:pPr>
        <w:pStyle w:val="BodyText"/>
        <w:spacing w:before="203"/>
        <w:ind w:left="139" w:right="497" w:firstLine="432"/>
        <w:jc w:val="both"/>
      </w:pPr>
      <w:r>
        <w:rPr/>
        <w:t>As I have illustrated throughout the book, forecasting price movement via pivot width can be a powerful practice. In fact, understanding when a market is likely to trade in a range or explode into a new trend gives you a huge</w:t>
      </w:r>
      <w:r>
        <w:rPr>
          <w:spacing w:val="36"/>
        </w:rPr>
        <w:t> </w:t>
      </w:r>
      <w:r>
        <w:rPr/>
        <w:t>advantage</w:t>
      </w:r>
      <w:r>
        <w:rPr>
          <w:spacing w:val="36"/>
        </w:rPr>
        <w:t> </w:t>
      </w:r>
      <w:r>
        <w:rPr/>
        <w:t>and</w:t>
      </w:r>
      <w:r>
        <w:rPr>
          <w:spacing w:val="36"/>
        </w:rPr>
        <w:t> </w:t>
      </w:r>
      <w:r>
        <w:rPr/>
        <w:t>can</w:t>
      </w:r>
      <w:r>
        <w:rPr>
          <w:spacing w:val="37"/>
        </w:rPr>
        <w:t> </w:t>
      </w:r>
      <w:r>
        <w:rPr/>
        <w:t>be</w:t>
      </w:r>
      <w:r>
        <w:rPr>
          <w:spacing w:val="36"/>
        </w:rPr>
        <w:t> </w:t>
      </w:r>
      <w:r>
        <w:rPr/>
        <w:t>the</w:t>
      </w:r>
      <w:r>
        <w:rPr>
          <w:spacing w:val="36"/>
        </w:rPr>
        <w:t> </w:t>
      </w:r>
      <w:r>
        <w:rPr/>
        <w:t>crystal</w:t>
      </w:r>
      <w:r>
        <w:rPr>
          <w:spacing w:val="37"/>
        </w:rPr>
        <w:t> </w:t>
      </w:r>
      <w:r>
        <w:rPr/>
        <w:t>ball</w:t>
      </w:r>
      <w:r>
        <w:rPr>
          <w:spacing w:val="36"/>
        </w:rPr>
        <w:t> </w:t>
      </w:r>
      <w:r>
        <w:rPr/>
        <w:t>that</w:t>
      </w:r>
      <w:r>
        <w:rPr>
          <w:spacing w:val="36"/>
        </w:rPr>
        <w:t> </w:t>
      </w:r>
      <w:r>
        <w:rPr/>
        <w:t>guides</w:t>
      </w:r>
      <w:r>
        <w:rPr>
          <w:spacing w:val="37"/>
        </w:rPr>
        <w:t> </w:t>
      </w:r>
      <w:r>
        <w:rPr/>
        <w:t>your</w:t>
      </w:r>
      <w:r>
        <w:rPr>
          <w:spacing w:val="36"/>
        </w:rPr>
        <w:t> </w:t>
      </w:r>
      <w:r>
        <w:rPr/>
        <w:t>trading</w:t>
      </w:r>
      <w:r>
        <w:rPr>
          <w:spacing w:val="36"/>
        </w:rPr>
        <w:t> </w:t>
      </w:r>
      <w:r>
        <w:rPr/>
        <w:t>for</w:t>
      </w:r>
      <w:r>
        <w:rPr>
          <w:spacing w:val="36"/>
        </w:rPr>
        <w:t> </w:t>
      </w:r>
      <w:r>
        <w:rPr>
          <w:spacing w:val="-10"/>
        </w:rPr>
        <w:t>a</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3"/>
        <w:jc w:val="both"/>
      </w:pPr>
      <w:r>
        <w:rPr/>
        <w:t>typical day, month, or year. If the pivots are abnormally tight, the market has a higher tendency to break out and trend. Conversely, an unusually wide</w:t>
      </w:r>
      <w:r>
        <w:rPr>
          <w:spacing w:val="40"/>
        </w:rPr>
        <w:t> </w:t>
      </w:r>
      <w:r>
        <w:rPr/>
        <w:t>pivot range typically results in a sideways or trading range market. Each result carries with it a certain method for trading the market, so knowing</w:t>
      </w:r>
      <w:r>
        <w:rPr>
          <w:spacing w:val="40"/>
        </w:rPr>
        <w:t> </w:t>
      </w:r>
      <w:r>
        <w:rPr/>
        <w:t>what to expect at the earliest possible time becomes a major advantage.</w:t>
      </w:r>
    </w:p>
    <w:p>
      <w:pPr>
        <w:pStyle w:val="BodyText"/>
        <w:ind w:left="500" w:right="136" w:firstLine="432"/>
        <w:jc w:val="both"/>
      </w:pPr>
      <w:r>
        <w:rPr/>
        <w:t>Coincidentally, the pivot width concept helped me to forecast the 8,385 target for the Dow Jones Industrial Average, which I talked about in the Introduction. Let’s take a closer look at the chart of the Dow in Figure 9.6 to analyze what I saw. This three-year view of the Dow displays the yearly</w:t>
      </w:r>
      <w:r>
        <w:rPr>
          <w:spacing w:val="40"/>
        </w:rPr>
        <w:t> </w:t>
      </w:r>
      <w:r>
        <w:rPr/>
        <w:t>pivot ranges for 2006 to 2008. The widths of the pivot ranges gave expected price behavior for each year, which allowed me to forecast price action. In 2006, the range is very tight, which ultimately forecasted a trending year. However, the pivot range for 2007 was noticeably wider than that of 2006. This range essentially helped to forecast a trading range market in 2007, which then led to a tight pivot range for 2008. The narrow pivot range in 2008 was the trigger that caused me to identify a breakout move for the index. However, I was uncertain on direction.</w:t>
      </w:r>
    </w:p>
    <w:p>
      <w:pPr>
        <w:pStyle w:val="BodyText"/>
        <w:ind w:left="500" w:right="135" w:firstLine="432"/>
        <w:jc w:val="both"/>
      </w:pPr>
      <w:r>
        <w:rPr/>
        <w:t>I remember alerting my readership that a move of over two thousand points could be seen in the Dow in the months ahead, but direction still eluded me. Of course, this forecast received a mixed reaction. On the one hand, many traders and investors were happy for the advanced notice. However, others were not so pleased, especially given the indecision about direction. I’m not fortune teller. I used pivot width analysis and basic technical analysis to forecast a calculated price move. However, only the market can decide direction. When the Dow broke below the 13,000 level to begin 2008, we had our direction. I forecasted a move to 10,000, and then readjusted</w:t>
      </w:r>
      <w:r>
        <w:rPr/>
        <w:t> my targets to 8,385 and 6,500 over the course of the following months, using the pivots as a guide. As you recall, the Dow reached the</w:t>
      </w:r>
      <w:r>
        <w:rPr>
          <w:spacing w:val="80"/>
        </w:rPr>
        <w:t> </w:t>
      </w:r>
      <w:r>
        <w:rPr/>
        <w:t>8,385 level by the end of 2008, and then reached 6,500 early in 2009 after reaching the yearly S1 pivot level, which became the low of the eighteen- month bear market.</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317" cy="2983229"/>
            <wp:effectExtent l="0" t="0" r="0" b="0"/>
            <wp:docPr id="277" name="image145.png"/>
            <wp:cNvGraphicFramePr>
              <a:graphicFrameLocks noChangeAspect="1"/>
            </wp:cNvGraphicFramePr>
            <a:graphic>
              <a:graphicData uri="http://schemas.openxmlformats.org/drawingml/2006/picture">
                <pic:pic>
                  <pic:nvPicPr>
                    <pic:cNvPr id="278" name="image145.png"/>
                    <pic:cNvPicPr/>
                  </pic:nvPicPr>
                  <pic:blipFill>
                    <a:blip r:embed="rId287" cstate="print"/>
                    <a:stretch>
                      <a:fillRect/>
                    </a:stretch>
                  </pic:blipFill>
                  <pic:spPr>
                    <a:xfrm>
                      <a:off x="0" y="0"/>
                      <a:ext cx="4304317" cy="2983229"/>
                    </a:xfrm>
                    <a:prstGeom prst="rect">
                      <a:avLst/>
                    </a:prstGeom>
                  </pic:spPr>
                </pic:pic>
              </a:graphicData>
            </a:graphic>
          </wp:inline>
        </w:drawing>
      </w:r>
      <w:r>
        <w:rPr>
          <w:sz w:val="20"/>
        </w:rPr>
      </w:r>
    </w:p>
    <w:p>
      <w:pPr>
        <w:spacing w:before="48"/>
        <w:ind w:left="140" w:right="0" w:firstLine="0"/>
        <w:jc w:val="left"/>
        <w:rPr>
          <w:sz w:val="16"/>
        </w:rPr>
      </w:pPr>
      <w:r>
        <w:rPr>
          <w:sz w:val="16"/>
        </w:rPr>
        <w:t>FIGURE 9.6:</w:t>
      </w:r>
      <w:r>
        <w:rPr>
          <w:spacing w:val="1"/>
          <w:sz w:val="16"/>
        </w:rPr>
        <w:t> </w:t>
      </w:r>
      <w:r>
        <w:rPr>
          <w:sz w:val="16"/>
        </w:rPr>
        <w:t>The</w:t>
      </w:r>
      <w:r>
        <w:rPr>
          <w:spacing w:val="1"/>
          <w:sz w:val="16"/>
        </w:rPr>
        <w:t> </w:t>
      </w:r>
      <w:r>
        <w:rPr>
          <w:sz w:val="16"/>
        </w:rPr>
        <w:t>width</w:t>
      </w:r>
      <w:r>
        <w:rPr>
          <w:spacing w:val="1"/>
          <w:sz w:val="16"/>
        </w:rPr>
        <w:t> </w:t>
      </w:r>
      <w:r>
        <w:rPr>
          <w:sz w:val="16"/>
        </w:rPr>
        <w:t>of the pivot</w:t>
      </w:r>
      <w:r>
        <w:rPr>
          <w:spacing w:val="-1"/>
          <w:sz w:val="16"/>
        </w:rPr>
        <w:t> </w:t>
      </w:r>
      <w:r>
        <w:rPr>
          <w:sz w:val="16"/>
        </w:rPr>
        <w:t>ranges</w:t>
      </w:r>
      <w:r>
        <w:rPr>
          <w:spacing w:val="1"/>
          <w:sz w:val="16"/>
        </w:rPr>
        <w:t> </w:t>
      </w:r>
      <w:r>
        <w:rPr>
          <w:sz w:val="16"/>
        </w:rPr>
        <w:t>helped forecast each</w:t>
      </w:r>
      <w:r>
        <w:rPr>
          <w:spacing w:val="2"/>
          <w:sz w:val="16"/>
        </w:rPr>
        <w:t> </w:t>
      </w:r>
      <w:r>
        <w:rPr>
          <w:sz w:val="16"/>
        </w:rPr>
        <w:t>year’s price </w:t>
      </w:r>
      <w:r>
        <w:rPr>
          <w:spacing w:val="-2"/>
          <w:sz w:val="16"/>
        </w:rPr>
        <w:t>behavior.</w:t>
      </w:r>
    </w:p>
    <w:p>
      <w:pPr>
        <w:pStyle w:val="BodyText"/>
        <w:spacing w:before="2"/>
      </w:pPr>
    </w:p>
    <w:p>
      <w:pPr>
        <w:pStyle w:val="BodyText"/>
        <w:ind w:left="139" w:right="494" w:firstLine="432"/>
        <w:jc w:val="both"/>
      </w:pPr>
      <w:r>
        <w:rPr/>
        <w:t>Forecasting price movement using pivot width analysis isn’t something that just began to work recently. As a matter of fact, long-term pivot width analysis helped forecast the technology boom of the 1990s, as seen in the weekly chart of the NASDAQ Composite Index in Figure 9.7. The wide central pivot range in 1994 forecasted a sideways year for the index, which essentially came to fruition. However, the trading range behavior in 1994 paved the way for an extremely tight central pivot range for 1995. The</w:t>
      </w:r>
      <w:r>
        <w:rPr>
          <w:spacing w:val="40"/>
        </w:rPr>
        <w:t> </w:t>
      </w:r>
      <w:r>
        <w:rPr/>
        <w:t>narrow pivot range helped to forecast a powerful trending year for the index, as the NASDAQ ultimately rocketed to new all-time highs. Again, the consolidation of 1994 led to the breakout in 1995, both of which were anticipated through the width of the central pivot range.</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317" cy="2983229"/>
            <wp:effectExtent l="0" t="0" r="0" b="0"/>
            <wp:docPr id="279" name="image146.png"/>
            <wp:cNvGraphicFramePr>
              <a:graphicFrameLocks noChangeAspect="1"/>
            </wp:cNvGraphicFramePr>
            <a:graphic>
              <a:graphicData uri="http://schemas.openxmlformats.org/drawingml/2006/picture">
                <pic:pic>
                  <pic:nvPicPr>
                    <pic:cNvPr id="280" name="image146.png"/>
                    <pic:cNvPicPr/>
                  </pic:nvPicPr>
                  <pic:blipFill>
                    <a:blip r:embed="rId288" cstate="print"/>
                    <a:stretch>
                      <a:fillRect/>
                    </a:stretch>
                  </pic:blipFill>
                  <pic:spPr>
                    <a:xfrm>
                      <a:off x="0" y="0"/>
                      <a:ext cx="4304317" cy="2983229"/>
                    </a:xfrm>
                    <a:prstGeom prst="rect">
                      <a:avLst/>
                    </a:prstGeom>
                  </pic:spPr>
                </pic:pic>
              </a:graphicData>
            </a:graphic>
          </wp:inline>
        </w:drawing>
      </w:r>
      <w:r>
        <w:rPr>
          <w:sz w:val="20"/>
        </w:rPr>
      </w:r>
    </w:p>
    <w:p>
      <w:pPr>
        <w:spacing w:before="48"/>
        <w:ind w:left="500" w:right="0" w:firstLine="0"/>
        <w:jc w:val="left"/>
        <w:rPr>
          <w:sz w:val="16"/>
        </w:rPr>
      </w:pPr>
      <w:r>
        <w:rPr>
          <w:sz w:val="16"/>
        </w:rPr>
        <w:t>FIGURE 9.7:</w:t>
      </w:r>
      <w:r>
        <w:rPr>
          <w:spacing w:val="2"/>
          <w:sz w:val="16"/>
        </w:rPr>
        <w:t> </w:t>
      </w:r>
      <w:r>
        <w:rPr>
          <w:sz w:val="16"/>
        </w:rPr>
        <w:t>Wide centrals</w:t>
      </w:r>
      <w:r>
        <w:rPr>
          <w:spacing w:val="1"/>
          <w:sz w:val="16"/>
        </w:rPr>
        <w:t> </w:t>
      </w:r>
      <w:r>
        <w:rPr>
          <w:sz w:val="16"/>
        </w:rPr>
        <w:t>in 1994</w:t>
      </w:r>
      <w:r>
        <w:rPr>
          <w:spacing w:val="1"/>
          <w:sz w:val="16"/>
        </w:rPr>
        <w:t> </w:t>
      </w:r>
      <w:r>
        <w:rPr>
          <w:sz w:val="16"/>
        </w:rPr>
        <w:t>leads to</w:t>
      </w:r>
      <w:r>
        <w:rPr>
          <w:spacing w:val="1"/>
          <w:sz w:val="16"/>
        </w:rPr>
        <w:t> </w:t>
      </w:r>
      <w:r>
        <w:rPr>
          <w:sz w:val="16"/>
        </w:rPr>
        <w:t>tight centrals</w:t>
      </w:r>
      <w:r>
        <w:rPr>
          <w:spacing w:val="1"/>
          <w:sz w:val="16"/>
        </w:rPr>
        <w:t> </w:t>
      </w:r>
      <w:r>
        <w:rPr>
          <w:sz w:val="16"/>
        </w:rPr>
        <w:t>and a</w:t>
      </w:r>
      <w:r>
        <w:rPr>
          <w:spacing w:val="1"/>
          <w:sz w:val="16"/>
        </w:rPr>
        <w:t> </w:t>
      </w:r>
      <w:r>
        <w:rPr>
          <w:sz w:val="16"/>
        </w:rPr>
        <w:t>big</w:t>
      </w:r>
      <w:r>
        <w:rPr>
          <w:spacing w:val="1"/>
          <w:sz w:val="16"/>
        </w:rPr>
        <w:t> </w:t>
      </w:r>
      <w:r>
        <w:rPr>
          <w:sz w:val="16"/>
        </w:rPr>
        <w:t>move</w:t>
      </w:r>
      <w:r>
        <w:rPr>
          <w:spacing w:val="2"/>
          <w:sz w:val="16"/>
        </w:rPr>
        <w:t> </w:t>
      </w:r>
      <w:r>
        <w:rPr>
          <w:sz w:val="16"/>
        </w:rPr>
        <w:t>in </w:t>
      </w:r>
      <w:r>
        <w:rPr>
          <w:spacing w:val="-2"/>
          <w:sz w:val="16"/>
        </w:rPr>
        <w:t>1995.</w:t>
      </w:r>
    </w:p>
    <w:p>
      <w:pPr>
        <w:pStyle w:val="BodyText"/>
        <w:spacing w:before="2"/>
      </w:pPr>
    </w:p>
    <w:p>
      <w:pPr>
        <w:pStyle w:val="BodyText"/>
        <w:ind w:left="499" w:right="136" w:firstLine="432"/>
        <w:jc w:val="both"/>
      </w:pPr>
      <w:r>
        <w:rPr/>
        <w:t>The Money Zone levels also do a fantastic job at forecasting long term price behavior using pivot</w:t>
      </w:r>
      <w:r>
        <w:rPr>
          <w:spacing w:val="-1"/>
        </w:rPr>
        <w:t> </w:t>
      </w:r>
      <w:r>
        <w:rPr/>
        <w:t>width analysis. As you may recall from Chapter 4, an abnormally wide or narrow value area gives you a great indication of potential price. Therefore, a wide value area typically indicates a trading range or sideways market, while a narrow value area is indicative of a breakout or trending market. When these relationships occur in a daily timeframe, you are typically able to forecast price behavior for an entire month of trading, which is perfect for investors and position traders eager to enter a market that is poised to move. The best part is the fact that this analysis can be done before the first bar of the new data set is even recorded.</w:t>
      </w:r>
    </w:p>
    <w:p>
      <w:pPr>
        <w:pStyle w:val="BodyText"/>
        <w:ind w:left="499" w:right="137" w:firstLine="432"/>
        <w:jc w:val="both"/>
      </w:pPr>
      <w:r>
        <w:rPr/>
        <w:t>Take a look at Figure 9.8, which shows a daily chart of Crude Oil</w:t>
      </w:r>
      <w:r>
        <w:rPr>
          <w:spacing w:val="40"/>
        </w:rPr>
        <w:t> </w:t>
      </w:r>
      <w:r>
        <w:rPr/>
        <w:t>futures with both the static and developing Money Zone levels plotted. The static Money Zone value area for the month of April is quite wide, which essentially forecasted a sideways trading month in this commodity. Getting advanced notice that a month may be a snoozer helps you prepare for this scenario by trading with tight stops and close profit targets, or by staying out of the market completely, which is sometimes the best course of action. However, since the market traded sideways throughout the month of April, the developing Money Zone indicator forecasted a narrow value area for the month of May, which means trending price behavior could be seen. Moreover,</w:t>
      </w:r>
      <w:r>
        <w:rPr>
          <w:spacing w:val="8"/>
        </w:rPr>
        <w:t> </w:t>
      </w:r>
      <w:r>
        <w:rPr/>
        <w:t>the</w:t>
      </w:r>
      <w:r>
        <w:rPr>
          <w:spacing w:val="8"/>
        </w:rPr>
        <w:t> </w:t>
      </w:r>
      <w:r>
        <w:rPr/>
        <w:t>two-month</w:t>
      </w:r>
      <w:r>
        <w:rPr>
          <w:spacing w:val="7"/>
        </w:rPr>
        <w:t> </w:t>
      </w:r>
      <w:r>
        <w:rPr/>
        <w:t>pivot</w:t>
      </w:r>
      <w:r>
        <w:rPr>
          <w:spacing w:val="9"/>
        </w:rPr>
        <w:t> </w:t>
      </w:r>
      <w:r>
        <w:rPr/>
        <w:t>relationship</w:t>
      </w:r>
      <w:r>
        <w:rPr>
          <w:spacing w:val="7"/>
        </w:rPr>
        <w:t> </w:t>
      </w:r>
      <w:r>
        <w:rPr/>
        <w:t>is</w:t>
      </w:r>
      <w:r>
        <w:rPr>
          <w:spacing w:val="8"/>
        </w:rPr>
        <w:t> </w:t>
      </w:r>
      <w:r>
        <w:rPr/>
        <w:t>an</w:t>
      </w:r>
      <w:r>
        <w:rPr>
          <w:spacing w:val="9"/>
        </w:rPr>
        <w:t> </w:t>
      </w:r>
      <w:r>
        <w:rPr/>
        <w:t>Overlapping</w:t>
      </w:r>
      <w:r>
        <w:rPr>
          <w:spacing w:val="8"/>
        </w:rPr>
        <w:t> </w:t>
      </w:r>
      <w:r>
        <w:rPr/>
        <w:t>Higher</w:t>
      </w:r>
      <w:r>
        <w:rPr>
          <w:spacing w:val="8"/>
        </w:rPr>
        <w:t> </w:t>
      </w:r>
      <w:r>
        <w:rPr>
          <w:spacing w:val="-2"/>
        </w:rPr>
        <w:t>Value</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7"/>
        <w:jc w:val="both"/>
      </w:pPr>
      <w:r>
        <w:rPr/>
        <w:t>relationship, which points to a bullish breakout. The stage is now set for big price action, but the market must first demonstrate acceptance of this hypothesis</w:t>
      </w:r>
      <w:r>
        <w:rPr>
          <w:spacing w:val="28"/>
        </w:rPr>
        <w:t> </w:t>
      </w:r>
      <w:r>
        <w:rPr/>
        <w:t>by</w:t>
      </w:r>
      <w:r>
        <w:rPr>
          <w:spacing w:val="28"/>
        </w:rPr>
        <w:t> </w:t>
      </w:r>
      <w:r>
        <w:rPr/>
        <w:t>opening</w:t>
      </w:r>
      <w:r>
        <w:rPr>
          <w:spacing w:val="28"/>
        </w:rPr>
        <w:t> </w:t>
      </w:r>
      <w:r>
        <w:rPr/>
        <w:t>the</w:t>
      </w:r>
      <w:r>
        <w:rPr>
          <w:spacing w:val="29"/>
        </w:rPr>
        <w:t> </w:t>
      </w:r>
      <w:r>
        <w:rPr/>
        <w:t>following</w:t>
      </w:r>
      <w:r>
        <w:rPr>
          <w:spacing w:val="27"/>
        </w:rPr>
        <w:t> </w:t>
      </w:r>
      <w:r>
        <w:rPr/>
        <w:t>month</w:t>
      </w:r>
      <w:r>
        <w:rPr>
          <w:spacing w:val="29"/>
        </w:rPr>
        <w:t> </w:t>
      </w:r>
      <w:r>
        <w:rPr/>
        <w:t>above</w:t>
      </w:r>
      <w:r>
        <w:rPr>
          <w:spacing w:val="29"/>
        </w:rPr>
        <w:t> </w:t>
      </w:r>
      <w:r>
        <w:rPr/>
        <w:t>VAL,</w:t>
      </w:r>
      <w:r>
        <w:rPr>
          <w:spacing w:val="28"/>
        </w:rPr>
        <w:t> </w:t>
      </w:r>
      <w:r>
        <w:rPr/>
        <w:t>which</w:t>
      </w:r>
      <w:r>
        <w:rPr>
          <w:spacing w:val="29"/>
        </w:rPr>
        <w:t> </w:t>
      </w:r>
      <w:r>
        <w:rPr/>
        <w:t>is</w:t>
      </w:r>
      <w:r>
        <w:rPr>
          <w:spacing w:val="29"/>
        </w:rPr>
        <w:t> </w:t>
      </w:r>
      <w:r>
        <w:rPr>
          <w:spacing w:val="-2"/>
        </w:rPr>
        <w:t>roughly</w:t>
      </w:r>
    </w:p>
    <w:p>
      <w:pPr>
        <w:pStyle w:val="BodyText"/>
        <w:spacing w:before="1"/>
        <w:ind w:left="140" w:right="497"/>
        <w:jc w:val="both"/>
      </w:pPr>
      <w:r>
        <w:rPr/>
        <w:t>$48.50. Furthermore, a violation through VAH and the top of the prior month’s price range will need to be seen in order to confirm this opportunity.</w:t>
      </w:r>
    </w:p>
    <w:p>
      <w:pPr>
        <w:pStyle w:val="BodyText"/>
        <w:spacing w:before="1"/>
        <w:rPr>
          <w:sz w:val="20"/>
        </w:rPr>
      </w:pPr>
      <w:r>
        <w:rPr/>
        <w:drawing>
          <wp:anchor distT="0" distB="0" distL="0" distR="0" allowOverlap="1" layoutInCell="1" locked="0" behindDoc="0" simplePos="0" relativeHeight="300">
            <wp:simplePos x="0" y="0"/>
            <wp:positionH relativeFrom="page">
              <wp:posOffset>457200</wp:posOffset>
            </wp:positionH>
            <wp:positionV relativeFrom="paragraph">
              <wp:posOffset>161983</wp:posOffset>
            </wp:positionV>
            <wp:extent cx="4342904" cy="3103054"/>
            <wp:effectExtent l="0" t="0" r="0" b="0"/>
            <wp:wrapTopAndBottom/>
            <wp:docPr id="281" name="image147.png"/>
            <wp:cNvGraphicFramePr>
              <a:graphicFrameLocks noChangeAspect="1"/>
            </wp:cNvGraphicFramePr>
            <a:graphic>
              <a:graphicData uri="http://schemas.openxmlformats.org/drawingml/2006/picture">
                <pic:pic>
                  <pic:nvPicPr>
                    <pic:cNvPr id="282" name="image147.png"/>
                    <pic:cNvPicPr/>
                  </pic:nvPicPr>
                  <pic:blipFill>
                    <a:blip r:embed="rId289"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 9.8:</w:t>
      </w:r>
      <w:r>
        <w:rPr>
          <w:spacing w:val="2"/>
          <w:sz w:val="16"/>
        </w:rPr>
        <w:t> </w:t>
      </w:r>
      <w:r>
        <w:rPr>
          <w:sz w:val="16"/>
        </w:rPr>
        <w:t>The</w:t>
      </w:r>
      <w:r>
        <w:rPr>
          <w:spacing w:val="1"/>
          <w:sz w:val="16"/>
        </w:rPr>
        <w:t> </w:t>
      </w:r>
      <w:r>
        <w:rPr>
          <w:sz w:val="16"/>
        </w:rPr>
        <w:t>Developing</w:t>
      </w:r>
      <w:r>
        <w:rPr>
          <w:spacing w:val="1"/>
          <w:sz w:val="16"/>
        </w:rPr>
        <w:t> </w:t>
      </w:r>
      <w:r>
        <w:rPr>
          <w:sz w:val="16"/>
        </w:rPr>
        <w:t>Money</w:t>
      </w:r>
      <w:r>
        <w:rPr>
          <w:spacing w:val="1"/>
          <w:sz w:val="16"/>
        </w:rPr>
        <w:t> </w:t>
      </w:r>
      <w:r>
        <w:rPr>
          <w:sz w:val="16"/>
        </w:rPr>
        <w:t>Zone indicator</w:t>
      </w:r>
      <w:r>
        <w:rPr>
          <w:spacing w:val="1"/>
          <w:sz w:val="16"/>
        </w:rPr>
        <w:t> </w:t>
      </w:r>
      <w:r>
        <w:rPr>
          <w:sz w:val="16"/>
        </w:rPr>
        <w:t>helps</w:t>
      </w:r>
      <w:r>
        <w:rPr>
          <w:spacing w:val="1"/>
          <w:sz w:val="16"/>
        </w:rPr>
        <w:t> </w:t>
      </w:r>
      <w:r>
        <w:rPr>
          <w:sz w:val="16"/>
        </w:rPr>
        <w:t>us spot</w:t>
      </w:r>
      <w:r>
        <w:rPr>
          <w:spacing w:val="1"/>
          <w:sz w:val="16"/>
        </w:rPr>
        <w:t> </w:t>
      </w:r>
      <w:r>
        <w:rPr>
          <w:sz w:val="16"/>
        </w:rPr>
        <w:t>a narrow</w:t>
      </w:r>
      <w:r>
        <w:rPr>
          <w:spacing w:val="1"/>
          <w:sz w:val="16"/>
        </w:rPr>
        <w:t> </w:t>
      </w:r>
      <w:r>
        <w:rPr>
          <w:sz w:val="16"/>
        </w:rPr>
        <w:t>value</w:t>
      </w:r>
      <w:r>
        <w:rPr>
          <w:spacing w:val="1"/>
          <w:sz w:val="16"/>
        </w:rPr>
        <w:t> </w:t>
      </w:r>
      <w:r>
        <w:rPr>
          <w:spacing w:val="-2"/>
          <w:sz w:val="16"/>
        </w:rPr>
        <w:t>area.</w:t>
      </w:r>
    </w:p>
    <w:p>
      <w:pPr>
        <w:pStyle w:val="BodyText"/>
        <w:spacing w:before="8"/>
        <w:rPr>
          <w:sz w:val="21"/>
        </w:rPr>
      </w:pPr>
    </w:p>
    <w:p>
      <w:pPr>
        <w:pStyle w:val="BodyText"/>
        <w:ind w:left="139" w:right="495" w:firstLine="432"/>
        <w:jc w:val="both"/>
      </w:pPr>
      <w:r>
        <w:rPr/>
        <w:t>Let’s take a look at Figure 9.9 to see how price behavior played out. As it turns out, Crude Oil opened the month of May above VAL and proceeded to break through VAH and the prior month’s high price en route to a major rally</w:t>
      </w:r>
      <w:r>
        <w:rPr>
          <w:spacing w:val="-1"/>
        </w:rPr>
        <w:t> </w:t>
      </w:r>
      <w:r>
        <w:rPr/>
        <w:t>the</w:t>
      </w:r>
      <w:r>
        <w:rPr>
          <w:spacing w:val="-1"/>
        </w:rPr>
        <w:t> </w:t>
      </w:r>
      <w:r>
        <w:rPr/>
        <w:t>rest</w:t>
      </w:r>
      <w:r>
        <w:rPr>
          <w:spacing w:val="-1"/>
        </w:rPr>
        <w:t> </w:t>
      </w:r>
      <w:r>
        <w:rPr/>
        <w:t>of</w:t>
      </w:r>
      <w:r>
        <w:rPr>
          <w:spacing w:val="-1"/>
        </w:rPr>
        <w:t> </w:t>
      </w:r>
      <w:r>
        <w:rPr/>
        <w:t>the month.</w:t>
      </w:r>
      <w:r>
        <w:rPr>
          <w:spacing w:val="-2"/>
        </w:rPr>
        <w:t> </w:t>
      </w:r>
      <w:r>
        <w:rPr/>
        <w:t>The</w:t>
      </w:r>
      <w:r>
        <w:rPr>
          <w:spacing w:val="-1"/>
        </w:rPr>
        <w:t> </w:t>
      </w:r>
      <w:r>
        <w:rPr/>
        <w:t>prior</w:t>
      </w:r>
      <w:r>
        <w:rPr>
          <w:spacing w:val="-1"/>
        </w:rPr>
        <w:t> </w:t>
      </w:r>
      <w:r>
        <w:rPr/>
        <w:t>month’s</w:t>
      </w:r>
      <w:r>
        <w:rPr>
          <w:spacing w:val="-1"/>
        </w:rPr>
        <w:t> </w:t>
      </w:r>
      <w:r>
        <w:rPr/>
        <w:t>consolidation,</w:t>
      </w:r>
      <w:r>
        <w:rPr>
          <w:spacing w:val="-1"/>
        </w:rPr>
        <w:t> </w:t>
      </w:r>
      <w:r>
        <w:rPr/>
        <w:t>coupled</w:t>
      </w:r>
      <w:r>
        <w:rPr>
          <w:spacing w:val="-1"/>
        </w:rPr>
        <w:t> </w:t>
      </w:r>
      <w:r>
        <w:rPr/>
        <w:t>with</w:t>
      </w:r>
      <w:r>
        <w:rPr>
          <w:spacing w:val="-1"/>
        </w:rPr>
        <w:t> </w:t>
      </w:r>
      <w:r>
        <w:rPr/>
        <w:t>the current</w:t>
      </w:r>
      <w:r>
        <w:rPr>
          <w:spacing w:val="-1"/>
        </w:rPr>
        <w:t> </w:t>
      </w:r>
      <w:r>
        <w:rPr/>
        <w:t>month’s</w:t>
      </w:r>
      <w:r>
        <w:rPr>
          <w:spacing w:val="-2"/>
        </w:rPr>
        <w:t> </w:t>
      </w:r>
      <w:r>
        <w:rPr/>
        <w:t>narrow</w:t>
      </w:r>
      <w:r>
        <w:rPr>
          <w:spacing w:val="-1"/>
        </w:rPr>
        <w:t> </w:t>
      </w:r>
      <w:r>
        <w:rPr/>
        <w:t>value</w:t>
      </w:r>
      <w:r>
        <w:rPr>
          <w:spacing w:val="-1"/>
        </w:rPr>
        <w:t> </w:t>
      </w:r>
      <w:r>
        <w:rPr/>
        <w:t>area,</w:t>
      </w:r>
      <w:r>
        <w:rPr>
          <w:spacing w:val="-1"/>
        </w:rPr>
        <w:t> </w:t>
      </w:r>
      <w:r>
        <w:rPr/>
        <w:t>helped</w:t>
      </w:r>
      <w:r>
        <w:rPr>
          <w:spacing w:val="-1"/>
        </w:rPr>
        <w:t> </w:t>
      </w:r>
      <w:r>
        <w:rPr/>
        <w:t>forecast</w:t>
      </w:r>
      <w:r>
        <w:rPr>
          <w:spacing w:val="-1"/>
        </w:rPr>
        <w:t> </w:t>
      </w:r>
      <w:r>
        <w:rPr/>
        <w:t>an</w:t>
      </w:r>
      <w:r>
        <w:rPr>
          <w:spacing w:val="-1"/>
        </w:rPr>
        <w:t> </w:t>
      </w:r>
      <w:r>
        <w:rPr/>
        <w:t>amazing</w:t>
      </w:r>
      <w:r>
        <w:rPr>
          <w:spacing w:val="-1"/>
        </w:rPr>
        <w:t> </w:t>
      </w:r>
      <w:r>
        <w:rPr/>
        <w:t>rally</w:t>
      </w:r>
      <w:r>
        <w:rPr>
          <w:spacing w:val="-2"/>
        </w:rPr>
        <w:t> </w:t>
      </w:r>
      <w:r>
        <w:rPr/>
        <w:t>in</w:t>
      </w:r>
      <w:r>
        <w:rPr>
          <w:spacing w:val="-2"/>
        </w:rPr>
        <w:t> </w:t>
      </w:r>
      <w:r>
        <w:rPr/>
        <w:t>Crude worth over $15 per barrel! Of course, doing your homework allowed you to forecast this major opportunity. This is a perfect example of planning your trade and trading your plan. Create a plan and then let the market prove or disprove your hypothesis. Approaching the market in this manner significantly increases your chances for success.</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49" cy="3068954"/>
            <wp:effectExtent l="0" t="0" r="0" b="0"/>
            <wp:docPr id="283" name="image148.png"/>
            <wp:cNvGraphicFramePr>
              <a:graphicFrameLocks noChangeAspect="1"/>
            </wp:cNvGraphicFramePr>
            <a:graphic>
              <a:graphicData uri="http://schemas.openxmlformats.org/drawingml/2006/picture">
                <pic:pic>
                  <pic:nvPicPr>
                    <pic:cNvPr id="284" name="image148.png"/>
                    <pic:cNvPicPr/>
                  </pic:nvPicPr>
                  <pic:blipFill>
                    <a:blip r:embed="rId290" cstate="print"/>
                    <a:stretch>
                      <a:fillRect/>
                    </a:stretch>
                  </pic:blipFill>
                  <pic:spPr>
                    <a:xfrm>
                      <a:off x="0" y="0"/>
                      <a:ext cx="4304849" cy="3068954"/>
                    </a:xfrm>
                    <a:prstGeom prst="rect">
                      <a:avLst/>
                    </a:prstGeom>
                  </pic:spPr>
                </pic:pic>
              </a:graphicData>
            </a:graphic>
          </wp:inline>
        </w:drawing>
      </w:r>
      <w:r>
        <w:rPr>
          <w:sz w:val="20"/>
        </w:rPr>
      </w:r>
    </w:p>
    <w:p>
      <w:pPr>
        <w:spacing w:before="49"/>
        <w:ind w:left="500" w:right="0" w:firstLine="0"/>
        <w:jc w:val="left"/>
        <w:rPr>
          <w:sz w:val="16"/>
        </w:rPr>
      </w:pPr>
      <w:r>
        <w:rPr>
          <w:sz w:val="16"/>
        </w:rPr>
        <w:t>FIGURE 9.9:</w:t>
      </w:r>
      <w:r>
        <w:rPr>
          <w:spacing w:val="1"/>
          <w:sz w:val="16"/>
        </w:rPr>
        <w:t> </w:t>
      </w:r>
      <w:r>
        <w:rPr>
          <w:sz w:val="16"/>
        </w:rPr>
        <w:t>Crude</w:t>
      </w:r>
      <w:r>
        <w:rPr>
          <w:spacing w:val="1"/>
          <w:sz w:val="16"/>
        </w:rPr>
        <w:t> </w:t>
      </w:r>
      <w:r>
        <w:rPr>
          <w:sz w:val="16"/>
        </w:rPr>
        <w:t>Oil responds</w:t>
      </w:r>
      <w:r>
        <w:rPr>
          <w:spacing w:val="1"/>
          <w:sz w:val="16"/>
        </w:rPr>
        <w:t> </w:t>
      </w:r>
      <w:r>
        <w:rPr>
          <w:sz w:val="16"/>
        </w:rPr>
        <w:t>to</w:t>
      </w:r>
      <w:r>
        <w:rPr>
          <w:spacing w:val="1"/>
          <w:sz w:val="16"/>
        </w:rPr>
        <w:t> </w:t>
      </w:r>
      <w:r>
        <w:rPr>
          <w:sz w:val="16"/>
        </w:rPr>
        <w:t>both wide</w:t>
      </w:r>
      <w:r>
        <w:rPr>
          <w:spacing w:val="1"/>
          <w:sz w:val="16"/>
        </w:rPr>
        <w:t> </w:t>
      </w:r>
      <w:r>
        <w:rPr>
          <w:sz w:val="16"/>
        </w:rPr>
        <w:t>and</w:t>
      </w:r>
      <w:r>
        <w:rPr>
          <w:spacing w:val="1"/>
          <w:sz w:val="16"/>
        </w:rPr>
        <w:t> </w:t>
      </w:r>
      <w:r>
        <w:rPr>
          <w:sz w:val="16"/>
        </w:rPr>
        <w:t>narrow Money</w:t>
      </w:r>
      <w:r>
        <w:rPr>
          <w:spacing w:val="2"/>
          <w:sz w:val="16"/>
        </w:rPr>
        <w:t> </w:t>
      </w:r>
      <w:r>
        <w:rPr>
          <w:sz w:val="16"/>
        </w:rPr>
        <w:t>Zone</w:t>
      </w:r>
      <w:r>
        <w:rPr>
          <w:spacing w:val="1"/>
          <w:sz w:val="16"/>
        </w:rPr>
        <w:t> </w:t>
      </w:r>
      <w:r>
        <w:rPr>
          <w:spacing w:val="-2"/>
          <w:sz w:val="16"/>
        </w:rPr>
        <w:t>levels.</w:t>
      </w:r>
    </w:p>
    <w:p>
      <w:pPr>
        <w:pStyle w:val="BodyText"/>
        <w:spacing w:before="1"/>
      </w:pPr>
    </w:p>
    <w:p>
      <w:pPr>
        <w:pStyle w:val="BodyText"/>
        <w:ind w:left="500" w:right="135" w:firstLine="432"/>
        <w:jc w:val="both"/>
      </w:pPr>
      <w:r>
        <w:rPr/>
        <w:t>A narrow Money Zone value area can be extremely powerful in and of itself. But this concept is improved when it coincides with an Inside Value relationship, as seen in Figure 9.10, which is a daily chart of the GBP/USD forex pair. The Money Zone value area for February 2010 was narrow and also developed within the prior month’s value area, which is indicative of a major breakout opportunity. Add to this the fact that this relationship formed in the midst of a downtrend and you have the makings for a bearish breakout opportunity, which the market must now prove. If the market opens the month</w:t>
      </w:r>
      <w:r>
        <w:rPr>
          <w:spacing w:val="-1"/>
        </w:rPr>
        <w:t> </w:t>
      </w:r>
      <w:r>
        <w:rPr/>
        <w:t>below VAH and</w:t>
      </w:r>
      <w:r>
        <w:rPr>
          <w:spacing w:val="-1"/>
        </w:rPr>
        <w:t> </w:t>
      </w:r>
      <w:r>
        <w:rPr/>
        <w:t>breaks</w:t>
      </w:r>
      <w:r>
        <w:rPr>
          <w:spacing w:val="-1"/>
        </w:rPr>
        <w:t> </w:t>
      </w:r>
      <w:r>
        <w:rPr/>
        <w:t>through</w:t>
      </w:r>
      <w:r>
        <w:rPr>
          <w:spacing w:val="-2"/>
        </w:rPr>
        <w:t> </w:t>
      </w:r>
      <w:r>
        <w:rPr/>
        <w:t>VAL,</w:t>
      </w:r>
      <w:r>
        <w:rPr>
          <w:spacing w:val="-1"/>
        </w:rPr>
        <w:t> </w:t>
      </w:r>
      <w:r>
        <w:rPr/>
        <w:t>a sizeable</w:t>
      </w:r>
      <w:r>
        <w:rPr>
          <w:spacing w:val="-1"/>
        </w:rPr>
        <w:t> </w:t>
      </w:r>
      <w:r>
        <w:rPr/>
        <w:t>breakout</w:t>
      </w:r>
      <w:r>
        <w:rPr>
          <w:spacing w:val="-1"/>
        </w:rPr>
        <w:t> </w:t>
      </w:r>
      <w:r>
        <w:rPr/>
        <w:t>opportunity could be seen. In this case, price actually opened the month below VAL, which confirmed bearish conviction. A pull-back to VAL or a violation through the prior month’s low price can both trigger short entries in this scenario. Regardless of your entry technique, a major decline followed,</w:t>
      </w:r>
      <w:r>
        <w:rPr>
          <w:spacing w:val="40"/>
        </w:rPr>
        <w:t> </w:t>
      </w:r>
      <w:r>
        <w:rPr/>
        <w:t>which</w:t>
      </w:r>
      <w:r>
        <w:rPr>
          <w:spacing w:val="-2"/>
        </w:rPr>
        <w:t> </w:t>
      </w:r>
      <w:r>
        <w:rPr/>
        <w:t>was</w:t>
      </w:r>
      <w:r>
        <w:rPr>
          <w:spacing w:val="-1"/>
        </w:rPr>
        <w:t> </w:t>
      </w:r>
      <w:r>
        <w:rPr/>
        <w:t>easily</w:t>
      </w:r>
      <w:r>
        <w:rPr>
          <w:spacing w:val="-2"/>
        </w:rPr>
        <w:t> </w:t>
      </w:r>
      <w:r>
        <w:rPr/>
        <w:t>forecasted</w:t>
      </w:r>
      <w:r>
        <w:rPr>
          <w:spacing w:val="-2"/>
        </w:rPr>
        <w:t> </w:t>
      </w:r>
      <w:r>
        <w:rPr/>
        <w:t>by</w:t>
      </w:r>
      <w:r>
        <w:rPr>
          <w:spacing w:val="-2"/>
        </w:rPr>
        <w:t> </w:t>
      </w:r>
      <w:r>
        <w:rPr/>
        <w:t>doing</w:t>
      </w:r>
      <w:r>
        <w:rPr>
          <w:spacing w:val="-3"/>
        </w:rPr>
        <w:t> </w:t>
      </w:r>
      <w:r>
        <w:rPr/>
        <w:t>our</w:t>
      </w:r>
      <w:r>
        <w:rPr>
          <w:spacing w:val="-2"/>
        </w:rPr>
        <w:t> </w:t>
      </w:r>
      <w:r>
        <w:rPr/>
        <w:t>homework</w:t>
      </w:r>
      <w:r>
        <w:rPr>
          <w:spacing w:val="-2"/>
        </w:rPr>
        <w:t> </w:t>
      </w:r>
      <w:r>
        <w:rPr/>
        <w:t>and</w:t>
      </w:r>
      <w:r>
        <w:rPr>
          <w:spacing w:val="-2"/>
        </w:rPr>
        <w:t> </w:t>
      </w:r>
      <w:r>
        <w:rPr/>
        <w:t>allowing</w:t>
      </w:r>
      <w:r>
        <w:rPr>
          <w:spacing w:val="-2"/>
        </w:rPr>
        <w:t> </w:t>
      </w:r>
      <w:r>
        <w:rPr/>
        <w:t>the</w:t>
      </w:r>
      <w:r>
        <w:rPr>
          <w:spacing w:val="-1"/>
        </w:rPr>
        <w:t> </w:t>
      </w:r>
      <w:r>
        <w:rPr/>
        <w:t>market to dictate acceptance or rejection of our hypothesis.</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49" cy="3068954"/>
            <wp:effectExtent l="0" t="0" r="0" b="0"/>
            <wp:docPr id="285" name="image149.png"/>
            <wp:cNvGraphicFramePr>
              <a:graphicFrameLocks noChangeAspect="1"/>
            </wp:cNvGraphicFramePr>
            <a:graphic>
              <a:graphicData uri="http://schemas.openxmlformats.org/drawingml/2006/picture">
                <pic:pic>
                  <pic:nvPicPr>
                    <pic:cNvPr id="286" name="image149.png"/>
                    <pic:cNvPicPr/>
                  </pic:nvPicPr>
                  <pic:blipFill>
                    <a:blip r:embed="rId291" cstate="print"/>
                    <a:stretch>
                      <a:fillRect/>
                    </a:stretch>
                  </pic:blipFill>
                  <pic:spPr>
                    <a:xfrm>
                      <a:off x="0" y="0"/>
                      <a:ext cx="4304849" cy="3068954"/>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1"/>
          <w:sz w:val="16"/>
        </w:rPr>
        <w:t> </w:t>
      </w:r>
      <w:r>
        <w:rPr>
          <w:sz w:val="16"/>
        </w:rPr>
        <w:t>9.10: A</w:t>
      </w:r>
      <w:r>
        <w:rPr>
          <w:spacing w:val="3"/>
          <w:sz w:val="16"/>
        </w:rPr>
        <w:t> </w:t>
      </w:r>
      <w:r>
        <w:rPr>
          <w:sz w:val="16"/>
        </w:rPr>
        <w:t>two-month</w:t>
      </w:r>
      <w:r>
        <w:rPr>
          <w:spacing w:val="-1"/>
          <w:sz w:val="16"/>
        </w:rPr>
        <w:t> </w:t>
      </w:r>
      <w:r>
        <w:rPr>
          <w:sz w:val="16"/>
        </w:rPr>
        <w:t>Inside</w:t>
      </w:r>
      <w:r>
        <w:rPr>
          <w:spacing w:val="1"/>
          <w:sz w:val="16"/>
        </w:rPr>
        <w:t> </w:t>
      </w:r>
      <w:r>
        <w:rPr>
          <w:sz w:val="16"/>
        </w:rPr>
        <w:t>Value relationship</w:t>
      </w:r>
      <w:r>
        <w:rPr>
          <w:spacing w:val="-2"/>
          <w:sz w:val="16"/>
        </w:rPr>
        <w:t> </w:t>
      </w:r>
      <w:r>
        <w:rPr>
          <w:sz w:val="16"/>
        </w:rPr>
        <w:t>helps identify a breakout</w:t>
      </w:r>
      <w:r>
        <w:rPr>
          <w:spacing w:val="-1"/>
          <w:sz w:val="16"/>
        </w:rPr>
        <w:t> </w:t>
      </w:r>
      <w:r>
        <w:rPr>
          <w:sz w:val="16"/>
        </w:rPr>
        <w:t>in </w:t>
      </w:r>
      <w:r>
        <w:rPr>
          <w:spacing w:val="-2"/>
          <w:sz w:val="16"/>
        </w:rPr>
        <w:t>GBP/USD</w:t>
      </w:r>
    </w:p>
    <w:p>
      <w:pPr>
        <w:pStyle w:val="BodyText"/>
        <w:spacing w:before="1"/>
      </w:pPr>
    </w:p>
    <w:p>
      <w:pPr>
        <w:pStyle w:val="BodyText"/>
        <w:ind w:left="140" w:right="496" w:firstLine="719"/>
        <w:jc w:val="both"/>
      </w:pPr>
      <w:r>
        <w:rPr/>
        <w:t>As you are now aware, narrow pivots and trending markets usually pave the way for wide pivots and trading range markets. It is extremely important to formulate an opinion on potential price behavior based on this analysis. Knowing that trending behavior will likely lead to trading range price activity allows you to prepare properly for this type of trading environment using the right tools and approach. Having a plan of action</w:t>
      </w:r>
      <w:r>
        <w:rPr>
          <w:spacing w:val="40"/>
        </w:rPr>
        <w:t> </w:t>
      </w:r>
      <w:r>
        <w:rPr/>
        <w:t>gives you a blueprint to trading the market.</w:t>
      </w:r>
    </w:p>
    <w:p>
      <w:pPr>
        <w:pStyle w:val="BodyText"/>
        <w:spacing w:before="1"/>
        <w:ind w:left="140" w:right="495" w:firstLine="432"/>
        <w:jc w:val="both"/>
      </w:pPr>
      <w:r>
        <w:rPr/>
        <w:t>Take</w:t>
      </w:r>
      <w:r>
        <w:rPr>
          <w:spacing w:val="-1"/>
        </w:rPr>
        <w:t> </w:t>
      </w:r>
      <w:r>
        <w:rPr/>
        <w:t>a</w:t>
      </w:r>
      <w:r>
        <w:rPr>
          <w:spacing w:val="-1"/>
        </w:rPr>
        <w:t> </w:t>
      </w:r>
      <w:r>
        <w:rPr/>
        <w:t>look</w:t>
      </w:r>
      <w:r>
        <w:rPr>
          <w:spacing w:val="-2"/>
        </w:rPr>
        <w:t> </w:t>
      </w:r>
      <w:r>
        <w:rPr/>
        <w:t>at</w:t>
      </w:r>
      <w:r>
        <w:rPr>
          <w:spacing w:val="-1"/>
        </w:rPr>
        <w:t> </w:t>
      </w:r>
      <w:r>
        <w:rPr/>
        <w:t>Figure</w:t>
      </w:r>
      <w:r>
        <w:rPr>
          <w:spacing w:val="-2"/>
        </w:rPr>
        <w:t> </w:t>
      </w:r>
      <w:r>
        <w:rPr/>
        <w:t>9.11,</w:t>
      </w:r>
      <w:r>
        <w:rPr>
          <w:spacing w:val="-2"/>
        </w:rPr>
        <w:t> </w:t>
      </w:r>
      <w:r>
        <w:rPr/>
        <w:t>which</w:t>
      </w:r>
      <w:r>
        <w:rPr>
          <w:spacing w:val="-1"/>
        </w:rPr>
        <w:t> </w:t>
      </w:r>
      <w:r>
        <w:rPr/>
        <w:t>shows</w:t>
      </w:r>
      <w:r>
        <w:rPr>
          <w:spacing w:val="-1"/>
        </w:rPr>
        <w:t> </w:t>
      </w:r>
      <w:r>
        <w:rPr/>
        <w:t>a</w:t>
      </w:r>
      <w:r>
        <w:rPr>
          <w:spacing w:val="-1"/>
        </w:rPr>
        <w:t> </w:t>
      </w:r>
      <w:r>
        <w:rPr/>
        <w:t>daily</w:t>
      </w:r>
      <w:r>
        <w:rPr>
          <w:spacing w:val="-1"/>
        </w:rPr>
        <w:t> </w:t>
      </w:r>
      <w:r>
        <w:rPr/>
        <w:t>chart</w:t>
      </w:r>
      <w:r>
        <w:rPr>
          <w:spacing w:val="-2"/>
        </w:rPr>
        <w:t> </w:t>
      </w:r>
      <w:r>
        <w:rPr/>
        <w:t>of</w:t>
      </w:r>
      <w:r>
        <w:rPr>
          <w:spacing w:val="-1"/>
        </w:rPr>
        <w:t> </w:t>
      </w:r>
      <w:r>
        <w:rPr/>
        <w:t>First</w:t>
      </w:r>
      <w:r>
        <w:rPr>
          <w:spacing w:val="-1"/>
        </w:rPr>
        <w:t> </w:t>
      </w:r>
      <w:r>
        <w:rPr/>
        <w:t>Solar,</w:t>
      </w:r>
      <w:r>
        <w:rPr>
          <w:spacing w:val="-2"/>
        </w:rPr>
        <w:t> </w:t>
      </w:r>
      <w:r>
        <w:rPr/>
        <w:t>Inc. Notice that price trended higher throughout the month of September 2009, which led to a wide third layer of the Camarilla pivots. Given the wide range of price movement in September and the unusually wide nature of the third layer of the pivots forecasted trading range behavior for October, which turned out to be the case. As you recall from Chapter 8, the Camarilla pivots offer</w:t>
      </w:r>
      <w:r>
        <w:rPr>
          <w:spacing w:val="-2"/>
        </w:rPr>
        <w:t> </w:t>
      </w:r>
      <w:r>
        <w:rPr/>
        <w:t>perhaps</w:t>
      </w:r>
      <w:r>
        <w:rPr>
          <w:spacing w:val="-1"/>
        </w:rPr>
        <w:t> </w:t>
      </w:r>
      <w:r>
        <w:rPr/>
        <w:t>the</w:t>
      </w:r>
      <w:r>
        <w:rPr>
          <w:spacing w:val="-2"/>
        </w:rPr>
        <w:t> </w:t>
      </w:r>
      <w:r>
        <w:rPr/>
        <w:t>best</w:t>
      </w:r>
      <w:r>
        <w:rPr>
          <w:spacing w:val="-1"/>
        </w:rPr>
        <w:t> </w:t>
      </w:r>
      <w:r>
        <w:rPr/>
        <w:t>method</w:t>
      </w:r>
      <w:r>
        <w:rPr>
          <w:spacing w:val="-2"/>
        </w:rPr>
        <w:t> </w:t>
      </w:r>
      <w:r>
        <w:rPr/>
        <w:t>for</w:t>
      </w:r>
      <w:r>
        <w:rPr>
          <w:spacing w:val="-2"/>
        </w:rPr>
        <w:t> </w:t>
      </w:r>
      <w:r>
        <w:rPr/>
        <w:t>trading</w:t>
      </w:r>
      <w:r>
        <w:rPr>
          <w:spacing w:val="-3"/>
        </w:rPr>
        <w:t> </w:t>
      </w:r>
      <w:r>
        <w:rPr/>
        <w:t>a</w:t>
      </w:r>
      <w:r>
        <w:rPr>
          <w:spacing w:val="-2"/>
        </w:rPr>
        <w:t> </w:t>
      </w:r>
      <w:r>
        <w:rPr/>
        <w:t>range</w:t>
      </w:r>
      <w:r>
        <w:rPr>
          <w:spacing w:val="-1"/>
        </w:rPr>
        <w:t> </w:t>
      </w:r>
      <w:r>
        <w:rPr/>
        <w:t>market,</w:t>
      </w:r>
      <w:r>
        <w:rPr>
          <w:spacing w:val="-2"/>
        </w:rPr>
        <w:t> </w:t>
      </w:r>
      <w:r>
        <w:rPr/>
        <w:t>as</w:t>
      </w:r>
      <w:r>
        <w:rPr>
          <w:spacing w:val="-2"/>
        </w:rPr>
        <w:t> </w:t>
      </w:r>
      <w:r>
        <w:rPr/>
        <w:t>the</w:t>
      </w:r>
      <w:r>
        <w:rPr>
          <w:spacing w:val="-1"/>
        </w:rPr>
        <w:t> </w:t>
      </w:r>
      <w:r>
        <w:rPr/>
        <w:t>hidden</w:t>
      </w:r>
      <w:r>
        <w:rPr>
          <w:spacing w:val="-2"/>
        </w:rPr>
        <w:t> </w:t>
      </w:r>
      <w:r>
        <w:rPr/>
        <w:t>layers of</w:t>
      </w:r>
      <w:r>
        <w:rPr>
          <w:spacing w:val="-2"/>
        </w:rPr>
        <w:t> </w:t>
      </w:r>
      <w:r>
        <w:rPr/>
        <w:t>the</w:t>
      </w:r>
      <w:r>
        <w:rPr>
          <w:spacing w:val="-2"/>
        </w:rPr>
        <w:t> </w:t>
      </w:r>
      <w:r>
        <w:rPr/>
        <w:t>indicator</w:t>
      </w:r>
      <w:r>
        <w:rPr>
          <w:spacing w:val="-2"/>
        </w:rPr>
        <w:t> </w:t>
      </w:r>
      <w:r>
        <w:rPr/>
        <w:t>prove</w:t>
      </w:r>
      <w:r>
        <w:rPr>
          <w:spacing w:val="-2"/>
        </w:rPr>
        <w:t> </w:t>
      </w:r>
      <w:r>
        <w:rPr/>
        <w:t>to</w:t>
      </w:r>
      <w:r>
        <w:rPr>
          <w:spacing w:val="-3"/>
        </w:rPr>
        <w:t> </w:t>
      </w:r>
      <w:r>
        <w:rPr/>
        <w:t>be</w:t>
      </w:r>
      <w:r>
        <w:rPr>
          <w:spacing w:val="-2"/>
        </w:rPr>
        <w:t> </w:t>
      </w:r>
      <w:r>
        <w:rPr/>
        <w:t>extremely</w:t>
      </w:r>
      <w:r>
        <w:rPr>
          <w:spacing w:val="-2"/>
        </w:rPr>
        <w:t> </w:t>
      </w:r>
      <w:r>
        <w:rPr/>
        <w:t>useful.</w:t>
      </w:r>
      <w:r>
        <w:rPr>
          <w:spacing w:val="-3"/>
        </w:rPr>
        <w:t> </w:t>
      </w:r>
      <w:r>
        <w:rPr/>
        <w:t>Furthermore,</w:t>
      </w:r>
      <w:r>
        <w:rPr>
          <w:spacing w:val="-2"/>
        </w:rPr>
        <w:t> </w:t>
      </w:r>
      <w:r>
        <w:rPr/>
        <w:t>drilling</w:t>
      </w:r>
      <w:r>
        <w:rPr>
          <w:spacing w:val="-3"/>
        </w:rPr>
        <w:t> </w:t>
      </w:r>
      <w:r>
        <w:rPr/>
        <w:t>down</w:t>
      </w:r>
      <w:r>
        <w:rPr>
          <w:spacing w:val="-2"/>
        </w:rPr>
        <w:t> </w:t>
      </w:r>
      <w:r>
        <w:rPr/>
        <w:t>into an intraday timeframe and playing the moves based off the monthly pivot levels gives swing traders a lot of firepower during this type of trading range </w:t>
      </w:r>
      <w:r>
        <w:rPr>
          <w:spacing w:val="-2"/>
        </w:rPr>
        <w:t>market.</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287" name="image150.png"/>
            <wp:cNvGraphicFramePr>
              <a:graphicFrameLocks noChangeAspect="1"/>
            </wp:cNvGraphicFramePr>
            <a:graphic>
              <a:graphicData uri="http://schemas.openxmlformats.org/drawingml/2006/picture">
                <pic:pic>
                  <pic:nvPicPr>
                    <pic:cNvPr id="288" name="image150.png"/>
                    <pic:cNvPicPr/>
                  </pic:nvPicPr>
                  <pic:blipFill>
                    <a:blip r:embed="rId292"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9.11: A</w:t>
      </w:r>
      <w:r>
        <w:rPr>
          <w:spacing w:val="3"/>
          <w:sz w:val="16"/>
        </w:rPr>
        <w:t> </w:t>
      </w:r>
      <w:r>
        <w:rPr>
          <w:sz w:val="16"/>
        </w:rPr>
        <w:t>wide price</w:t>
      </w:r>
      <w:r>
        <w:rPr>
          <w:spacing w:val="1"/>
          <w:sz w:val="16"/>
        </w:rPr>
        <w:t> </w:t>
      </w:r>
      <w:r>
        <w:rPr>
          <w:sz w:val="16"/>
        </w:rPr>
        <w:t>range in</w:t>
      </w:r>
      <w:r>
        <w:rPr>
          <w:spacing w:val="-1"/>
          <w:sz w:val="16"/>
        </w:rPr>
        <w:t> </w:t>
      </w:r>
      <w:r>
        <w:rPr>
          <w:sz w:val="16"/>
        </w:rPr>
        <w:t>September</w:t>
      </w:r>
      <w:r>
        <w:rPr>
          <w:spacing w:val="1"/>
          <w:sz w:val="16"/>
        </w:rPr>
        <w:t> </w:t>
      </w:r>
      <w:r>
        <w:rPr>
          <w:sz w:val="16"/>
        </w:rPr>
        <w:t>leads</w:t>
      </w:r>
      <w:r>
        <w:rPr>
          <w:spacing w:val="1"/>
          <w:sz w:val="16"/>
        </w:rPr>
        <w:t> </w:t>
      </w:r>
      <w:r>
        <w:rPr>
          <w:sz w:val="16"/>
        </w:rPr>
        <w:t>to wide pivots for</w:t>
      </w:r>
      <w:r>
        <w:rPr>
          <w:spacing w:val="-1"/>
          <w:sz w:val="16"/>
        </w:rPr>
        <w:t> </w:t>
      </w:r>
      <w:r>
        <w:rPr>
          <w:sz w:val="16"/>
        </w:rPr>
        <w:t>October in </w:t>
      </w:r>
      <w:r>
        <w:rPr>
          <w:spacing w:val="-2"/>
          <w:sz w:val="16"/>
        </w:rPr>
        <w:t>FSLR.</w:t>
      </w:r>
    </w:p>
    <w:p>
      <w:pPr>
        <w:pStyle w:val="BodyText"/>
        <w:spacing w:before="2"/>
      </w:pPr>
    </w:p>
    <w:p>
      <w:pPr>
        <w:pStyle w:val="BodyText"/>
        <w:ind w:left="500" w:right="136" w:firstLine="719"/>
        <w:jc w:val="both"/>
      </w:pPr>
      <w:r>
        <w:rPr/>
        <w:t>Figure 9.12 shows a sixty-minute chart of First Solar, Inc. during the month of October. Since the wide nature of the third layer of the Cams indicated trading range behavior during this month, the hidden layers of the indicator have been exposed. Notice that every significant reversal during</w:t>
      </w:r>
      <w:r>
        <w:rPr>
          <w:spacing w:val="40"/>
        </w:rPr>
        <w:t> </w:t>
      </w:r>
      <w:r>
        <w:rPr/>
        <w:t>this month occurred off the hidden layers of the indicator. While H2 and L2 each signaled key reversal points in the chart, H1 and L1 got the bulk of the action. These levels easily helped to forecast two- to three-day moves in the market, which is perfect for swing traders.</w:t>
      </w:r>
    </w:p>
    <w:p>
      <w:pPr>
        <w:pStyle w:val="BodyText"/>
        <w:ind w:left="500" w:right="136" w:firstLine="719"/>
        <w:jc w:val="both"/>
      </w:pPr>
      <w:r>
        <w:rPr/>
        <w:t>This chart also demonstrates an important concept: higher timeframe pivots can be played in all timeframes, not just the originating timeframe. Therefore, yearly pivots can be played in all timeframes from intraday to weekly, while monthly pivots can be used in intraday and daily charts. This concept allows you to drill down and find extremely precise entry points when playing the pivots.</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49" cy="3068954"/>
            <wp:effectExtent l="0" t="0" r="0" b="0"/>
            <wp:docPr id="289" name="image151.png"/>
            <wp:cNvGraphicFramePr>
              <a:graphicFrameLocks noChangeAspect="1"/>
            </wp:cNvGraphicFramePr>
            <a:graphic>
              <a:graphicData uri="http://schemas.openxmlformats.org/drawingml/2006/picture">
                <pic:pic>
                  <pic:nvPicPr>
                    <pic:cNvPr id="290" name="image151.png"/>
                    <pic:cNvPicPr/>
                  </pic:nvPicPr>
                  <pic:blipFill>
                    <a:blip r:embed="rId293" cstate="print"/>
                    <a:stretch>
                      <a:fillRect/>
                    </a:stretch>
                  </pic:blipFill>
                  <pic:spPr>
                    <a:xfrm>
                      <a:off x="0" y="0"/>
                      <a:ext cx="4304849" cy="3068954"/>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1"/>
          <w:sz w:val="16"/>
        </w:rPr>
        <w:t> </w:t>
      </w:r>
      <w:r>
        <w:rPr>
          <w:sz w:val="16"/>
        </w:rPr>
        <w:t>9.12:</w:t>
      </w:r>
      <w:r>
        <w:rPr>
          <w:spacing w:val="2"/>
          <w:sz w:val="16"/>
        </w:rPr>
        <w:t> </w:t>
      </w:r>
      <w:r>
        <w:rPr>
          <w:sz w:val="16"/>
        </w:rPr>
        <w:t>Dropping</w:t>
      </w:r>
      <w:r>
        <w:rPr>
          <w:spacing w:val="2"/>
          <w:sz w:val="16"/>
        </w:rPr>
        <w:t> </w:t>
      </w:r>
      <w:r>
        <w:rPr>
          <w:sz w:val="16"/>
        </w:rPr>
        <w:t>down</w:t>
      </w:r>
      <w:r>
        <w:rPr>
          <w:spacing w:val="2"/>
          <w:sz w:val="16"/>
        </w:rPr>
        <w:t> </w:t>
      </w:r>
      <w:r>
        <w:rPr>
          <w:sz w:val="16"/>
        </w:rPr>
        <w:t>in</w:t>
      </w:r>
      <w:r>
        <w:rPr>
          <w:spacing w:val="2"/>
          <w:sz w:val="16"/>
        </w:rPr>
        <w:t> </w:t>
      </w:r>
      <w:r>
        <w:rPr>
          <w:sz w:val="16"/>
        </w:rPr>
        <w:t>timeframe</w:t>
      </w:r>
      <w:r>
        <w:rPr>
          <w:spacing w:val="2"/>
          <w:sz w:val="16"/>
        </w:rPr>
        <w:t> </w:t>
      </w:r>
      <w:r>
        <w:rPr>
          <w:sz w:val="16"/>
        </w:rPr>
        <w:t>to</w:t>
      </w:r>
      <w:r>
        <w:rPr>
          <w:spacing w:val="2"/>
          <w:sz w:val="16"/>
        </w:rPr>
        <w:t> </w:t>
      </w:r>
      <w:r>
        <w:rPr>
          <w:sz w:val="16"/>
        </w:rPr>
        <w:t>play</w:t>
      </w:r>
      <w:r>
        <w:rPr>
          <w:spacing w:val="2"/>
          <w:sz w:val="16"/>
        </w:rPr>
        <w:t> </w:t>
      </w:r>
      <w:r>
        <w:rPr>
          <w:sz w:val="16"/>
        </w:rPr>
        <w:t>the</w:t>
      </w:r>
      <w:r>
        <w:rPr>
          <w:spacing w:val="3"/>
          <w:sz w:val="16"/>
        </w:rPr>
        <w:t> </w:t>
      </w:r>
      <w:r>
        <w:rPr>
          <w:sz w:val="16"/>
        </w:rPr>
        <w:t>monthly</w:t>
      </w:r>
      <w:r>
        <w:rPr>
          <w:spacing w:val="2"/>
          <w:sz w:val="16"/>
        </w:rPr>
        <w:t> </w:t>
      </w:r>
      <w:r>
        <w:rPr>
          <w:spacing w:val="-2"/>
          <w:sz w:val="16"/>
        </w:rPr>
        <w:t>pivots</w:t>
      </w:r>
    </w:p>
    <w:p>
      <w:pPr>
        <w:pStyle w:val="BodyText"/>
      </w:pPr>
    </w:p>
    <w:p>
      <w:pPr>
        <w:pStyle w:val="Heading3"/>
        <w:spacing w:before="1"/>
      </w:pPr>
      <w:r>
        <w:rPr/>
        <w:pict>
          <v:shape style="position:absolute;margin-left:36.779999pt;margin-top:18.340302pt;width:341pt;height:.1pt;mso-position-horizontal-relative:page;mso-position-vertical-relative:paragraph;z-index:-15574528;mso-wrap-distance-left:0;mso-wrap-distance-right:0" id="docshape837" coordorigin="736,367" coordsize="6820,0" path="m736,367l7555,367e" filled="false" stroked="true" strokeweight=".75pt" strokecolor="#000000">
            <v:path arrowok="t"/>
            <v:stroke dashstyle="solid"/>
            <w10:wrap type="topAndBottom"/>
          </v:shape>
        </w:pict>
      </w:r>
      <w:bookmarkStart w:name="_TOC_250016" w:id="75"/>
      <w:r>
        <w:rPr>
          <w:smallCaps/>
        </w:rPr>
        <w:t>Long</w:t>
      </w:r>
      <w:r>
        <w:rPr>
          <w:smallCaps/>
          <w:spacing w:val="-8"/>
        </w:rPr>
        <w:t> </w:t>
      </w:r>
      <w:r>
        <w:rPr>
          <w:smallCaps/>
        </w:rPr>
        <w:t>Term</w:t>
      </w:r>
      <w:r>
        <w:rPr>
          <w:smallCaps/>
          <w:spacing w:val="-7"/>
        </w:rPr>
        <w:t> </w:t>
      </w:r>
      <w:r>
        <w:rPr>
          <w:smallCaps/>
        </w:rPr>
        <w:t>Pivot</w:t>
      </w:r>
      <w:r>
        <w:rPr>
          <w:smallCaps/>
          <w:spacing w:val="-11"/>
        </w:rPr>
        <w:t> </w:t>
      </w:r>
      <w:r>
        <w:rPr>
          <w:smallCaps/>
        </w:rPr>
        <w:t>Trend</w:t>
      </w:r>
      <w:r>
        <w:rPr>
          <w:smallCaps/>
          <w:spacing w:val="-8"/>
        </w:rPr>
        <w:t> </w:t>
      </w:r>
      <w:bookmarkEnd w:id="75"/>
      <w:r>
        <w:rPr>
          <w:smallCaps/>
          <w:spacing w:val="-2"/>
        </w:rPr>
        <w:t>Analysis</w:t>
      </w:r>
    </w:p>
    <w:p>
      <w:pPr>
        <w:pStyle w:val="BodyText"/>
        <w:spacing w:before="203"/>
        <w:ind w:left="139" w:right="496" w:firstLine="432"/>
        <w:jc w:val="both"/>
      </w:pPr>
      <w:r>
        <w:rPr/>
        <w:t>Investors and position traders will find that long-term pivot trend analysis offers amazing opportunities to profit during trending markets, whether you are using Floor Pivots, the Money Zone, or the Camarilla Equation. In an established trend, the pivots act as a police barricade that keeps the crowd moving in a desired direction. That is, once an established trend has formed, the pivots act as support in an uptrend, and resistance in a downtrend, offering excellent opportunities to buy the dips and sell the rips. The pivots help you pinpoint precise pull-back entry zones during these trends, allowing you to enter the market when the smart money does. Important pivot relationships, like Higher Value, Overlapping Higher Value, Lower</w:t>
      </w:r>
      <w:r>
        <w:rPr>
          <w:spacing w:val="-1"/>
        </w:rPr>
        <w:t> </w:t>
      </w:r>
      <w:r>
        <w:rPr/>
        <w:t>Value, and</w:t>
      </w:r>
      <w:r>
        <w:rPr>
          <w:spacing w:val="-1"/>
        </w:rPr>
        <w:t> </w:t>
      </w:r>
      <w:r>
        <w:rPr/>
        <w:t>Overlapping</w:t>
      </w:r>
      <w:r>
        <w:rPr>
          <w:spacing w:val="-2"/>
        </w:rPr>
        <w:t> </w:t>
      </w:r>
      <w:r>
        <w:rPr/>
        <w:t>Lower</w:t>
      </w:r>
      <w:r>
        <w:rPr>
          <w:spacing w:val="-2"/>
        </w:rPr>
        <w:t> </w:t>
      </w:r>
      <w:r>
        <w:rPr/>
        <w:t>Value</w:t>
      </w:r>
      <w:r>
        <w:rPr>
          <w:spacing w:val="-1"/>
        </w:rPr>
        <w:t> </w:t>
      </w:r>
      <w:r>
        <w:rPr/>
        <w:t>relationships</w:t>
      </w:r>
      <w:r>
        <w:rPr>
          <w:spacing w:val="-1"/>
        </w:rPr>
        <w:t> </w:t>
      </w:r>
      <w:r>
        <w:rPr/>
        <w:t>play</w:t>
      </w:r>
      <w:r>
        <w:rPr>
          <w:spacing w:val="-2"/>
        </w:rPr>
        <w:t> </w:t>
      </w:r>
      <w:r>
        <w:rPr/>
        <w:t>a</w:t>
      </w:r>
      <w:r>
        <w:rPr>
          <w:spacing w:val="-2"/>
        </w:rPr>
        <w:t> </w:t>
      </w:r>
      <w:r>
        <w:rPr/>
        <w:t>huge</w:t>
      </w:r>
      <w:r>
        <w:rPr>
          <w:spacing w:val="-1"/>
        </w:rPr>
        <w:t> </w:t>
      </w:r>
      <w:r>
        <w:rPr/>
        <w:t>role</w:t>
      </w:r>
      <w:r>
        <w:rPr>
          <w:spacing w:val="-2"/>
        </w:rPr>
        <w:t> </w:t>
      </w:r>
      <w:r>
        <w:rPr/>
        <w:t>in this section.</w:t>
      </w:r>
    </w:p>
    <w:p>
      <w:pPr>
        <w:pStyle w:val="BodyText"/>
        <w:ind w:left="139" w:right="496" w:firstLine="432"/>
        <w:jc w:val="both"/>
      </w:pPr>
      <w:r>
        <w:rPr/>
        <w:t>Let’s jump into a few charts to see long-term pivot analysis at work using</w:t>
      </w:r>
      <w:r>
        <w:rPr>
          <w:spacing w:val="-2"/>
        </w:rPr>
        <w:t> </w:t>
      </w:r>
      <w:r>
        <w:rPr/>
        <w:t>the</w:t>
      </w:r>
      <w:r>
        <w:rPr>
          <w:spacing w:val="-2"/>
        </w:rPr>
        <w:t> </w:t>
      </w:r>
      <w:r>
        <w:rPr/>
        <w:t>various</w:t>
      </w:r>
      <w:r>
        <w:rPr>
          <w:spacing w:val="-2"/>
        </w:rPr>
        <w:t> </w:t>
      </w:r>
      <w:r>
        <w:rPr/>
        <w:t>forms</w:t>
      </w:r>
      <w:r>
        <w:rPr>
          <w:spacing w:val="-2"/>
        </w:rPr>
        <w:t> </w:t>
      </w:r>
      <w:r>
        <w:rPr/>
        <w:t>of</w:t>
      </w:r>
      <w:r>
        <w:rPr>
          <w:spacing w:val="-2"/>
        </w:rPr>
        <w:t> </w:t>
      </w:r>
      <w:r>
        <w:rPr/>
        <w:t>pivots</w:t>
      </w:r>
      <w:r>
        <w:rPr>
          <w:spacing w:val="-2"/>
        </w:rPr>
        <w:t> </w:t>
      </w:r>
      <w:r>
        <w:rPr/>
        <w:t>that</w:t>
      </w:r>
      <w:r>
        <w:rPr>
          <w:spacing w:val="-2"/>
        </w:rPr>
        <w:t> </w:t>
      </w:r>
      <w:r>
        <w:rPr/>
        <w:t>I’ve</w:t>
      </w:r>
      <w:r>
        <w:rPr>
          <w:spacing w:val="-2"/>
        </w:rPr>
        <w:t> </w:t>
      </w:r>
      <w:r>
        <w:rPr/>
        <w:t>covered.</w:t>
      </w:r>
      <w:r>
        <w:rPr>
          <w:spacing w:val="-2"/>
        </w:rPr>
        <w:t> </w:t>
      </w:r>
      <w:r>
        <w:rPr/>
        <w:t>Figure</w:t>
      </w:r>
      <w:r>
        <w:rPr>
          <w:spacing w:val="-2"/>
        </w:rPr>
        <w:t> </w:t>
      </w:r>
      <w:r>
        <w:rPr/>
        <w:t>9.13</w:t>
      </w:r>
      <w:r>
        <w:rPr>
          <w:spacing w:val="-2"/>
        </w:rPr>
        <w:t> </w:t>
      </w:r>
      <w:r>
        <w:rPr/>
        <w:t>shows</w:t>
      </w:r>
      <w:r>
        <w:rPr>
          <w:spacing w:val="-2"/>
        </w:rPr>
        <w:t> </w:t>
      </w:r>
      <w:r>
        <w:rPr/>
        <w:t>a</w:t>
      </w:r>
      <w:r>
        <w:rPr>
          <w:spacing w:val="-2"/>
        </w:rPr>
        <w:t> </w:t>
      </w:r>
      <w:r>
        <w:rPr/>
        <w:t>daily chart of Cliffs Natural Resources (ticker: CLF) with pivot ranges plotted for each month. The stock formed an established uptrend for the greater part of three months; highlighting two great pull-back opportunities. Notice the narrow</w:t>
      </w:r>
      <w:r>
        <w:rPr>
          <w:spacing w:val="40"/>
        </w:rPr>
        <w:t> </w:t>
      </w:r>
      <w:r>
        <w:rPr/>
        <w:t>pivot</w:t>
      </w:r>
      <w:r>
        <w:rPr>
          <w:spacing w:val="39"/>
        </w:rPr>
        <w:t> </w:t>
      </w:r>
      <w:r>
        <w:rPr/>
        <w:t>range</w:t>
      </w:r>
      <w:r>
        <w:rPr>
          <w:spacing w:val="40"/>
        </w:rPr>
        <w:t> </w:t>
      </w:r>
      <w:r>
        <w:rPr/>
        <w:t>for</w:t>
      </w:r>
      <w:r>
        <w:rPr>
          <w:spacing w:val="40"/>
        </w:rPr>
        <w:t> </w:t>
      </w:r>
      <w:r>
        <w:rPr/>
        <w:t>the</w:t>
      </w:r>
      <w:r>
        <w:rPr>
          <w:spacing w:val="40"/>
        </w:rPr>
        <w:t> </w:t>
      </w:r>
      <w:r>
        <w:rPr/>
        <w:t>month</w:t>
      </w:r>
      <w:r>
        <w:rPr>
          <w:spacing w:val="40"/>
        </w:rPr>
        <w:t> </w:t>
      </w:r>
      <w:r>
        <w:rPr/>
        <w:t>of</w:t>
      </w:r>
      <w:r>
        <w:rPr>
          <w:spacing w:val="40"/>
        </w:rPr>
        <w:t> </w:t>
      </w:r>
      <w:r>
        <w:rPr/>
        <w:t>April</w:t>
      </w:r>
      <w:r>
        <w:rPr>
          <w:spacing w:val="40"/>
        </w:rPr>
        <w:t> </w:t>
      </w:r>
      <w:r>
        <w:rPr/>
        <w:t>helped</w:t>
      </w:r>
      <w:r>
        <w:rPr>
          <w:spacing w:val="40"/>
        </w:rPr>
        <w:t> </w:t>
      </w:r>
      <w:r>
        <w:rPr/>
        <w:t>forecast</w:t>
      </w:r>
      <w:r>
        <w:rPr>
          <w:spacing w:val="40"/>
        </w:rPr>
        <w:t> </w:t>
      </w:r>
      <w:r>
        <w:rPr/>
        <w:t>trending</w:t>
      </w:r>
      <w:r>
        <w:rPr>
          <w:spacing w:val="39"/>
        </w:rPr>
        <w:t> </w:t>
      </w:r>
      <w:r>
        <w:rPr/>
        <w:t>price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5"/>
        <w:jc w:val="both"/>
      </w:pPr>
      <w:r>
        <w:rPr/>
        <w:t>behavior during this month, which kicked off the bullish uptrend. Once the market established the initial leg of the trend, Higher Value relationships helped you identify pull-back opportunities in each of the two months that </w:t>
      </w:r>
      <w:r>
        <w:rPr>
          <w:spacing w:val="-2"/>
        </w:rPr>
        <w:t>followed.</w:t>
      </w:r>
    </w:p>
    <w:p>
      <w:pPr>
        <w:pStyle w:val="BodyText"/>
        <w:ind w:left="500" w:right="137" w:firstLine="432"/>
        <w:jc w:val="both"/>
      </w:pPr>
      <w:r>
        <w:rPr/>
        <w:t>The key to playing these pull-backs lies in price acceptance. If price closes the prior month above the pivot range for the following month, continued trending behavior is likely to occur. However, the opening price</w:t>
      </w:r>
      <w:r>
        <w:rPr>
          <w:spacing w:val="40"/>
        </w:rPr>
        <w:t> </w:t>
      </w:r>
      <w:r>
        <w:rPr/>
        <w:t>for the next month must accept this theory by opening anywhere above the bottom of the pivot range. When these two criteria are met, any pull-back to the pivot range should be seen as a buying opportunity. In this case, CLF closed both April and May above the following month’s pivot range, indicating further overall strength. Moreover, price opened both May and June above the pivot ranges for the month, which creates solid buying opportunities at the pivot range when tested. Once price sees a successful bounce off the pivot range, a push to new highs is likely to occur, as was the case in this instance.</w:t>
      </w:r>
    </w:p>
    <w:p>
      <w:pPr>
        <w:pStyle w:val="BodyText"/>
        <w:rPr>
          <w:sz w:val="20"/>
        </w:rPr>
      </w:pPr>
      <w:r>
        <w:rPr/>
        <w:drawing>
          <wp:anchor distT="0" distB="0" distL="0" distR="0" allowOverlap="1" layoutInCell="1" locked="0" behindDoc="0" simplePos="0" relativeHeight="302">
            <wp:simplePos x="0" y="0"/>
            <wp:positionH relativeFrom="page">
              <wp:posOffset>685800</wp:posOffset>
            </wp:positionH>
            <wp:positionV relativeFrom="paragraph">
              <wp:posOffset>161830</wp:posOffset>
            </wp:positionV>
            <wp:extent cx="4342089" cy="3016377"/>
            <wp:effectExtent l="0" t="0" r="0" b="0"/>
            <wp:wrapTopAndBottom/>
            <wp:docPr id="291" name="image152.png"/>
            <wp:cNvGraphicFramePr>
              <a:graphicFrameLocks noChangeAspect="1"/>
            </wp:cNvGraphicFramePr>
            <a:graphic>
              <a:graphicData uri="http://schemas.openxmlformats.org/drawingml/2006/picture">
                <pic:pic>
                  <pic:nvPicPr>
                    <pic:cNvPr id="292" name="image152.png"/>
                    <pic:cNvPicPr/>
                  </pic:nvPicPr>
                  <pic:blipFill>
                    <a:blip r:embed="rId294" cstate="print"/>
                    <a:stretch>
                      <a:fillRect/>
                    </a:stretch>
                  </pic:blipFill>
                  <pic:spPr>
                    <a:xfrm>
                      <a:off x="0" y="0"/>
                      <a:ext cx="4342089" cy="3016377"/>
                    </a:xfrm>
                    <a:prstGeom prst="rect">
                      <a:avLst/>
                    </a:prstGeom>
                  </pic:spPr>
                </pic:pic>
              </a:graphicData>
            </a:graphic>
          </wp:anchor>
        </w:drawing>
      </w:r>
    </w:p>
    <w:p>
      <w:pPr>
        <w:spacing w:before="0"/>
        <w:ind w:left="500" w:right="0" w:firstLine="0"/>
        <w:jc w:val="both"/>
        <w:rPr>
          <w:sz w:val="16"/>
        </w:rPr>
      </w:pPr>
      <w:r>
        <w:rPr>
          <w:sz w:val="16"/>
        </w:rPr>
        <w:t>FIGURE 9.13:</w:t>
      </w:r>
      <w:r>
        <w:rPr>
          <w:spacing w:val="1"/>
          <w:sz w:val="16"/>
        </w:rPr>
        <w:t> </w:t>
      </w:r>
      <w:r>
        <w:rPr>
          <w:sz w:val="16"/>
        </w:rPr>
        <w:t>Buying the dips</w:t>
      </w:r>
      <w:r>
        <w:rPr>
          <w:spacing w:val="1"/>
          <w:sz w:val="16"/>
        </w:rPr>
        <w:t> </w:t>
      </w:r>
      <w:r>
        <w:rPr>
          <w:sz w:val="16"/>
        </w:rPr>
        <w:t>at the</w:t>
      </w:r>
      <w:r>
        <w:rPr>
          <w:spacing w:val="2"/>
          <w:sz w:val="16"/>
        </w:rPr>
        <w:t> </w:t>
      </w:r>
      <w:r>
        <w:rPr>
          <w:sz w:val="16"/>
        </w:rPr>
        <w:t>central pivot</w:t>
      </w:r>
      <w:r>
        <w:rPr>
          <w:spacing w:val="1"/>
          <w:sz w:val="16"/>
        </w:rPr>
        <w:t> </w:t>
      </w:r>
      <w:r>
        <w:rPr>
          <w:sz w:val="16"/>
        </w:rPr>
        <w:t>range in</w:t>
      </w:r>
      <w:r>
        <w:rPr>
          <w:spacing w:val="1"/>
          <w:sz w:val="16"/>
        </w:rPr>
        <w:t> </w:t>
      </w:r>
      <w:r>
        <w:rPr>
          <w:sz w:val="16"/>
        </w:rPr>
        <w:t>a bullish</w:t>
      </w:r>
      <w:r>
        <w:rPr>
          <w:spacing w:val="1"/>
          <w:sz w:val="16"/>
        </w:rPr>
        <w:t> </w:t>
      </w:r>
      <w:r>
        <w:rPr>
          <w:sz w:val="16"/>
        </w:rPr>
        <w:t>trend in</w:t>
      </w:r>
      <w:r>
        <w:rPr>
          <w:spacing w:val="1"/>
          <w:sz w:val="16"/>
        </w:rPr>
        <w:t> </w:t>
      </w:r>
      <w:r>
        <w:rPr>
          <w:spacing w:val="-5"/>
          <w:sz w:val="16"/>
        </w:rPr>
        <w:t>CLF</w:t>
      </w:r>
    </w:p>
    <w:p>
      <w:pPr>
        <w:pStyle w:val="BodyText"/>
        <w:spacing w:before="10"/>
        <w:rPr>
          <w:sz w:val="21"/>
        </w:rPr>
      </w:pPr>
    </w:p>
    <w:p>
      <w:pPr>
        <w:pStyle w:val="BodyText"/>
        <w:spacing w:line="252" w:lineRule="exact"/>
        <w:ind w:left="1219"/>
        <w:jc w:val="both"/>
      </w:pPr>
      <w:r>
        <w:rPr/>
        <w:t>In</w:t>
      </w:r>
      <w:r>
        <w:rPr>
          <w:spacing w:val="15"/>
        </w:rPr>
        <w:t> </w:t>
      </w:r>
      <w:r>
        <w:rPr/>
        <w:t>the</w:t>
      </w:r>
      <w:r>
        <w:rPr>
          <w:spacing w:val="16"/>
        </w:rPr>
        <w:t> </w:t>
      </w:r>
      <w:r>
        <w:rPr/>
        <w:t>summer</w:t>
      </w:r>
      <w:r>
        <w:rPr>
          <w:spacing w:val="16"/>
        </w:rPr>
        <w:t> </w:t>
      </w:r>
      <w:r>
        <w:rPr/>
        <w:t>of</w:t>
      </w:r>
      <w:r>
        <w:rPr>
          <w:spacing w:val="16"/>
        </w:rPr>
        <w:t> </w:t>
      </w:r>
      <w:r>
        <w:rPr/>
        <w:t>2008,</w:t>
      </w:r>
      <w:r>
        <w:rPr>
          <w:spacing w:val="16"/>
        </w:rPr>
        <w:t> </w:t>
      </w:r>
      <w:r>
        <w:rPr/>
        <w:t>Crude</w:t>
      </w:r>
      <w:r>
        <w:rPr>
          <w:spacing w:val="16"/>
        </w:rPr>
        <w:t> </w:t>
      </w:r>
      <w:r>
        <w:rPr/>
        <w:t>Oil</w:t>
      </w:r>
      <w:r>
        <w:rPr>
          <w:spacing w:val="17"/>
        </w:rPr>
        <w:t> </w:t>
      </w:r>
      <w:r>
        <w:rPr/>
        <w:t>made</w:t>
      </w:r>
      <w:r>
        <w:rPr>
          <w:spacing w:val="16"/>
        </w:rPr>
        <w:t> </w:t>
      </w:r>
      <w:r>
        <w:rPr/>
        <w:t>an</w:t>
      </w:r>
      <w:r>
        <w:rPr>
          <w:spacing w:val="16"/>
        </w:rPr>
        <w:t> </w:t>
      </w:r>
      <w:r>
        <w:rPr/>
        <w:t>incredible</w:t>
      </w:r>
      <w:r>
        <w:rPr>
          <w:spacing w:val="16"/>
        </w:rPr>
        <w:t> </w:t>
      </w:r>
      <w:r>
        <w:rPr/>
        <w:t>run</w:t>
      </w:r>
      <w:r>
        <w:rPr>
          <w:spacing w:val="16"/>
        </w:rPr>
        <w:t> </w:t>
      </w:r>
      <w:r>
        <w:rPr/>
        <w:t>to</w:t>
      </w:r>
      <w:r>
        <w:rPr>
          <w:spacing w:val="16"/>
        </w:rPr>
        <w:t> </w:t>
      </w:r>
      <w:r>
        <w:rPr>
          <w:spacing w:val="-2"/>
        </w:rPr>
        <w:t>nearly</w:t>
      </w:r>
    </w:p>
    <w:p>
      <w:pPr>
        <w:pStyle w:val="BodyText"/>
        <w:ind w:left="499" w:right="136"/>
        <w:jc w:val="both"/>
      </w:pPr>
      <w:r>
        <w:rPr/>
        <w:t>$150 per barrel, which is currently the all-time high for this commodity. Figure 9.14 shows a five-month view of Crude Oil during part of this magnificent run. Crude Oil had already doubled from $50 to $100 per barrel</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5"/>
        <w:jc w:val="both"/>
      </w:pPr>
      <w:r>
        <w:rPr/>
        <w:t>in the prior year, so traders obviously knew the commodity was in the midst of an extremely bullish trend. It takes just seconds to notice a clear pattern of price behavior when the central pivot range is plotted. Notice that throughout the uptrend during this period of time (May, June, and July) traders bought every pull-back to the central pivot range in anticipation of a move to new highs.</w:t>
      </w:r>
      <w:r>
        <w:rPr>
          <w:spacing w:val="-1"/>
        </w:rPr>
        <w:t> </w:t>
      </w:r>
      <w:r>
        <w:rPr/>
        <w:t>Furthermore,</w:t>
      </w:r>
      <w:r>
        <w:rPr>
          <w:spacing w:val="-1"/>
        </w:rPr>
        <w:t> </w:t>
      </w:r>
      <w:r>
        <w:rPr/>
        <w:t>the</w:t>
      </w:r>
      <w:r>
        <w:rPr>
          <w:spacing w:val="-1"/>
        </w:rPr>
        <w:t> </w:t>
      </w:r>
      <w:r>
        <w:rPr/>
        <w:t>Higher</w:t>
      </w:r>
      <w:r>
        <w:rPr>
          <w:spacing w:val="-1"/>
        </w:rPr>
        <w:t> </w:t>
      </w:r>
      <w:r>
        <w:rPr/>
        <w:t>Value</w:t>
      </w:r>
      <w:r>
        <w:rPr>
          <w:spacing w:val="-1"/>
        </w:rPr>
        <w:t> </w:t>
      </w:r>
      <w:r>
        <w:rPr/>
        <w:t>relationships</w:t>
      </w:r>
      <w:r>
        <w:rPr>
          <w:spacing w:val="-1"/>
        </w:rPr>
        <w:t> </w:t>
      </w:r>
      <w:r>
        <w:rPr/>
        <w:t>month</w:t>
      </w:r>
      <w:r>
        <w:rPr>
          <w:spacing w:val="-1"/>
        </w:rPr>
        <w:t> </w:t>
      </w:r>
      <w:r>
        <w:rPr/>
        <w:t>over</w:t>
      </w:r>
      <w:r>
        <w:rPr>
          <w:spacing w:val="-1"/>
        </w:rPr>
        <w:t> </w:t>
      </w:r>
      <w:r>
        <w:rPr/>
        <w:t>month</w:t>
      </w:r>
      <w:r>
        <w:rPr>
          <w:spacing w:val="-1"/>
        </w:rPr>
        <w:t> </w:t>
      </w:r>
      <w:r>
        <w:rPr/>
        <w:t>helped identify the strength of the trend, while providing excellent entry points during the advance.</w:t>
      </w:r>
    </w:p>
    <w:p>
      <w:pPr>
        <w:pStyle w:val="BodyText"/>
        <w:spacing w:before="1"/>
        <w:ind w:left="140" w:right="494" w:firstLine="432"/>
        <w:jc w:val="both"/>
      </w:pPr>
      <w:r>
        <w:rPr/>
        <w:t>This, my friends, is “buying the dips” at its best. Every major player in the market knew Crude Oil was headed higher, so once new highs were reached, traders would take profits and wait for a dip to occur so they could re-enter long positions. Once price pulled back to the pivot range, traders pounced at another opportunity to ride the bull to the bank.</w:t>
      </w:r>
    </w:p>
    <w:p>
      <w:pPr>
        <w:pStyle w:val="BodyText"/>
        <w:spacing w:before="1"/>
        <w:rPr>
          <w:sz w:val="20"/>
        </w:rPr>
      </w:pPr>
      <w:r>
        <w:rPr/>
        <w:drawing>
          <wp:anchor distT="0" distB="0" distL="0" distR="0" allowOverlap="1" layoutInCell="1" locked="0" behindDoc="0" simplePos="0" relativeHeight="303">
            <wp:simplePos x="0" y="0"/>
            <wp:positionH relativeFrom="page">
              <wp:posOffset>457200</wp:posOffset>
            </wp:positionH>
            <wp:positionV relativeFrom="paragraph">
              <wp:posOffset>162346</wp:posOffset>
            </wp:positionV>
            <wp:extent cx="4343186" cy="3016377"/>
            <wp:effectExtent l="0" t="0" r="0" b="0"/>
            <wp:wrapTopAndBottom/>
            <wp:docPr id="293" name="image153.png"/>
            <wp:cNvGraphicFramePr>
              <a:graphicFrameLocks noChangeAspect="1"/>
            </wp:cNvGraphicFramePr>
            <a:graphic>
              <a:graphicData uri="http://schemas.openxmlformats.org/drawingml/2006/picture">
                <pic:pic>
                  <pic:nvPicPr>
                    <pic:cNvPr id="294" name="image153.png"/>
                    <pic:cNvPicPr/>
                  </pic:nvPicPr>
                  <pic:blipFill>
                    <a:blip r:embed="rId295" cstate="print"/>
                    <a:stretch>
                      <a:fillRect/>
                    </a:stretch>
                  </pic:blipFill>
                  <pic:spPr>
                    <a:xfrm>
                      <a:off x="0" y="0"/>
                      <a:ext cx="4343186" cy="3016377"/>
                    </a:xfrm>
                    <a:prstGeom prst="rect">
                      <a:avLst/>
                    </a:prstGeom>
                  </pic:spPr>
                </pic:pic>
              </a:graphicData>
            </a:graphic>
          </wp:anchor>
        </w:drawing>
      </w:r>
    </w:p>
    <w:p>
      <w:pPr>
        <w:spacing w:before="0"/>
        <w:ind w:left="140" w:right="0" w:firstLine="0"/>
        <w:jc w:val="both"/>
        <w:rPr>
          <w:sz w:val="16"/>
        </w:rPr>
      </w:pPr>
      <w:r>
        <w:rPr>
          <w:sz w:val="16"/>
        </w:rPr>
        <w:t>FIGURE 9.14: Buying the</w:t>
      </w:r>
      <w:r>
        <w:rPr>
          <w:spacing w:val="1"/>
          <w:sz w:val="16"/>
        </w:rPr>
        <w:t> </w:t>
      </w:r>
      <w:r>
        <w:rPr>
          <w:sz w:val="16"/>
        </w:rPr>
        <w:t>dips at</w:t>
      </w:r>
      <w:r>
        <w:rPr>
          <w:spacing w:val="1"/>
          <w:sz w:val="16"/>
        </w:rPr>
        <w:t> </w:t>
      </w:r>
      <w:r>
        <w:rPr>
          <w:sz w:val="16"/>
        </w:rPr>
        <w:t>the</w:t>
      </w:r>
      <w:r>
        <w:rPr>
          <w:spacing w:val="1"/>
          <w:sz w:val="16"/>
        </w:rPr>
        <w:t> </w:t>
      </w:r>
      <w:r>
        <w:rPr>
          <w:sz w:val="16"/>
        </w:rPr>
        <w:t>central pivot</w:t>
      </w:r>
      <w:r>
        <w:rPr>
          <w:spacing w:val="1"/>
          <w:sz w:val="16"/>
        </w:rPr>
        <w:t> </w:t>
      </w:r>
      <w:r>
        <w:rPr>
          <w:sz w:val="16"/>
        </w:rPr>
        <w:t>range in</w:t>
      </w:r>
      <w:r>
        <w:rPr>
          <w:spacing w:val="1"/>
          <w:sz w:val="16"/>
        </w:rPr>
        <w:t> </w:t>
      </w:r>
      <w:r>
        <w:rPr>
          <w:sz w:val="16"/>
        </w:rPr>
        <w:t>a bullish trend</w:t>
      </w:r>
      <w:r>
        <w:rPr>
          <w:spacing w:val="1"/>
          <w:sz w:val="16"/>
        </w:rPr>
        <w:t> </w:t>
      </w:r>
      <w:r>
        <w:rPr>
          <w:sz w:val="16"/>
        </w:rPr>
        <w:t>in Crude</w:t>
      </w:r>
      <w:r>
        <w:rPr>
          <w:spacing w:val="1"/>
          <w:sz w:val="16"/>
        </w:rPr>
        <w:t> </w:t>
      </w:r>
      <w:r>
        <w:rPr>
          <w:spacing w:val="-5"/>
          <w:sz w:val="16"/>
        </w:rPr>
        <w:t>Oil</w:t>
      </w:r>
    </w:p>
    <w:p>
      <w:pPr>
        <w:pStyle w:val="BodyText"/>
        <w:spacing w:before="8"/>
        <w:rPr>
          <w:sz w:val="21"/>
        </w:rPr>
      </w:pPr>
    </w:p>
    <w:p>
      <w:pPr>
        <w:pStyle w:val="BodyText"/>
        <w:ind w:left="140" w:right="494" w:firstLine="432"/>
        <w:jc w:val="both"/>
      </w:pPr>
      <w:r>
        <w:rPr/>
        <w:t>As a matter of fact, a mechanical system I created for</w:t>
      </w:r>
      <w:r>
        <w:rPr>
          <w:spacing w:val="-1"/>
        </w:rPr>
        <w:t> </w:t>
      </w:r>
      <w:r>
        <w:rPr/>
        <w:t>a managed futures fund fired a long signal at the central pivot range at about $136 per barrel in July. This signal put us in the move to all-time highs in this commodity and gave us a handsome profit in return. Of course, soon after Crude Oil reached all-time highs during the historic rally, it experienced an epic collapse, as the price of Crude dropped from nearly $150 per barrel to under $40 in just six months.</w:t>
      </w:r>
      <w:r>
        <w:rPr>
          <w:spacing w:val="21"/>
        </w:rPr>
        <w:t> </w:t>
      </w:r>
      <w:r>
        <w:rPr/>
        <w:t>Figure</w:t>
      </w:r>
      <w:r>
        <w:rPr>
          <w:spacing w:val="22"/>
        </w:rPr>
        <w:t> </w:t>
      </w:r>
      <w:r>
        <w:rPr/>
        <w:t>9.15</w:t>
      </w:r>
      <w:r>
        <w:rPr>
          <w:spacing w:val="21"/>
        </w:rPr>
        <w:t> </w:t>
      </w:r>
      <w:r>
        <w:rPr/>
        <w:t>shows</w:t>
      </w:r>
      <w:r>
        <w:rPr>
          <w:spacing w:val="22"/>
        </w:rPr>
        <w:t> </w:t>
      </w:r>
      <w:r>
        <w:rPr/>
        <w:t>this</w:t>
      </w:r>
      <w:r>
        <w:rPr>
          <w:spacing w:val="21"/>
        </w:rPr>
        <w:t> </w:t>
      </w:r>
      <w:r>
        <w:rPr/>
        <w:t>decline</w:t>
      </w:r>
      <w:r>
        <w:rPr>
          <w:spacing w:val="22"/>
        </w:rPr>
        <w:t> </w:t>
      </w:r>
      <w:r>
        <w:rPr/>
        <w:t>in</w:t>
      </w:r>
      <w:r>
        <w:rPr>
          <w:spacing w:val="22"/>
        </w:rPr>
        <w:t> </w:t>
      </w:r>
      <w:r>
        <w:rPr/>
        <w:t>Crude</w:t>
      </w:r>
      <w:r>
        <w:rPr>
          <w:spacing w:val="21"/>
        </w:rPr>
        <w:t> </w:t>
      </w:r>
      <w:r>
        <w:rPr/>
        <w:t>Oil</w:t>
      </w:r>
      <w:r>
        <w:rPr>
          <w:spacing w:val="22"/>
        </w:rPr>
        <w:t> </w:t>
      </w:r>
      <w:r>
        <w:rPr/>
        <w:t>with</w:t>
      </w:r>
      <w:r>
        <w:rPr>
          <w:spacing w:val="21"/>
        </w:rPr>
        <w:t> </w:t>
      </w:r>
      <w:r>
        <w:rPr/>
        <w:t>the</w:t>
      </w:r>
      <w:r>
        <w:rPr>
          <w:spacing w:val="22"/>
        </w:rPr>
        <w:t> </w:t>
      </w:r>
      <w:r>
        <w:rPr/>
        <w:t>Money</w:t>
      </w:r>
      <w:r>
        <w:rPr>
          <w:spacing w:val="21"/>
        </w:rPr>
        <w:t> </w:t>
      </w:r>
      <w:r>
        <w:rPr>
          <w:spacing w:val="-4"/>
        </w:rPr>
        <w:t>Zone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6"/>
        <w:jc w:val="both"/>
      </w:pPr>
      <w:r>
        <w:rPr/>
        <w:t>levels plotted for each month. Notice that during the free fall, price remained below the top of the Money Zone throughout the sell-off. Moreover, each pull-back to the Money Zone levels offered excellent selling opportunities within the bearish decline. The Point of Control and VAL offered excellent levels to short the market during this time, further illustrating the power of long-term pivot trend analysis.</w:t>
      </w:r>
    </w:p>
    <w:p>
      <w:pPr>
        <w:pStyle w:val="BodyText"/>
        <w:spacing w:before="2"/>
        <w:rPr>
          <w:sz w:val="20"/>
        </w:rPr>
      </w:pPr>
      <w:r>
        <w:rPr/>
        <w:drawing>
          <wp:anchor distT="0" distB="0" distL="0" distR="0" allowOverlap="1" layoutInCell="1" locked="0" behindDoc="0" simplePos="0" relativeHeight="304">
            <wp:simplePos x="0" y="0"/>
            <wp:positionH relativeFrom="page">
              <wp:posOffset>685800</wp:posOffset>
            </wp:positionH>
            <wp:positionV relativeFrom="paragraph">
              <wp:posOffset>162710</wp:posOffset>
            </wp:positionV>
            <wp:extent cx="4342904" cy="3103054"/>
            <wp:effectExtent l="0" t="0" r="0" b="0"/>
            <wp:wrapTopAndBottom/>
            <wp:docPr id="295" name="image154.png"/>
            <wp:cNvGraphicFramePr>
              <a:graphicFrameLocks noChangeAspect="1"/>
            </wp:cNvGraphicFramePr>
            <a:graphic>
              <a:graphicData uri="http://schemas.openxmlformats.org/drawingml/2006/picture">
                <pic:pic>
                  <pic:nvPicPr>
                    <pic:cNvPr id="296" name="image154.png"/>
                    <pic:cNvPicPr/>
                  </pic:nvPicPr>
                  <pic:blipFill>
                    <a:blip r:embed="rId300"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w:t>
      </w:r>
      <w:r>
        <w:rPr>
          <w:spacing w:val="-1"/>
          <w:sz w:val="16"/>
        </w:rPr>
        <w:t> </w:t>
      </w:r>
      <w:r>
        <w:rPr>
          <w:sz w:val="16"/>
        </w:rPr>
        <w:t>9.15: After Crude hit all-time highs, traders begin to sell</w:t>
      </w:r>
      <w:r>
        <w:rPr>
          <w:spacing w:val="-1"/>
          <w:sz w:val="16"/>
        </w:rPr>
        <w:t> </w:t>
      </w:r>
      <w:r>
        <w:rPr>
          <w:sz w:val="16"/>
        </w:rPr>
        <w:t>the rips</w:t>
      </w:r>
      <w:r>
        <w:rPr>
          <w:spacing w:val="1"/>
          <w:sz w:val="16"/>
        </w:rPr>
        <w:t> </w:t>
      </w:r>
      <w:r>
        <w:rPr>
          <w:sz w:val="16"/>
        </w:rPr>
        <w:t>using the MZ </w:t>
      </w:r>
      <w:r>
        <w:rPr>
          <w:spacing w:val="-2"/>
          <w:sz w:val="16"/>
        </w:rPr>
        <w:t>levels.</w:t>
      </w:r>
    </w:p>
    <w:p>
      <w:pPr>
        <w:pStyle w:val="BodyText"/>
        <w:spacing w:before="8"/>
        <w:rPr>
          <w:sz w:val="21"/>
        </w:rPr>
      </w:pPr>
    </w:p>
    <w:p>
      <w:pPr>
        <w:pStyle w:val="BodyText"/>
        <w:ind w:left="499" w:right="136" w:firstLine="432"/>
        <w:jc w:val="both"/>
      </w:pPr>
      <w:r>
        <w:rPr/>
        <w:t>Keep in mind that I am not claiming that all traders are watching the pivots for a pull-back to enter positions at optimum levels. There are tens of thousands of traders, which means there are tens of thousands of methods for trading the market. Each trader has his own recipe for deciphering when to pull the trigger on a pull-back opportunity. However, the pivots illuminate these action zones more clearly than any other tool I have come across. Knowing</w:t>
      </w:r>
      <w:r>
        <w:rPr>
          <w:spacing w:val="-1"/>
        </w:rPr>
        <w:t> </w:t>
      </w:r>
      <w:r>
        <w:rPr/>
        <w:t>the</w:t>
      </w:r>
      <w:r>
        <w:rPr>
          <w:spacing w:val="-2"/>
        </w:rPr>
        <w:t> </w:t>
      </w:r>
      <w:r>
        <w:rPr/>
        <w:t>location</w:t>
      </w:r>
      <w:r>
        <w:rPr>
          <w:spacing w:val="-1"/>
        </w:rPr>
        <w:t> </w:t>
      </w:r>
      <w:r>
        <w:rPr/>
        <w:t>of</w:t>
      </w:r>
      <w:r>
        <w:rPr>
          <w:spacing w:val="-2"/>
        </w:rPr>
        <w:t> </w:t>
      </w:r>
      <w:r>
        <w:rPr/>
        <w:t>the</w:t>
      </w:r>
      <w:r>
        <w:rPr>
          <w:spacing w:val="-1"/>
        </w:rPr>
        <w:t> </w:t>
      </w:r>
      <w:r>
        <w:rPr/>
        <w:t>pivots</w:t>
      </w:r>
      <w:r>
        <w:rPr>
          <w:spacing w:val="-2"/>
        </w:rPr>
        <w:t> </w:t>
      </w:r>
      <w:r>
        <w:rPr/>
        <w:t>on</w:t>
      </w:r>
      <w:r>
        <w:rPr>
          <w:spacing w:val="-2"/>
        </w:rPr>
        <w:t> </w:t>
      </w:r>
      <w:r>
        <w:rPr/>
        <w:t>your</w:t>
      </w:r>
      <w:r>
        <w:rPr>
          <w:spacing w:val="-1"/>
        </w:rPr>
        <w:t> </w:t>
      </w:r>
      <w:r>
        <w:rPr/>
        <w:t>charts</w:t>
      </w:r>
      <w:r>
        <w:rPr>
          <w:spacing w:val="-1"/>
        </w:rPr>
        <w:t> </w:t>
      </w:r>
      <w:r>
        <w:rPr/>
        <w:t>certainly</w:t>
      </w:r>
      <w:r>
        <w:rPr>
          <w:spacing w:val="-1"/>
        </w:rPr>
        <w:t> </w:t>
      </w:r>
      <w:r>
        <w:rPr/>
        <w:t>puts</w:t>
      </w:r>
      <w:r>
        <w:rPr>
          <w:spacing w:val="-2"/>
        </w:rPr>
        <w:t> </w:t>
      </w:r>
      <w:r>
        <w:rPr/>
        <w:t>you</w:t>
      </w:r>
      <w:r>
        <w:rPr>
          <w:spacing w:val="-1"/>
        </w:rPr>
        <w:t> </w:t>
      </w:r>
      <w:r>
        <w:rPr/>
        <w:t>ahead</w:t>
      </w:r>
      <w:r>
        <w:rPr>
          <w:spacing w:val="-1"/>
        </w:rPr>
        <w:t> </w:t>
      </w:r>
      <w:r>
        <w:rPr/>
        <w:t>of the pack when choosing precise entries during a trending market.</w:t>
      </w:r>
    </w:p>
    <w:p>
      <w:pPr>
        <w:pStyle w:val="BodyText"/>
        <w:spacing w:before="1"/>
        <w:ind w:left="499" w:right="137" w:firstLine="432"/>
        <w:jc w:val="both"/>
      </w:pPr>
      <w:r>
        <w:rPr/>
        <w:t>The Camarilla pivots also offer excellent opportunities for pinpointing precise entry points during</w:t>
      </w:r>
      <w:r>
        <w:rPr>
          <w:spacing w:val="-1"/>
        </w:rPr>
        <w:t> </w:t>
      </w:r>
      <w:r>
        <w:rPr/>
        <w:t>a trending market.</w:t>
      </w:r>
      <w:r>
        <w:rPr>
          <w:spacing w:val="-1"/>
        </w:rPr>
        <w:t> </w:t>
      </w:r>
      <w:r>
        <w:rPr/>
        <w:t>As a matter of fact, using these color-coded pivots to identify pull-back opportunities makes the process fairly easy and straight forward. Take a look at Figure 9.16, which shows a daily</w:t>
      </w:r>
      <w:r>
        <w:rPr>
          <w:spacing w:val="8"/>
        </w:rPr>
        <w:t> </w:t>
      </w:r>
      <w:r>
        <w:rPr/>
        <w:t>chart</w:t>
      </w:r>
      <w:r>
        <w:rPr>
          <w:spacing w:val="9"/>
        </w:rPr>
        <w:t> </w:t>
      </w:r>
      <w:r>
        <w:rPr/>
        <w:t>of</w:t>
      </w:r>
      <w:r>
        <w:rPr>
          <w:spacing w:val="7"/>
        </w:rPr>
        <w:t> </w:t>
      </w:r>
      <w:r>
        <w:rPr/>
        <w:t>Natural</w:t>
      </w:r>
      <w:r>
        <w:rPr>
          <w:spacing w:val="9"/>
        </w:rPr>
        <w:t> </w:t>
      </w:r>
      <w:r>
        <w:rPr/>
        <w:t>Gas</w:t>
      </w:r>
      <w:r>
        <w:rPr>
          <w:spacing w:val="10"/>
        </w:rPr>
        <w:t> </w:t>
      </w:r>
      <w:r>
        <w:rPr/>
        <w:t>futures</w:t>
      </w:r>
      <w:r>
        <w:rPr>
          <w:spacing w:val="8"/>
        </w:rPr>
        <w:t> </w:t>
      </w:r>
      <w:r>
        <w:rPr/>
        <w:t>during</w:t>
      </w:r>
      <w:r>
        <w:rPr>
          <w:spacing w:val="9"/>
        </w:rPr>
        <w:t> </w:t>
      </w:r>
      <w:r>
        <w:rPr/>
        <w:t>a</w:t>
      </w:r>
      <w:r>
        <w:rPr>
          <w:spacing w:val="8"/>
        </w:rPr>
        <w:t> </w:t>
      </w:r>
      <w:r>
        <w:rPr/>
        <w:t>bearish</w:t>
      </w:r>
      <w:r>
        <w:rPr>
          <w:spacing w:val="9"/>
        </w:rPr>
        <w:t> </w:t>
      </w:r>
      <w:r>
        <w:rPr/>
        <w:t>trend.</w:t>
      </w:r>
      <w:r>
        <w:rPr>
          <w:spacing w:val="9"/>
        </w:rPr>
        <w:t> </w:t>
      </w:r>
      <w:r>
        <w:rPr/>
        <w:t>Every</w:t>
      </w:r>
      <w:r>
        <w:rPr>
          <w:spacing w:val="8"/>
        </w:rPr>
        <w:t> </w:t>
      </w:r>
      <w:r>
        <w:rPr/>
        <w:t>pull-back</w:t>
      </w:r>
      <w:r>
        <w:rPr>
          <w:spacing w:val="9"/>
        </w:rPr>
        <w:t> </w:t>
      </w:r>
      <w:r>
        <w:rPr>
          <w:spacing w:val="-5"/>
        </w:rPr>
        <w:t>to</w:t>
      </w:r>
    </w:p>
    <w:p>
      <w:pPr>
        <w:pStyle w:val="BodyText"/>
        <w:ind w:left="470"/>
        <w:jc w:val="both"/>
      </w:pPr>
      <w:r>
        <w:rPr>
          <w:spacing w:val="-26"/>
          <w:u w:val="single"/>
        </w:rPr>
        <w:t> </w:t>
      </w:r>
      <w:r>
        <w:rPr>
          <w:u w:val="single"/>
        </w:rPr>
        <w:t>the</w:t>
      </w:r>
      <w:r>
        <w:rPr>
          <w:spacing w:val="20"/>
          <w:u w:val="single"/>
        </w:rPr>
        <w:t> </w:t>
      </w:r>
      <w:r>
        <w:rPr>
          <w:u w:val="single"/>
        </w:rPr>
        <w:t>monthly</w:t>
      </w:r>
      <w:r>
        <w:rPr>
          <w:spacing w:val="21"/>
          <w:u w:val="single"/>
        </w:rPr>
        <w:t> </w:t>
      </w:r>
      <w:r>
        <w:rPr>
          <w:u w:val="single"/>
        </w:rPr>
        <w:t>H3</w:t>
      </w:r>
      <w:r>
        <w:rPr>
          <w:spacing w:val="22"/>
          <w:u w:val="single"/>
        </w:rPr>
        <w:t> </w:t>
      </w:r>
      <w:r>
        <w:rPr>
          <w:u w:val="single"/>
        </w:rPr>
        <w:t>pivot</w:t>
      </w:r>
      <w:r>
        <w:rPr>
          <w:spacing w:val="21"/>
          <w:u w:val="single"/>
        </w:rPr>
        <w:t> </w:t>
      </w:r>
      <w:r>
        <w:rPr>
          <w:u w:val="single"/>
        </w:rPr>
        <w:t>level</w:t>
      </w:r>
      <w:r>
        <w:rPr>
          <w:spacing w:val="23"/>
          <w:u w:val="single"/>
        </w:rPr>
        <w:t> </w:t>
      </w:r>
      <w:r>
        <w:rPr>
          <w:u w:val="single"/>
        </w:rPr>
        <w:t>was</w:t>
      </w:r>
      <w:r>
        <w:rPr>
          <w:spacing w:val="22"/>
          <w:u w:val="single"/>
        </w:rPr>
        <w:t> </w:t>
      </w:r>
      <w:r>
        <w:rPr>
          <w:u w:val="single"/>
        </w:rPr>
        <w:t>seen</w:t>
      </w:r>
      <w:r>
        <w:rPr>
          <w:spacing w:val="22"/>
          <w:u w:val="single"/>
        </w:rPr>
        <w:t> </w:t>
      </w:r>
      <w:r>
        <w:rPr>
          <w:u w:val="single"/>
        </w:rPr>
        <w:t>as</w:t>
      </w:r>
      <w:r>
        <w:rPr>
          <w:spacing w:val="23"/>
          <w:u w:val="single"/>
        </w:rPr>
        <w:t> </w:t>
      </w:r>
      <w:r>
        <w:rPr>
          <w:u w:val="single"/>
        </w:rPr>
        <w:t>a</w:t>
      </w:r>
      <w:r>
        <w:rPr>
          <w:spacing w:val="22"/>
          <w:u w:val="single"/>
        </w:rPr>
        <w:t> </w:t>
      </w:r>
      <w:r>
        <w:rPr>
          <w:u w:val="single"/>
        </w:rPr>
        <w:t>prime</w:t>
      </w:r>
      <w:r>
        <w:rPr>
          <w:spacing w:val="22"/>
          <w:u w:val="single"/>
        </w:rPr>
        <w:t> </w:t>
      </w:r>
      <w:r>
        <w:rPr>
          <w:u w:val="single"/>
        </w:rPr>
        <w:t>selling</w:t>
      </w:r>
      <w:r>
        <w:rPr>
          <w:spacing w:val="21"/>
          <w:u w:val="single"/>
        </w:rPr>
        <w:t> </w:t>
      </w:r>
      <w:r>
        <w:rPr>
          <w:u w:val="single"/>
        </w:rPr>
        <w:t>opportunity</w:t>
      </w:r>
      <w:r>
        <w:rPr>
          <w:spacing w:val="23"/>
          <w:u w:val="single"/>
        </w:rPr>
        <w:t> </w:t>
      </w:r>
      <w:r>
        <w:rPr>
          <w:spacing w:val="-2"/>
          <w:u w:val="single"/>
        </w:rPr>
        <w:t>during</w:t>
      </w:r>
    </w:p>
    <w:p>
      <w:pPr>
        <w:spacing w:after="0"/>
        <w:jc w:val="both"/>
        <w:sectPr>
          <w:headerReference w:type="default" r:id="rId296"/>
          <w:headerReference w:type="even" r:id="rId297"/>
          <w:footerReference w:type="default" r:id="rId298"/>
          <w:footerReference w:type="even" r:id="rId299"/>
          <w:pgSz w:w="8640" w:h="12960"/>
          <w:pgMar w:header="536" w:footer="985" w:top="720" w:bottom="1180" w:left="580" w:right="580"/>
          <w:pgNumType w:start="253"/>
        </w:sectPr>
      </w:pPr>
    </w:p>
    <w:p>
      <w:pPr>
        <w:pStyle w:val="BodyText"/>
        <w:spacing w:before="5"/>
        <w:rPr>
          <w:sz w:val="18"/>
        </w:rPr>
      </w:pPr>
    </w:p>
    <w:p>
      <w:pPr>
        <w:pStyle w:val="BodyText"/>
        <w:spacing w:before="64"/>
        <w:ind w:left="139" w:right="497"/>
        <w:jc w:val="both"/>
      </w:pPr>
      <w:r>
        <w:rPr/>
        <w:t>this four-month decline. As long as price opens the month below H3, any pull-back to this zone should be a sold, with expectations of price reaching a new low within the trend, which was certainly the case in this scenario.</w:t>
      </w:r>
      <w:r>
        <w:rPr>
          <w:spacing w:val="40"/>
        </w:rPr>
        <w:t> </w:t>
      </w:r>
      <w:r>
        <w:rPr/>
        <w:t>While it didn’t happen during this particular trend, if price were to open the month </w:t>
      </w:r>
      <w:r>
        <w:rPr>
          <w:i/>
        </w:rPr>
        <w:t>below </w:t>
      </w:r>
      <w:r>
        <w:rPr/>
        <w:t>the monthly L3 pivot level, then a pull-back to L3 becomes a selling opportunity.</w:t>
      </w:r>
    </w:p>
    <w:p>
      <w:pPr>
        <w:pStyle w:val="BodyText"/>
        <w:spacing w:before="2"/>
        <w:rPr>
          <w:sz w:val="20"/>
        </w:rPr>
      </w:pPr>
      <w:r>
        <w:rPr/>
        <w:drawing>
          <wp:anchor distT="0" distB="0" distL="0" distR="0" allowOverlap="1" layoutInCell="1" locked="0" behindDoc="0" simplePos="0" relativeHeight="305">
            <wp:simplePos x="0" y="0"/>
            <wp:positionH relativeFrom="page">
              <wp:posOffset>457200</wp:posOffset>
            </wp:positionH>
            <wp:positionV relativeFrom="paragraph">
              <wp:posOffset>162759</wp:posOffset>
            </wp:positionV>
            <wp:extent cx="4342904" cy="3103054"/>
            <wp:effectExtent l="0" t="0" r="0" b="0"/>
            <wp:wrapTopAndBottom/>
            <wp:docPr id="297" name="image155.png"/>
            <wp:cNvGraphicFramePr>
              <a:graphicFrameLocks noChangeAspect="1"/>
            </wp:cNvGraphicFramePr>
            <a:graphic>
              <a:graphicData uri="http://schemas.openxmlformats.org/drawingml/2006/picture">
                <pic:pic>
                  <pic:nvPicPr>
                    <pic:cNvPr id="298" name="image155.png"/>
                    <pic:cNvPicPr/>
                  </pic:nvPicPr>
                  <pic:blipFill>
                    <a:blip r:embed="rId301" cstate="print"/>
                    <a:stretch>
                      <a:fillRect/>
                    </a:stretch>
                  </pic:blipFill>
                  <pic:spPr>
                    <a:xfrm>
                      <a:off x="0" y="0"/>
                      <a:ext cx="4342904" cy="3103054"/>
                    </a:xfrm>
                    <a:prstGeom prst="rect">
                      <a:avLst/>
                    </a:prstGeom>
                  </pic:spPr>
                </pic:pic>
              </a:graphicData>
            </a:graphic>
          </wp:anchor>
        </w:drawing>
      </w:r>
    </w:p>
    <w:p>
      <w:pPr>
        <w:spacing w:before="0"/>
        <w:ind w:left="140" w:right="0" w:firstLine="0"/>
        <w:jc w:val="both"/>
        <w:rPr>
          <w:sz w:val="16"/>
        </w:rPr>
      </w:pPr>
      <w:r>
        <w:rPr>
          <w:sz w:val="16"/>
        </w:rPr>
        <w:t>FIGURE 9.16:</w:t>
      </w:r>
      <w:r>
        <w:rPr>
          <w:spacing w:val="1"/>
          <w:sz w:val="16"/>
        </w:rPr>
        <w:t> </w:t>
      </w:r>
      <w:r>
        <w:rPr>
          <w:sz w:val="16"/>
        </w:rPr>
        <w:t>Selling</w:t>
      </w:r>
      <w:r>
        <w:rPr>
          <w:spacing w:val="1"/>
          <w:sz w:val="16"/>
        </w:rPr>
        <w:t> </w:t>
      </w:r>
      <w:r>
        <w:rPr>
          <w:sz w:val="16"/>
        </w:rPr>
        <w:t>the</w:t>
      </w:r>
      <w:r>
        <w:rPr>
          <w:spacing w:val="1"/>
          <w:sz w:val="16"/>
        </w:rPr>
        <w:t> </w:t>
      </w:r>
      <w:r>
        <w:rPr>
          <w:sz w:val="16"/>
        </w:rPr>
        <w:t>rips</w:t>
      </w:r>
      <w:r>
        <w:rPr>
          <w:spacing w:val="1"/>
          <w:sz w:val="16"/>
        </w:rPr>
        <w:t> </w:t>
      </w:r>
      <w:r>
        <w:rPr>
          <w:sz w:val="16"/>
        </w:rPr>
        <w:t>at</w:t>
      </w:r>
      <w:r>
        <w:rPr>
          <w:spacing w:val="1"/>
          <w:sz w:val="16"/>
        </w:rPr>
        <w:t> </w:t>
      </w:r>
      <w:r>
        <w:rPr>
          <w:sz w:val="16"/>
        </w:rPr>
        <w:t>H3</w:t>
      </w:r>
      <w:r>
        <w:rPr>
          <w:spacing w:val="2"/>
          <w:sz w:val="16"/>
        </w:rPr>
        <w:t> </w:t>
      </w:r>
      <w:r>
        <w:rPr>
          <w:sz w:val="16"/>
        </w:rPr>
        <w:t>in</w:t>
      </w:r>
      <w:r>
        <w:rPr>
          <w:spacing w:val="1"/>
          <w:sz w:val="16"/>
        </w:rPr>
        <w:t> </w:t>
      </w:r>
      <w:r>
        <w:rPr>
          <w:sz w:val="16"/>
        </w:rPr>
        <w:t>a</w:t>
      </w:r>
      <w:r>
        <w:rPr>
          <w:spacing w:val="1"/>
          <w:sz w:val="16"/>
        </w:rPr>
        <w:t> </w:t>
      </w:r>
      <w:r>
        <w:rPr>
          <w:sz w:val="16"/>
        </w:rPr>
        <w:t>bearish</w:t>
      </w:r>
      <w:r>
        <w:rPr>
          <w:spacing w:val="1"/>
          <w:sz w:val="16"/>
        </w:rPr>
        <w:t> </w:t>
      </w:r>
      <w:r>
        <w:rPr>
          <w:sz w:val="16"/>
        </w:rPr>
        <w:t>trend</w:t>
      </w:r>
      <w:r>
        <w:rPr>
          <w:spacing w:val="2"/>
          <w:sz w:val="16"/>
        </w:rPr>
        <w:t> </w:t>
      </w:r>
      <w:r>
        <w:rPr>
          <w:sz w:val="16"/>
        </w:rPr>
        <w:t>in</w:t>
      </w:r>
      <w:r>
        <w:rPr>
          <w:spacing w:val="1"/>
          <w:sz w:val="16"/>
        </w:rPr>
        <w:t> </w:t>
      </w:r>
      <w:r>
        <w:rPr>
          <w:sz w:val="16"/>
        </w:rPr>
        <w:t>Natural</w:t>
      </w:r>
      <w:r>
        <w:rPr>
          <w:spacing w:val="1"/>
          <w:sz w:val="16"/>
        </w:rPr>
        <w:t> </w:t>
      </w:r>
      <w:r>
        <w:rPr>
          <w:spacing w:val="-5"/>
          <w:sz w:val="16"/>
        </w:rPr>
        <w:t>Gas</w:t>
      </w:r>
    </w:p>
    <w:p>
      <w:pPr>
        <w:pStyle w:val="BodyText"/>
        <w:spacing w:before="8"/>
        <w:rPr>
          <w:sz w:val="21"/>
        </w:rPr>
      </w:pPr>
    </w:p>
    <w:p>
      <w:pPr>
        <w:pStyle w:val="BodyText"/>
        <w:ind w:left="140" w:right="495" w:firstLine="432"/>
        <w:jc w:val="both"/>
      </w:pPr>
      <w:r>
        <w:rPr/>
        <w:t>As I mentioned earlier, there are many ways to capitalize on identifying pull-back entry points during a trending market.</w:t>
      </w:r>
      <w:r>
        <w:rPr/>
        <w:t> The Volume at Price indicator offers another method for pinpointing these highly profitable opportunities.</w:t>
      </w:r>
      <w:r>
        <w:rPr>
          <w:spacing w:val="-1"/>
        </w:rPr>
        <w:t> </w:t>
      </w:r>
      <w:r>
        <w:rPr/>
        <w:t>As a matter of fact, this indicator gives a more visual approach to buying and selling during a trend, since you physically are able to see the price points at which the market is putting money to work.</w:t>
      </w:r>
    </w:p>
    <w:p>
      <w:pPr>
        <w:pStyle w:val="BodyText"/>
        <w:ind w:left="140" w:right="493" w:firstLine="432"/>
        <w:jc w:val="both"/>
      </w:pPr>
      <w:r>
        <w:rPr/>
        <w:t>Figure 9.17 shows a daily chart of Whirlpool Corporation during a bullish advance in the middle of 2009. It is important to note that the two- month Unchanged Value relationship in the Volume Point of Control for</w:t>
      </w:r>
      <w:r>
        <w:rPr>
          <w:spacing w:val="40"/>
        </w:rPr>
        <w:t> </w:t>
      </w:r>
      <w:r>
        <w:rPr/>
        <w:t>May and June provided the initial breakout opportunity that sparked the bullish trend in this stock. After this relationship kicked off the bullish trend, every pull-back to the VPOC provided a buying opportunity. The VPOC visually</w:t>
      </w:r>
      <w:r>
        <w:rPr>
          <w:spacing w:val="15"/>
        </w:rPr>
        <w:t> </w:t>
      </w:r>
      <w:r>
        <w:rPr/>
        <w:t>displays</w:t>
      </w:r>
      <w:r>
        <w:rPr>
          <w:spacing w:val="16"/>
        </w:rPr>
        <w:t> </w:t>
      </w:r>
      <w:r>
        <w:rPr/>
        <w:t>where</w:t>
      </w:r>
      <w:r>
        <w:rPr>
          <w:spacing w:val="16"/>
        </w:rPr>
        <w:t> </w:t>
      </w:r>
      <w:r>
        <w:rPr/>
        <w:t>the</w:t>
      </w:r>
      <w:r>
        <w:rPr>
          <w:spacing w:val="17"/>
        </w:rPr>
        <w:t> </w:t>
      </w:r>
      <w:r>
        <w:rPr/>
        <w:t>majority</w:t>
      </w:r>
      <w:r>
        <w:rPr>
          <w:spacing w:val="16"/>
        </w:rPr>
        <w:t> </w:t>
      </w:r>
      <w:r>
        <w:rPr/>
        <w:t>of</w:t>
      </w:r>
      <w:r>
        <w:rPr>
          <w:spacing w:val="16"/>
        </w:rPr>
        <w:t> </w:t>
      </w:r>
      <w:r>
        <w:rPr/>
        <w:t>market</w:t>
      </w:r>
      <w:r>
        <w:rPr>
          <w:spacing w:val="16"/>
        </w:rPr>
        <w:t> </w:t>
      </w:r>
      <w:r>
        <w:rPr/>
        <w:t>participants</w:t>
      </w:r>
      <w:r>
        <w:rPr>
          <w:spacing w:val="16"/>
        </w:rPr>
        <w:t> </w:t>
      </w:r>
      <w:r>
        <w:rPr/>
        <w:t>have</w:t>
      </w:r>
      <w:r>
        <w:rPr>
          <w:spacing w:val="16"/>
        </w:rPr>
        <w:t> </w:t>
      </w:r>
      <w:r>
        <w:rPr/>
        <w:t>put</w:t>
      </w:r>
      <w:r>
        <w:rPr>
          <w:spacing w:val="16"/>
        </w:rPr>
        <w:t> </w:t>
      </w:r>
      <w:r>
        <w:rPr>
          <w:spacing w:val="-2"/>
        </w:rPr>
        <w:t>money</w:t>
      </w:r>
    </w:p>
    <w:p>
      <w:pPr>
        <w:pStyle w:val="BodyText"/>
        <w:spacing w:before="1"/>
        <w:ind w:left="110"/>
        <w:jc w:val="both"/>
      </w:pPr>
      <w:r>
        <w:rPr>
          <w:spacing w:val="-26"/>
          <w:u w:val="single"/>
        </w:rPr>
        <w:t> </w:t>
      </w:r>
      <w:r>
        <w:rPr>
          <w:u w:val="single"/>
        </w:rPr>
        <w:t>to</w:t>
      </w:r>
      <w:r>
        <w:rPr>
          <w:spacing w:val="61"/>
          <w:w w:val="150"/>
          <w:u w:val="single"/>
        </w:rPr>
        <w:t> </w:t>
      </w:r>
      <w:r>
        <w:rPr>
          <w:u w:val="single"/>
        </w:rPr>
        <w:t>work.</w:t>
      </w:r>
      <w:r>
        <w:rPr>
          <w:spacing w:val="61"/>
          <w:w w:val="150"/>
          <w:u w:val="single"/>
        </w:rPr>
        <w:t> </w:t>
      </w:r>
      <w:r>
        <w:rPr>
          <w:u w:val="single"/>
        </w:rPr>
        <w:t>Therefore,</w:t>
      </w:r>
      <w:r>
        <w:rPr>
          <w:spacing w:val="61"/>
          <w:w w:val="150"/>
          <w:u w:val="single"/>
        </w:rPr>
        <w:t> </w:t>
      </w:r>
      <w:r>
        <w:rPr>
          <w:u w:val="single"/>
        </w:rPr>
        <w:t>when</w:t>
      </w:r>
      <w:r>
        <w:rPr>
          <w:spacing w:val="62"/>
          <w:w w:val="150"/>
          <w:u w:val="single"/>
        </w:rPr>
        <w:t> </w:t>
      </w:r>
      <w:r>
        <w:rPr>
          <w:u w:val="single"/>
        </w:rPr>
        <w:t>price</w:t>
      </w:r>
      <w:r>
        <w:rPr>
          <w:spacing w:val="62"/>
          <w:w w:val="150"/>
          <w:u w:val="single"/>
        </w:rPr>
        <w:t> </w:t>
      </w:r>
      <w:r>
        <w:rPr>
          <w:u w:val="single"/>
        </w:rPr>
        <w:t>returns</w:t>
      </w:r>
      <w:r>
        <w:rPr>
          <w:spacing w:val="62"/>
          <w:w w:val="150"/>
          <w:u w:val="single"/>
        </w:rPr>
        <w:t> </w:t>
      </w:r>
      <w:r>
        <w:rPr>
          <w:u w:val="single"/>
        </w:rPr>
        <w:t>to</w:t>
      </w:r>
      <w:r>
        <w:rPr>
          <w:spacing w:val="62"/>
          <w:w w:val="150"/>
          <w:u w:val="single"/>
        </w:rPr>
        <w:t> </w:t>
      </w:r>
      <w:r>
        <w:rPr>
          <w:u w:val="single"/>
        </w:rPr>
        <w:t>the</w:t>
      </w:r>
      <w:r>
        <w:rPr>
          <w:spacing w:val="61"/>
          <w:w w:val="150"/>
          <w:u w:val="single"/>
        </w:rPr>
        <w:t> </w:t>
      </w:r>
      <w:r>
        <w:rPr>
          <w:u w:val="single"/>
        </w:rPr>
        <w:t>high</w:t>
      </w:r>
      <w:r>
        <w:rPr>
          <w:spacing w:val="61"/>
          <w:w w:val="150"/>
          <w:u w:val="single"/>
        </w:rPr>
        <w:t> </w:t>
      </w:r>
      <w:r>
        <w:rPr>
          <w:u w:val="single"/>
        </w:rPr>
        <w:t>volume</w:t>
      </w:r>
      <w:r>
        <w:rPr>
          <w:spacing w:val="64"/>
          <w:w w:val="150"/>
          <w:u w:val="single"/>
        </w:rPr>
        <w:t> </w:t>
      </w:r>
      <w:r>
        <w:rPr>
          <w:spacing w:val="-2"/>
          <w:u w:val="single"/>
        </w:rPr>
        <w:t>clusters,</w:t>
      </w:r>
    </w:p>
    <w:p>
      <w:pPr>
        <w:spacing w:after="0"/>
        <w:jc w:val="both"/>
        <w:sectPr>
          <w:pgSz w:w="8640" w:h="12960"/>
          <w:pgMar w:header="579" w:footer="985" w:top="760" w:bottom="1180" w:left="580" w:right="580"/>
        </w:sectPr>
      </w:pPr>
    </w:p>
    <w:p>
      <w:pPr>
        <w:pStyle w:val="BodyText"/>
        <w:spacing w:before="3"/>
      </w:pPr>
    </w:p>
    <w:p>
      <w:pPr>
        <w:pStyle w:val="BodyText"/>
        <w:spacing w:before="64"/>
        <w:ind w:left="500"/>
      </w:pPr>
      <w:r>
        <w:rPr/>
        <w:t>responsive buyers enter the market to push price higher. This type of market dynamic allows this indicator to flourish during trending markets.</w:t>
      </w:r>
    </w:p>
    <w:p>
      <w:pPr>
        <w:pStyle w:val="BodyText"/>
        <w:spacing w:before="2"/>
        <w:rPr>
          <w:sz w:val="20"/>
        </w:rPr>
      </w:pPr>
      <w:r>
        <w:rPr/>
        <w:drawing>
          <wp:anchor distT="0" distB="0" distL="0" distR="0" allowOverlap="1" layoutInCell="1" locked="0" behindDoc="0" simplePos="0" relativeHeight="306">
            <wp:simplePos x="0" y="0"/>
            <wp:positionH relativeFrom="page">
              <wp:posOffset>685800</wp:posOffset>
            </wp:positionH>
            <wp:positionV relativeFrom="paragraph">
              <wp:posOffset>162909</wp:posOffset>
            </wp:positionV>
            <wp:extent cx="4342904" cy="3103054"/>
            <wp:effectExtent l="0" t="0" r="0" b="0"/>
            <wp:wrapTopAndBottom/>
            <wp:docPr id="299" name="image156.png"/>
            <wp:cNvGraphicFramePr>
              <a:graphicFrameLocks noChangeAspect="1"/>
            </wp:cNvGraphicFramePr>
            <a:graphic>
              <a:graphicData uri="http://schemas.openxmlformats.org/drawingml/2006/picture">
                <pic:pic>
                  <pic:nvPicPr>
                    <pic:cNvPr id="300" name="image156.png"/>
                    <pic:cNvPicPr/>
                  </pic:nvPicPr>
                  <pic:blipFill>
                    <a:blip r:embed="rId306" cstate="print"/>
                    <a:stretch>
                      <a:fillRect/>
                    </a:stretch>
                  </pic:blipFill>
                  <pic:spPr>
                    <a:xfrm>
                      <a:off x="0" y="0"/>
                      <a:ext cx="4342904" cy="3103054"/>
                    </a:xfrm>
                    <a:prstGeom prst="rect">
                      <a:avLst/>
                    </a:prstGeom>
                  </pic:spPr>
                </pic:pic>
              </a:graphicData>
            </a:graphic>
          </wp:anchor>
        </w:drawing>
      </w:r>
    </w:p>
    <w:p>
      <w:pPr>
        <w:spacing w:before="0"/>
        <w:ind w:left="500" w:right="0" w:firstLine="0"/>
        <w:jc w:val="left"/>
        <w:rPr>
          <w:sz w:val="16"/>
        </w:rPr>
      </w:pPr>
      <w:r>
        <w:rPr>
          <w:sz w:val="16"/>
        </w:rPr>
        <w:t>FIGURE 9.17:</w:t>
      </w:r>
      <w:r>
        <w:rPr>
          <w:spacing w:val="1"/>
          <w:sz w:val="16"/>
        </w:rPr>
        <w:t> </w:t>
      </w:r>
      <w:r>
        <w:rPr>
          <w:sz w:val="16"/>
        </w:rPr>
        <w:t>Buying</w:t>
      </w:r>
      <w:r>
        <w:rPr>
          <w:spacing w:val="1"/>
          <w:sz w:val="16"/>
        </w:rPr>
        <w:t> </w:t>
      </w:r>
      <w:r>
        <w:rPr>
          <w:sz w:val="16"/>
        </w:rPr>
        <w:t>the</w:t>
      </w:r>
      <w:r>
        <w:rPr>
          <w:spacing w:val="1"/>
          <w:sz w:val="16"/>
        </w:rPr>
        <w:t> </w:t>
      </w:r>
      <w:r>
        <w:rPr>
          <w:sz w:val="16"/>
        </w:rPr>
        <w:t>dips</w:t>
      </w:r>
      <w:r>
        <w:rPr>
          <w:spacing w:val="1"/>
          <w:sz w:val="16"/>
        </w:rPr>
        <w:t> </w:t>
      </w:r>
      <w:r>
        <w:rPr>
          <w:sz w:val="16"/>
        </w:rPr>
        <w:t>at</w:t>
      </w:r>
      <w:r>
        <w:rPr>
          <w:spacing w:val="1"/>
          <w:sz w:val="16"/>
        </w:rPr>
        <w:t> </w:t>
      </w:r>
      <w:r>
        <w:rPr>
          <w:sz w:val="16"/>
        </w:rPr>
        <w:t>VPOC</w:t>
      </w:r>
      <w:r>
        <w:rPr>
          <w:spacing w:val="1"/>
          <w:sz w:val="16"/>
        </w:rPr>
        <w:t> </w:t>
      </w:r>
      <w:r>
        <w:rPr>
          <w:sz w:val="16"/>
        </w:rPr>
        <w:t>during a</w:t>
      </w:r>
      <w:r>
        <w:rPr>
          <w:spacing w:val="1"/>
          <w:sz w:val="16"/>
        </w:rPr>
        <w:t> </w:t>
      </w:r>
      <w:r>
        <w:rPr>
          <w:sz w:val="16"/>
        </w:rPr>
        <w:t>bullish</w:t>
      </w:r>
      <w:r>
        <w:rPr>
          <w:spacing w:val="1"/>
          <w:sz w:val="16"/>
        </w:rPr>
        <w:t> </w:t>
      </w:r>
      <w:r>
        <w:rPr>
          <w:sz w:val="16"/>
        </w:rPr>
        <w:t>trend</w:t>
      </w:r>
      <w:r>
        <w:rPr>
          <w:spacing w:val="1"/>
          <w:sz w:val="16"/>
        </w:rPr>
        <w:t> </w:t>
      </w:r>
      <w:r>
        <w:rPr>
          <w:sz w:val="16"/>
        </w:rPr>
        <w:t>in</w:t>
      </w:r>
      <w:r>
        <w:rPr>
          <w:spacing w:val="1"/>
          <w:sz w:val="16"/>
        </w:rPr>
        <w:t> </w:t>
      </w:r>
      <w:r>
        <w:rPr>
          <w:sz w:val="16"/>
        </w:rPr>
        <w:t>Whirlpool</w:t>
      </w:r>
      <w:r>
        <w:rPr>
          <w:spacing w:val="1"/>
          <w:sz w:val="16"/>
        </w:rPr>
        <w:t> </w:t>
      </w:r>
      <w:r>
        <w:rPr>
          <w:spacing w:val="-2"/>
          <w:sz w:val="16"/>
        </w:rPr>
        <w:t>Corporation</w:t>
      </w:r>
    </w:p>
    <w:p>
      <w:pPr>
        <w:pStyle w:val="BodyText"/>
        <w:spacing w:before="8"/>
        <w:rPr>
          <w:sz w:val="21"/>
        </w:rPr>
      </w:pPr>
    </w:p>
    <w:p>
      <w:pPr>
        <w:pStyle w:val="BodyText"/>
        <w:ind w:left="499" w:right="135" w:firstLine="432"/>
        <w:jc w:val="both"/>
      </w:pPr>
      <w:r>
        <w:rPr/>
        <w:t>Remember, the suite of developing pivot indicators that I have introduced in prior chapters allow you to easily anticipate market behavior and plan your trades accordingly. Let’s take a look at this process in more detail. Figure 9.18 shows a daily chart of the EUR/USD forex pair with the Developing Pivot Range indicator plotted. This particular cross rate had been trending higher in a predictable manner, but the trend was severely violated</w:t>
      </w:r>
      <w:r>
        <w:rPr>
          <w:spacing w:val="40"/>
        </w:rPr>
        <w:t> </w:t>
      </w:r>
      <w:r>
        <w:rPr/>
        <w:t>in December 2009. As a matter of fact, the developing indicator showed a highly bearish Lower Value relationship for the following month, January 2010, which helped us visualize a plan of action. Given the bearish two- month relationship, it’s easy to see that any pull-back to the central pivot range between 1.444 and 1.468 should be seen as a selling opportunity, especially if the right signal confirmation is present. We now have a plan of action, but the market must prove our theory by opening anywhere below the top of the pivot range. If this occurs, market participants will be ready to pounce with sell orders.</w:t>
      </w:r>
    </w:p>
    <w:p>
      <w:pPr>
        <w:spacing w:after="0"/>
        <w:jc w:val="both"/>
        <w:sectPr>
          <w:headerReference w:type="default" r:id="rId302"/>
          <w:headerReference w:type="even" r:id="rId303"/>
          <w:footerReference w:type="default" r:id="rId304"/>
          <w:footerReference w:type="even" r:id="rId305"/>
          <w:pgSz w:w="8640" w:h="12960"/>
          <w:pgMar w:header="536" w:footer="1060" w:top="720" w:bottom="1260" w:left="580" w:right="580"/>
          <w:pgNumType w:start="255"/>
        </w:sectPr>
      </w:pPr>
    </w:p>
    <w:p>
      <w:pPr>
        <w:pStyle w:val="BodyText"/>
        <w:spacing w:before="3"/>
        <w:rPr>
          <w:sz w:val="24"/>
        </w:rPr>
      </w:pPr>
    </w:p>
    <w:p>
      <w:pPr>
        <w:pStyle w:val="BodyText"/>
        <w:ind w:left="140"/>
        <w:rPr>
          <w:sz w:val="20"/>
        </w:rPr>
      </w:pPr>
      <w:r>
        <w:rPr>
          <w:sz w:val="20"/>
        </w:rPr>
        <w:drawing>
          <wp:inline distT="0" distB="0" distL="0" distR="0">
            <wp:extent cx="4304849" cy="3068954"/>
            <wp:effectExtent l="0" t="0" r="0" b="0"/>
            <wp:docPr id="301" name="image157.png"/>
            <wp:cNvGraphicFramePr>
              <a:graphicFrameLocks noChangeAspect="1"/>
            </wp:cNvGraphicFramePr>
            <a:graphic>
              <a:graphicData uri="http://schemas.openxmlformats.org/drawingml/2006/picture">
                <pic:pic>
                  <pic:nvPicPr>
                    <pic:cNvPr id="302" name="image157.png"/>
                    <pic:cNvPicPr/>
                  </pic:nvPicPr>
                  <pic:blipFill>
                    <a:blip r:embed="rId307" cstate="print"/>
                    <a:stretch>
                      <a:fillRect/>
                    </a:stretch>
                  </pic:blipFill>
                  <pic:spPr>
                    <a:xfrm>
                      <a:off x="0" y="0"/>
                      <a:ext cx="4304849" cy="3068954"/>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1"/>
          <w:sz w:val="16"/>
        </w:rPr>
        <w:t> </w:t>
      </w:r>
      <w:r>
        <w:rPr>
          <w:sz w:val="16"/>
        </w:rPr>
        <w:t>9.18: The DPR</w:t>
      </w:r>
      <w:r>
        <w:rPr>
          <w:spacing w:val="-1"/>
          <w:sz w:val="16"/>
        </w:rPr>
        <w:t> </w:t>
      </w:r>
      <w:r>
        <w:rPr>
          <w:sz w:val="16"/>
        </w:rPr>
        <w:t>indicator helps</w:t>
      </w:r>
      <w:r>
        <w:rPr>
          <w:spacing w:val="-1"/>
          <w:sz w:val="16"/>
        </w:rPr>
        <w:t> </w:t>
      </w:r>
      <w:r>
        <w:rPr>
          <w:sz w:val="16"/>
        </w:rPr>
        <w:t>us identify a</w:t>
      </w:r>
      <w:r>
        <w:rPr>
          <w:spacing w:val="-1"/>
          <w:sz w:val="16"/>
        </w:rPr>
        <w:t> </w:t>
      </w:r>
      <w:r>
        <w:rPr>
          <w:sz w:val="16"/>
        </w:rPr>
        <w:t>Lower Value</w:t>
      </w:r>
      <w:r>
        <w:rPr>
          <w:spacing w:val="1"/>
          <w:sz w:val="16"/>
        </w:rPr>
        <w:t> </w:t>
      </w:r>
      <w:r>
        <w:rPr>
          <w:sz w:val="16"/>
        </w:rPr>
        <w:t>relationship</w:t>
      </w:r>
      <w:r>
        <w:rPr>
          <w:spacing w:val="-1"/>
          <w:sz w:val="16"/>
        </w:rPr>
        <w:t> </w:t>
      </w:r>
      <w:r>
        <w:rPr>
          <w:sz w:val="16"/>
        </w:rPr>
        <w:t>in </w:t>
      </w:r>
      <w:r>
        <w:rPr>
          <w:spacing w:val="-2"/>
          <w:sz w:val="16"/>
        </w:rPr>
        <w:t>EUR/USD.</w:t>
      </w:r>
    </w:p>
    <w:p>
      <w:pPr>
        <w:pStyle w:val="BodyText"/>
        <w:spacing w:before="1"/>
      </w:pPr>
    </w:p>
    <w:p>
      <w:pPr>
        <w:pStyle w:val="BodyText"/>
        <w:ind w:left="139" w:right="494" w:firstLine="432"/>
        <w:jc w:val="both"/>
      </w:pPr>
      <w:r>
        <w:rPr/>
        <w:t>Let’s take a look at Figure 9.19 to see how our plan turned out. Price opened the month of January below the pivot range and pushed cautiously higher into the range until meeting resistance at the central pivot point. Price stalled at this monthly pivot and eventually formed a bearish doji reversal signal, which helped to identify selling pressure in this pair. The Euro then dropped sharply versus the U.S. Dollar and pushed steadily lower the rest of the month, thereby proving our initial plan of action. This is the type of pre- trade analysis that creates wealth in the markets. By identifying major points of interest for the following month using the developing indicator, we were able to create a plan of action for the following month, which proved to be highly profitable. Plan the trade; trade the plan.</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849" cy="3068954"/>
            <wp:effectExtent l="0" t="0" r="0" b="0"/>
            <wp:docPr id="303" name="image158.png"/>
            <wp:cNvGraphicFramePr>
              <a:graphicFrameLocks noChangeAspect="1"/>
            </wp:cNvGraphicFramePr>
            <a:graphic>
              <a:graphicData uri="http://schemas.openxmlformats.org/drawingml/2006/picture">
                <pic:pic>
                  <pic:nvPicPr>
                    <pic:cNvPr id="304" name="image158.png"/>
                    <pic:cNvPicPr/>
                  </pic:nvPicPr>
                  <pic:blipFill>
                    <a:blip r:embed="rId308" cstate="print"/>
                    <a:stretch>
                      <a:fillRect/>
                    </a:stretch>
                  </pic:blipFill>
                  <pic:spPr>
                    <a:xfrm>
                      <a:off x="0" y="0"/>
                      <a:ext cx="4304849" cy="3068954"/>
                    </a:xfrm>
                    <a:prstGeom prst="rect">
                      <a:avLst/>
                    </a:prstGeom>
                  </pic:spPr>
                </pic:pic>
              </a:graphicData>
            </a:graphic>
          </wp:inline>
        </w:drawing>
      </w:r>
      <w:r>
        <w:rPr>
          <w:sz w:val="20"/>
        </w:rPr>
      </w:r>
    </w:p>
    <w:p>
      <w:pPr>
        <w:spacing w:before="49"/>
        <w:ind w:left="500" w:right="0" w:firstLine="0"/>
        <w:jc w:val="left"/>
        <w:rPr>
          <w:sz w:val="16"/>
        </w:rPr>
      </w:pPr>
      <w:r>
        <w:rPr>
          <w:sz w:val="16"/>
        </w:rPr>
        <w:t>FIGURE 9.19:</w:t>
      </w:r>
      <w:r>
        <w:rPr>
          <w:spacing w:val="1"/>
          <w:sz w:val="16"/>
        </w:rPr>
        <w:t> </w:t>
      </w:r>
      <w:r>
        <w:rPr>
          <w:sz w:val="16"/>
        </w:rPr>
        <w:t>A</w:t>
      </w:r>
      <w:r>
        <w:rPr>
          <w:spacing w:val="4"/>
          <w:sz w:val="16"/>
        </w:rPr>
        <w:t> </w:t>
      </w:r>
      <w:r>
        <w:rPr>
          <w:sz w:val="16"/>
        </w:rPr>
        <w:t>pull-back</w:t>
      </w:r>
      <w:r>
        <w:rPr>
          <w:spacing w:val="1"/>
          <w:sz w:val="16"/>
        </w:rPr>
        <w:t> </w:t>
      </w:r>
      <w:r>
        <w:rPr>
          <w:sz w:val="16"/>
        </w:rPr>
        <w:t>to</w:t>
      </w:r>
      <w:r>
        <w:rPr>
          <w:spacing w:val="1"/>
          <w:sz w:val="16"/>
        </w:rPr>
        <w:t> </w:t>
      </w:r>
      <w:r>
        <w:rPr>
          <w:sz w:val="16"/>
        </w:rPr>
        <w:t>the</w:t>
      </w:r>
      <w:r>
        <w:rPr>
          <w:spacing w:val="1"/>
          <w:sz w:val="16"/>
        </w:rPr>
        <w:t> </w:t>
      </w:r>
      <w:r>
        <w:rPr>
          <w:sz w:val="16"/>
        </w:rPr>
        <w:t>pivot range</w:t>
      </w:r>
      <w:r>
        <w:rPr>
          <w:spacing w:val="1"/>
          <w:sz w:val="16"/>
        </w:rPr>
        <w:t> </w:t>
      </w:r>
      <w:r>
        <w:rPr>
          <w:sz w:val="16"/>
        </w:rPr>
        <w:t>proved</w:t>
      </w:r>
      <w:r>
        <w:rPr>
          <w:spacing w:val="1"/>
          <w:sz w:val="16"/>
        </w:rPr>
        <w:t> </w:t>
      </w:r>
      <w:r>
        <w:rPr>
          <w:sz w:val="16"/>
        </w:rPr>
        <w:t>to</w:t>
      </w:r>
      <w:r>
        <w:rPr>
          <w:spacing w:val="1"/>
          <w:sz w:val="16"/>
        </w:rPr>
        <w:t> </w:t>
      </w:r>
      <w:r>
        <w:rPr>
          <w:sz w:val="16"/>
        </w:rPr>
        <w:t>be</w:t>
      </w:r>
      <w:r>
        <w:rPr>
          <w:spacing w:val="1"/>
          <w:sz w:val="16"/>
        </w:rPr>
        <w:t> </w:t>
      </w:r>
      <w:r>
        <w:rPr>
          <w:sz w:val="16"/>
        </w:rPr>
        <w:t>a</w:t>
      </w:r>
      <w:r>
        <w:rPr>
          <w:spacing w:val="1"/>
          <w:sz w:val="16"/>
        </w:rPr>
        <w:t> </w:t>
      </w:r>
      <w:r>
        <w:rPr>
          <w:sz w:val="16"/>
        </w:rPr>
        <w:t>nice selling</w:t>
      </w:r>
      <w:r>
        <w:rPr>
          <w:spacing w:val="2"/>
          <w:sz w:val="16"/>
        </w:rPr>
        <w:t> </w:t>
      </w:r>
      <w:r>
        <w:rPr>
          <w:sz w:val="16"/>
        </w:rPr>
        <w:t>point</w:t>
      </w:r>
      <w:r>
        <w:rPr>
          <w:spacing w:val="1"/>
          <w:sz w:val="16"/>
        </w:rPr>
        <w:t> </w:t>
      </w:r>
      <w:r>
        <w:rPr>
          <w:sz w:val="16"/>
        </w:rPr>
        <w:t>in</w:t>
      </w:r>
      <w:r>
        <w:rPr>
          <w:spacing w:val="1"/>
          <w:sz w:val="16"/>
        </w:rPr>
        <w:t> </w:t>
      </w:r>
      <w:r>
        <w:rPr>
          <w:spacing w:val="-2"/>
          <w:sz w:val="16"/>
        </w:rPr>
        <w:t>EUR/USD.</w:t>
      </w:r>
    </w:p>
    <w:p>
      <w:pPr>
        <w:pStyle w:val="BodyText"/>
      </w:pPr>
    </w:p>
    <w:p>
      <w:pPr>
        <w:pStyle w:val="Heading3"/>
        <w:spacing w:before="1"/>
        <w:ind w:left="500"/>
      </w:pPr>
      <w:r>
        <w:rPr/>
        <w:pict>
          <v:shape style="position:absolute;margin-left:54.779999pt;margin-top:18.340302pt;width:341pt;height:.1pt;mso-position-horizontal-relative:page;mso-position-vertical-relative:paragraph;z-index:-15571456;mso-wrap-distance-left:0;mso-wrap-distance-right:0" id="docshape848" coordorigin="1096,367" coordsize="6820,0" path="m1096,367l7915,367e" filled="false" stroked="true" strokeweight=".75pt" strokecolor="#000000">
            <v:path arrowok="t"/>
            <v:stroke dashstyle="solid"/>
            <w10:wrap type="topAndBottom"/>
          </v:shape>
        </w:pict>
      </w:r>
      <w:bookmarkStart w:name="_TOC_250015" w:id="76"/>
      <w:r>
        <w:rPr>
          <w:smallCaps/>
        </w:rPr>
        <w:t>Trading</w:t>
      </w:r>
      <w:r>
        <w:rPr>
          <w:smallCaps/>
          <w:spacing w:val="-11"/>
        </w:rPr>
        <w:t> </w:t>
      </w:r>
      <w:r>
        <w:rPr>
          <w:smallCaps/>
        </w:rPr>
        <w:t>the</w:t>
      </w:r>
      <w:r>
        <w:rPr>
          <w:smallCaps/>
          <w:spacing w:val="-8"/>
        </w:rPr>
        <w:t> </w:t>
      </w:r>
      <w:r>
        <w:rPr>
          <w:smallCaps/>
        </w:rPr>
        <w:t>Big</w:t>
      </w:r>
      <w:r>
        <w:rPr>
          <w:smallCaps/>
          <w:spacing w:val="-7"/>
        </w:rPr>
        <w:t> </w:t>
      </w:r>
      <w:bookmarkEnd w:id="76"/>
      <w:r>
        <w:rPr>
          <w:smallCaps/>
          <w:spacing w:val="-2"/>
        </w:rPr>
        <w:t>Picture</w:t>
      </w:r>
    </w:p>
    <w:p>
      <w:pPr>
        <w:pStyle w:val="BodyText"/>
        <w:spacing w:before="203"/>
        <w:ind w:left="500" w:right="135" w:firstLine="432"/>
        <w:jc w:val="both"/>
      </w:pPr>
      <w:r>
        <w:rPr/>
        <w:t>Higher timeframe pivot analysis offers extremely powerful methods for trading longer-term opportunities. The pivot concepts that we have covered span across timeframes, allowing various types of traders to benefit from these highly profitable opportunities. However, concepts like pivot trend analysis, pivot width analysis, and pivot relationships offer much more bang for the buck for long-term traders, as the money made during these opportunities</w:t>
      </w:r>
      <w:r>
        <w:rPr>
          <w:spacing w:val="-1"/>
        </w:rPr>
        <w:t> </w:t>
      </w:r>
      <w:r>
        <w:rPr/>
        <w:t>far</w:t>
      </w:r>
      <w:r>
        <w:rPr>
          <w:spacing w:val="-1"/>
        </w:rPr>
        <w:t> </w:t>
      </w:r>
      <w:r>
        <w:rPr/>
        <w:t>exceeds</w:t>
      </w:r>
      <w:r>
        <w:rPr>
          <w:spacing w:val="-1"/>
        </w:rPr>
        <w:t> </w:t>
      </w:r>
      <w:r>
        <w:rPr/>
        <w:t>typical</w:t>
      </w:r>
      <w:r>
        <w:rPr>
          <w:spacing w:val="-1"/>
        </w:rPr>
        <w:t> </w:t>
      </w:r>
      <w:r>
        <w:rPr/>
        <w:t>intraday</w:t>
      </w:r>
      <w:r>
        <w:rPr>
          <w:spacing w:val="-1"/>
        </w:rPr>
        <w:t> </w:t>
      </w:r>
      <w:r>
        <w:rPr/>
        <w:t>trading</w:t>
      </w:r>
      <w:r>
        <w:rPr>
          <w:spacing w:val="-1"/>
        </w:rPr>
        <w:t> </w:t>
      </w:r>
      <w:r>
        <w:rPr/>
        <w:t>profits.</w:t>
      </w:r>
      <w:r>
        <w:rPr>
          <w:spacing w:val="-1"/>
        </w:rPr>
        <w:t> </w:t>
      </w:r>
      <w:r>
        <w:rPr/>
        <w:t>Moreover,</w:t>
      </w:r>
      <w:r>
        <w:rPr>
          <w:spacing w:val="-1"/>
        </w:rPr>
        <w:t> </w:t>
      </w:r>
      <w:r>
        <w:rPr/>
        <w:t>planning your trades using the developing suite of indicators creates a sweet recipe for </w:t>
      </w:r>
      <w:r>
        <w:rPr>
          <w:spacing w:val="-2"/>
        </w:rPr>
        <w:t>success.</w:t>
      </w:r>
    </w:p>
    <w:p>
      <w:pPr>
        <w:pStyle w:val="BodyText"/>
        <w:ind w:left="500" w:right="139" w:firstLine="432"/>
        <w:jc w:val="both"/>
      </w:pPr>
      <w:r>
        <w:rPr/>
        <w:t>Traders wanting to utilize these concepts simultaneously in both real- time</w:t>
      </w:r>
      <w:r>
        <w:rPr>
          <w:spacing w:val="40"/>
        </w:rPr>
        <w:t> </w:t>
      </w:r>
      <w:r>
        <w:rPr/>
        <w:t>and</w:t>
      </w:r>
      <w:r>
        <w:rPr>
          <w:spacing w:val="40"/>
        </w:rPr>
        <w:t> </w:t>
      </w:r>
      <w:r>
        <w:rPr/>
        <w:t>end-of-day</w:t>
      </w:r>
      <w:r>
        <w:rPr>
          <w:spacing w:val="40"/>
        </w:rPr>
        <w:t> </w:t>
      </w:r>
      <w:r>
        <w:rPr/>
        <w:t>trading</w:t>
      </w:r>
      <w:r>
        <w:rPr>
          <w:spacing w:val="40"/>
        </w:rPr>
        <w:t> </w:t>
      </w:r>
      <w:r>
        <w:rPr/>
        <w:t>can</w:t>
      </w:r>
      <w:r>
        <w:rPr>
          <w:spacing w:val="40"/>
        </w:rPr>
        <w:t> </w:t>
      </w:r>
      <w:r>
        <w:rPr/>
        <w:t>add</w:t>
      </w:r>
      <w:r>
        <w:rPr>
          <w:spacing w:val="40"/>
        </w:rPr>
        <w:t> </w:t>
      </w:r>
      <w:r>
        <w:rPr/>
        <w:t>an</w:t>
      </w:r>
      <w:r>
        <w:rPr>
          <w:spacing w:val="40"/>
        </w:rPr>
        <w:t> </w:t>
      </w:r>
      <w:r>
        <w:rPr/>
        <w:t>interesting</w:t>
      </w:r>
      <w:r>
        <w:rPr>
          <w:spacing w:val="40"/>
        </w:rPr>
        <w:t> </w:t>
      </w:r>
      <w:r>
        <w:rPr/>
        <w:t>dimension</w:t>
      </w:r>
      <w:r>
        <w:rPr>
          <w:spacing w:val="40"/>
        </w:rPr>
        <w:t> </w:t>
      </w:r>
      <w:r>
        <w:rPr/>
        <w:t>to</w:t>
      </w:r>
      <w:r>
        <w:rPr>
          <w:spacing w:val="40"/>
        </w:rPr>
        <w:t> </w:t>
      </w:r>
      <w:r>
        <w:rPr/>
        <w:t>their trading approach. The ability to profit from long-term positions, while benefiting</w:t>
      </w:r>
      <w:r>
        <w:rPr>
          <w:spacing w:val="40"/>
        </w:rPr>
        <w:t> </w:t>
      </w:r>
      <w:r>
        <w:rPr/>
        <w:t>from</w:t>
      </w:r>
      <w:r>
        <w:rPr>
          <w:spacing w:val="40"/>
        </w:rPr>
        <w:t> </w:t>
      </w:r>
      <w:r>
        <w:rPr/>
        <w:t>intraday</w:t>
      </w:r>
      <w:r>
        <w:rPr>
          <w:spacing w:val="40"/>
        </w:rPr>
        <w:t> </w:t>
      </w:r>
      <w:r>
        <w:rPr/>
        <w:t>swings,</w:t>
      </w:r>
      <w:r>
        <w:rPr>
          <w:spacing w:val="40"/>
        </w:rPr>
        <w:t> </w:t>
      </w:r>
      <w:r>
        <w:rPr/>
        <w:t>provides</w:t>
      </w:r>
      <w:r>
        <w:rPr>
          <w:spacing w:val="40"/>
        </w:rPr>
        <w:t> </w:t>
      </w:r>
      <w:r>
        <w:rPr/>
        <w:t>additional</w:t>
      </w:r>
      <w:r>
        <w:rPr>
          <w:spacing w:val="40"/>
        </w:rPr>
        <w:t> </w:t>
      </w:r>
      <w:r>
        <w:rPr/>
        <w:t>income</w:t>
      </w:r>
      <w:r>
        <w:rPr>
          <w:spacing w:val="40"/>
        </w:rPr>
        <w:t> </w:t>
      </w:r>
      <w:r>
        <w:rPr/>
        <w:t>and</w:t>
      </w:r>
      <w:r>
        <w:rPr>
          <w:spacing w:val="40"/>
        </w:rPr>
        <w:t> </w:t>
      </w:r>
      <w:r>
        <w:rPr/>
        <w:t>relieves the day-to-day pressures of intraday trading. Knowing that you have a profitable swing or position trade in your hip pocket can do wonders for</w:t>
      </w:r>
      <w:r>
        <w:rPr>
          <w:spacing w:val="80"/>
          <w:w w:val="150"/>
        </w:rPr>
        <w:t> </w:t>
      </w:r>
      <w:r>
        <w:rPr/>
        <w:t>your</w:t>
      </w:r>
      <w:r>
        <w:rPr>
          <w:spacing w:val="40"/>
        </w:rPr>
        <w:t> </w:t>
      </w:r>
      <w:r>
        <w:rPr/>
        <w:t>intraday</w:t>
      </w:r>
      <w:r>
        <w:rPr>
          <w:spacing w:val="40"/>
        </w:rPr>
        <w:t> </w:t>
      </w:r>
      <w:r>
        <w:rPr/>
        <w:t>approach,</w:t>
      </w:r>
      <w:r>
        <w:rPr>
          <w:spacing w:val="40"/>
        </w:rPr>
        <w:t> </w:t>
      </w:r>
      <w:r>
        <w:rPr/>
        <w:t>as</w:t>
      </w:r>
      <w:r>
        <w:rPr>
          <w:spacing w:val="40"/>
        </w:rPr>
        <w:t> </w:t>
      </w:r>
      <w:r>
        <w:rPr/>
        <w:t>you</w:t>
      </w:r>
      <w:r>
        <w:rPr>
          <w:spacing w:val="40"/>
        </w:rPr>
        <w:t> </w:t>
      </w:r>
      <w:r>
        <w:rPr/>
        <w:t>are</w:t>
      </w:r>
      <w:r>
        <w:rPr>
          <w:spacing w:val="40"/>
        </w:rPr>
        <w:t> </w:t>
      </w:r>
      <w:r>
        <w:rPr/>
        <w:t>afforded</w:t>
      </w:r>
      <w:r>
        <w:rPr>
          <w:spacing w:val="40"/>
        </w:rPr>
        <w:t> </w:t>
      </w:r>
      <w:r>
        <w:rPr/>
        <w:t>the</w:t>
      </w:r>
      <w:r>
        <w:rPr>
          <w:spacing w:val="40"/>
        </w:rPr>
        <w:t> </w:t>
      </w:r>
      <w:r>
        <w:rPr/>
        <w:t>opportunity</w:t>
      </w:r>
      <w:r>
        <w:rPr>
          <w:spacing w:val="40"/>
        </w:rPr>
        <w:t> </w:t>
      </w:r>
      <w:r>
        <w:rPr/>
        <w:t>to</w:t>
      </w:r>
      <w:r>
        <w:rPr>
          <w:spacing w:val="40"/>
        </w:rPr>
        <w:t> </w:t>
      </w:r>
      <w:r>
        <w:rPr/>
        <w:t>hunker down</w:t>
      </w:r>
      <w:r>
        <w:rPr>
          <w:spacing w:val="61"/>
        </w:rPr>
        <w:t>  </w:t>
      </w:r>
      <w:r>
        <w:rPr/>
        <w:t>and</w:t>
      </w:r>
      <w:r>
        <w:rPr>
          <w:spacing w:val="62"/>
        </w:rPr>
        <w:t>  </w:t>
      </w:r>
      <w:r>
        <w:rPr/>
        <w:t>cherry</w:t>
      </w:r>
      <w:r>
        <w:rPr>
          <w:spacing w:val="61"/>
        </w:rPr>
        <w:t>  </w:t>
      </w:r>
      <w:r>
        <w:rPr/>
        <w:t>pick</w:t>
      </w:r>
      <w:r>
        <w:rPr>
          <w:spacing w:val="61"/>
        </w:rPr>
        <w:t>  </w:t>
      </w:r>
      <w:r>
        <w:rPr/>
        <w:t>the</w:t>
      </w:r>
      <w:r>
        <w:rPr>
          <w:spacing w:val="61"/>
        </w:rPr>
        <w:t>  </w:t>
      </w:r>
      <w:r>
        <w:rPr/>
        <w:t>best</w:t>
      </w:r>
      <w:r>
        <w:rPr>
          <w:spacing w:val="61"/>
        </w:rPr>
        <w:t>  </w:t>
      </w:r>
      <w:r>
        <w:rPr/>
        <w:t>intraday</w:t>
      </w:r>
      <w:r>
        <w:rPr>
          <w:spacing w:val="61"/>
        </w:rPr>
        <w:t>  </w:t>
      </w:r>
      <w:r>
        <w:rPr/>
        <w:t>trading</w:t>
      </w:r>
      <w:r>
        <w:rPr>
          <w:spacing w:val="61"/>
        </w:rPr>
        <w:t>  </w:t>
      </w:r>
      <w:r>
        <w:rPr/>
        <w:t>opportunities.</w:t>
      </w:r>
    </w:p>
    <w:p>
      <w:pPr>
        <w:spacing w:after="0"/>
        <w:jc w:val="both"/>
        <w:sectPr>
          <w:pgSz w:w="8640" w:h="12960"/>
          <w:pgMar w:header="536" w:footer="1060" w:top="720" w:bottom="1260" w:left="580" w:right="580"/>
        </w:sectPr>
      </w:pPr>
    </w:p>
    <w:p>
      <w:pPr>
        <w:pStyle w:val="BodyText"/>
        <w:spacing w:before="4"/>
        <w:rPr>
          <w:sz w:val="17"/>
        </w:rPr>
      </w:pPr>
    </w:p>
    <w:p>
      <w:pPr>
        <w:spacing w:after="0"/>
        <w:rPr>
          <w:sz w:val="17"/>
        </w:rPr>
        <w:sectPr>
          <w:headerReference w:type="even" r:id="rId309"/>
          <w:footerReference w:type="even" r:id="rId310"/>
          <w:pgSz w:w="8640" w:h="12960"/>
          <w:pgMar w:header="0" w:footer="0" w:top="14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314"/>
        <w:ind w:left="1947"/>
        <w:rPr>
          <w:sz w:val="180"/>
        </w:rPr>
      </w:pPr>
      <w:r>
        <w:rPr/>
        <w:pict>
          <v:line style="position:absolute;mso-position-horizontal-relative:page;mso-position-vertical-relative:paragraph;z-index:-19529216" from="54.779999pt,109.983437pt" to="389.219999pt,109.983437pt" stroked="true" strokeweight=".75pt" strokecolor="#000000">
            <v:stroke dashstyle="solid"/>
            <w10:wrap type="none"/>
          </v:line>
        </w:pict>
      </w:r>
      <w:bookmarkStart w:name="_TOC_250014" w:id="77"/>
      <w:r>
        <w:rPr>
          <w:w w:val="105"/>
        </w:rPr>
        <w:t>C H A P T E R</w:t>
      </w:r>
      <w:r>
        <w:rPr>
          <w:spacing w:val="-1"/>
          <w:w w:val="105"/>
        </w:rPr>
        <w:t> </w:t>
      </w:r>
      <w:bookmarkEnd w:id="77"/>
      <w:r>
        <w:rPr>
          <w:spacing w:val="-5"/>
          <w:w w:val="105"/>
          <w:sz w:val="180"/>
        </w:rPr>
        <w:t>10</w:t>
      </w:r>
    </w:p>
    <w:p>
      <w:pPr>
        <w:pStyle w:val="Heading1"/>
        <w:spacing w:line="276" w:lineRule="auto" w:before="310"/>
        <w:ind w:left="4208" w:hanging="1341"/>
      </w:pPr>
      <w:bookmarkStart w:name="_TOC_250013" w:id="78"/>
      <w:r>
        <w:rPr>
          <w:smallCaps/>
          <w:w w:val="90"/>
        </w:rPr>
        <w:t>Multiple </w:t>
      </w:r>
      <w:r>
        <w:rPr>
          <w:smallCaps/>
          <w:w w:val="90"/>
        </w:rPr>
        <w:t>Pivot Hot</w:t>
      </w:r>
      <w:r>
        <w:rPr>
          <w:smallCaps/>
          <w:spacing w:val="13"/>
        </w:rPr>
        <w:t> </w:t>
      </w:r>
      <w:bookmarkEnd w:id="78"/>
      <w:r>
        <w:rPr>
          <w:smallCaps/>
          <w:spacing w:val="-2"/>
          <w:w w:val="90"/>
        </w:rPr>
        <w:t>Zones</w:t>
      </w:r>
    </w:p>
    <w:p>
      <w:pPr>
        <w:spacing w:line="276" w:lineRule="auto" w:before="290"/>
        <w:ind w:left="1219" w:right="0" w:firstLine="0"/>
        <w:jc w:val="left"/>
        <w:rPr>
          <w:i/>
          <w:sz w:val="22"/>
        </w:rPr>
      </w:pPr>
      <w:r>
        <w:rPr>
          <w:i/>
          <w:sz w:val="22"/>
        </w:rPr>
        <w:t>“It is good business to take chances when the possible profit is big</w:t>
      </w:r>
      <w:r>
        <w:rPr>
          <w:i/>
          <w:spacing w:val="40"/>
          <w:sz w:val="22"/>
        </w:rPr>
        <w:t> </w:t>
      </w:r>
      <w:r>
        <w:rPr>
          <w:i/>
          <w:spacing w:val="-2"/>
          <w:sz w:val="22"/>
        </w:rPr>
        <w:t>enough.”</w:t>
      </w:r>
    </w:p>
    <w:p>
      <w:pPr>
        <w:pStyle w:val="BodyText"/>
        <w:spacing w:before="1"/>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spacing w:before="188"/>
        <w:ind w:left="499" w:right="136" w:firstLine="432"/>
        <w:jc w:val="both"/>
      </w:pPr>
      <w:r>
        <w:rPr/>
        <w:t>Multiple pivot confirmation is one of the amazing trading secrets that I would not have discovered was it not for automated pivot plotting. It was already</w:t>
      </w:r>
      <w:r>
        <w:rPr>
          <w:spacing w:val="-3"/>
        </w:rPr>
        <w:t> </w:t>
      </w:r>
      <w:r>
        <w:rPr/>
        <w:t>too</w:t>
      </w:r>
      <w:r>
        <w:rPr>
          <w:spacing w:val="-3"/>
        </w:rPr>
        <w:t> </w:t>
      </w:r>
      <w:r>
        <w:rPr/>
        <w:t>much</w:t>
      </w:r>
      <w:r>
        <w:rPr>
          <w:spacing w:val="-3"/>
        </w:rPr>
        <w:t> </w:t>
      </w:r>
      <w:r>
        <w:rPr/>
        <w:t>work</w:t>
      </w:r>
      <w:r>
        <w:rPr>
          <w:spacing w:val="-4"/>
        </w:rPr>
        <w:t> </w:t>
      </w:r>
      <w:r>
        <w:rPr/>
        <w:t>to</w:t>
      </w:r>
      <w:r>
        <w:rPr>
          <w:spacing w:val="-3"/>
        </w:rPr>
        <w:t> </w:t>
      </w:r>
      <w:r>
        <w:rPr/>
        <w:t>hand</w:t>
      </w:r>
      <w:r>
        <w:rPr>
          <w:spacing w:val="-3"/>
        </w:rPr>
        <w:t> </w:t>
      </w:r>
      <w:r>
        <w:rPr/>
        <w:t>plot</w:t>
      </w:r>
      <w:r>
        <w:rPr>
          <w:spacing w:val="-3"/>
        </w:rPr>
        <w:t> </w:t>
      </w:r>
      <w:r>
        <w:rPr/>
        <w:t>every</w:t>
      </w:r>
      <w:r>
        <w:rPr>
          <w:spacing w:val="-4"/>
        </w:rPr>
        <w:t> </w:t>
      </w:r>
      <w:r>
        <w:rPr/>
        <w:t>single</w:t>
      </w:r>
      <w:r>
        <w:rPr>
          <w:spacing w:val="-3"/>
        </w:rPr>
        <w:t> </w:t>
      </w:r>
      <w:r>
        <w:rPr/>
        <w:t>pivot</w:t>
      </w:r>
      <w:r>
        <w:rPr>
          <w:spacing w:val="-5"/>
        </w:rPr>
        <w:t> </w:t>
      </w:r>
      <w:r>
        <w:rPr/>
        <w:t>from</w:t>
      </w:r>
      <w:r>
        <w:rPr>
          <w:spacing w:val="-4"/>
        </w:rPr>
        <w:t> </w:t>
      </w:r>
      <w:r>
        <w:rPr/>
        <w:t>just</w:t>
      </w:r>
      <w:r>
        <w:rPr>
          <w:spacing w:val="-3"/>
        </w:rPr>
        <w:t> </w:t>
      </w:r>
      <w:r>
        <w:rPr/>
        <w:t>one</w:t>
      </w:r>
      <w:r>
        <w:rPr>
          <w:spacing w:val="-3"/>
        </w:rPr>
        <w:t> </w:t>
      </w:r>
      <w:r>
        <w:rPr/>
        <w:t>indicator day after day, let alone plotting those from a second or third indicator as</w:t>
      </w:r>
      <w:r>
        <w:rPr>
          <w:spacing w:val="80"/>
        </w:rPr>
        <w:t> </w:t>
      </w:r>
      <w:r>
        <w:rPr/>
        <w:t>well. However, once trading platforms began to automate the process of plotting</w:t>
      </w:r>
      <w:r>
        <w:rPr>
          <w:spacing w:val="7"/>
        </w:rPr>
        <w:t> </w:t>
      </w:r>
      <w:r>
        <w:rPr/>
        <w:t>the</w:t>
      </w:r>
      <w:r>
        <w:rPr>
          <w:spacing w:val="6"/>
        </w:rPr>
        <w:t> </w:t>
      </w:r>
      <w:r>
        <w:rPr/>
        <w:t>Floor</w:t>
      </w:r>
      <w:r>
        <w:rPr>
          <w:spacing w:val="8"/>
        </w:rPr>
        <w:t> </w:t>
      </w:r>
      <w:r>
        <w:rPr/>
        <w:t>Pivots</w:t>
      </w:r>
      <w:r>
        <w:rPr>
          <w:spacing w:val="7"/>
        </w:rPr>
        <w:t> </w:t>
      </w:r>
      <w:r>
        <w:rPr/>
        <w:t>and</w:t>
      </w:r>
      <w:r>
        <w:rPr>
          <w:spacing w:val="7"/>
        </w:rPr>
        <w:t> </w:t>
      </w:r>
      <w:r>
        <w:rPr/>
        <w:t>the</w:t>
      </w:r>
      <w:r>
        <w:rPr>
          <w:spacing w:val="8"/>
        </w:rPr>
        <w:t> </w:t>
      </w:r>
      <w:r>
        <w:rPr/>
        <w:t>Camarilla</w:t>
      </w:r>
      <w:r>
        <w:rPr>
          <w:spacing w:val="7"/>
        </w:rPr>
        <w:t> </w:t>
      </w:r>
      <w:r>
        <w:rPr/>
        <w:t>Equation,</w:t>
      </w:r>
      <w:r>
        <w:rPr>
          <w:spacing w:val="7"/>
        </w:rPr>
        <w:t> </w:t>
      </w:r>
      <w:r>
        <w:rPr/>
        <w:t>a</w:t>
      </w:r>
      <w:r>
        <w:rPr>
          <w:spacing w:val="7"/>
        </w:rPr>
        <w:t> </w:t>
      </w:r>
      <w:r>
        <w:rPr/>
        <w:t>whole</w:t>
      </w:r>
      <w:r>
        <w:rPr>
          <w:spacing w:val="7"/>
        </w:rPr>
        <w:t> </w:t>
      </w:r>
      <w:r>
        <w:rPr/>
        <w:t>new</w:t>
      </w:r>
      <w:r>
        <w:rPr>
          <w:spacing w:val="7"/>
        </w:rPr>
        <w:t> </w:t>
      </w:r>
      <w:r>
        <w:rPr/>
        <w:t>road</w:t>
      </w:r>
      <w:r>
        <w:rPr>
          <w:spacing w:val="7"/>
        </w:rPr>
        <w:t> </w:t>
      </w:r>
      <w:r>
        <w:rPr>
          <w:spacing w:val="-5"/>
        </w:rPr>
        <w:t>map</w:t>
      </w:r>
    </w:p>
    <w:p>
      <w:pPr>
        <w:spacing w:after="0"/>
        <w:jc w:val="both"/>
        <w:sectPr>
          <w:headerReference w:type="default" r:id="rId311"/>
          <w:footerReference w:type="default" r:id="rId312"/>
          <w:footerReference w:type="even" r:id="rId313"/>
          <w:pgSz w:w="8640" w:h="12960"/>
          <w:pgMar w:header="0" w:footer="1060" w:top="1480" w:bottom="1260" w:left="580" w:right="580"/>
          <w:pgNumType w:start="259"/>
        </w:sectPr>
      </w:pPr>
    </w:p>
    <w:p>
      <w:pPr>
        <w:pStyle w:val="BodyText"/>
        <w:spacing w:before="5"/>
        <w:rPr>
          <w:sz w:val="18"/>
        </w:rPr>
      </w:pPr>
    </w:p>
    <w:p>
      <w:pPr>
        <w:pStyle w:val="BodyText"/>
        <w:spacing w:before="64"/>
        <w:ind w:left="140" w:right="497"/>
        <w:jc w:val="both"/>
      </w:pPr>
      <w:r>
        <w:rPr/>
        <w:t>began to reveal itself. Add to these the Money Zone suite of indicators, and you have the makings for quite an explosive fireworks show.</w:t>
      </w:r>
    </w:p>
    <w:p>
      <w:pPr>
        <w:pStyle w:val="BodyText"/>
        <w:spacing w:before="1"/>
        <w:ind w:left="140" w:right="495" w:firstLine="432"/>
        <w:jc w:val="both"/>
      </w:pPr>
      <w:r>
        <w:rPr/>
        <w:t>I mentioned in the Introduction that individually, the Floor Pivots, the Camarilla Equation, and the Money Zone are like a road map for your charts. However, when you combine these amazing pivots, the road map can be exponentially more precise, akin to how a GPS system is far superior to a paper map. Multiple pivot pairings, like Double Pivot Zones, Golden Pivot Zones, and Multiple Timeframe Hot Zones, illuminate the market in a</w:t>
      </w:r>
      <w:r>
        <w:rPr>
          <w:spacing w:val="40"/>
        </w:rPr>
        <w:t> </w:t>
      </w:r>
      <w:r>
        <w:rPr/>
        <w:t>manner that many traders never thought possible. When used correctly, these multiple streams of pivots can take your trading to the next level.</w:t>
      </w:r>
    </w:p>
    <w:p>
      <w:pPr>
        <w:pStyle w:val="BodyText"/>
        <w:spacing w:before="10"/>
        <w:rPr>
          <w:sz w:val="21"/>
        </w:rPr>
      </w:pPr>
    </w:p>
    <w:p>
      <w:pPr>
        <w:pStyle w:val="Heading3"/>
        <w:jc w:val="both"/>
      </w:pPr>
      <w:r>
        <w:rPr/>
        <w:pict>
          <v:shape style="position:absolute;margin-left:36.779999pt;margin-top:18.230322pt;width:341pt;height:.1pt;mso-position-horizontal-relative:page;mso-position-vertical-relative:paragraph;z-index:-15570432;mso-wrap-distance-left:0;mso-wrap-distance-right:0" id="docshape855" coordorigin="736,365" coordsize="6820,0" path="m736,365l7555,365e" filled="false" stroked="true" strokeweight=".75pt" strokecolor="#000000">
            <v:path arrowok="t"/>
            <v:stroke dashstyle="solid"/>
            <w10:wrap type="topAndBottom"/>
          </v:shape>
        </w:pict>
      </w:r>
      <w:bookmarkStart w:name="_TOC_250012" w:id="79"/>
      <w:r>
        <w:rPr>
          <w:smallCaps/>
        </w:rPr>
        <w:t>The</w:t>
      </w:r>
      <w:r>
        <w:rPr>
          <w:smallCaps/>
          <w:spacing w:val="-6"/>
        </w:rPr>
        <w:t> </w:t>
      </w:r>
      <w:r>
        <w:rPr>
          <w:smallCaps/>
        </w:rPr>
        <w:t>Power</w:t>
      </w:r>
      <w:r>
        <w:rPr>
          <w:smallCaps/>
          <w:spacing w:val="-6"/>
        </w:rPr>
        <w:t> </w:t>
      </w:r>
      <w:r>
        <w:rPr>
          <w:smallCaps/>
        </w:rPr>
        <w:t>of</w:t>
      </w:r>
      <w:r>
        <w:rPr>
          <w:smallCaps/>
          <w:spacing w:val="-6"/>
        </w:rPr>
        <w:t> </w:t>
      </w:r>
      <w:bookmarkEnd w:id="79"/>
      <w:r>
        <w:rPr>
          <w:smallCaps/>
          <w:spacing w:val="-2"/>
        </w:rPr>
        <w:t>Confluence</w:t>
      </w:r>
    </w:p>
    <w:p>
      <w:pPr>
        <w:pStyle w:val="BodyText"/>
        <w:spacing w:before="203"/>
        <w:ind w:left="139" w:right="495" w:firstLine="432"/>
        <w:jc w:val="both"/>
      </w:pPr>
      <w:r>
        <w:rPr/>
        <w:t>The power of confluence can be quite amazing when used in a proper manner, which is why this method of confirmation remains a key part of my trading regimen. </w:t>
      </w:r>
      <w:r>
        <w:rPr>
          <w:i/>
        </w:rPr>
        <w:t>Confluence </w:t>
      </w:r>
      <w:r>
        <w:rPr/>
        <w:t>occurs when two or more uncorrelated</w:t>
      </w:r>
      <w:r>
        <w:rPr>
          <w:spacing w:val="40"/>
        </w:rPr>
        <w:t> </w:t>
      </w:r>
      <w:r>
        <w:rPr/>
        <w:t>indicators identify the same level, or levels, as key areas of interest. I also</w:t>
      </w:r>
      <w:r>
        <w:rPr>
          <w:spacing w:val="40"/>
        </w:rPr>
        <w:t> </w:t>
      </w:r>
      <w:r>
        <w:rPr/>
        <w:t>call these levels </w:t>
      </w:r>
      <w:r>
        <w:rPr>
          <w:i/>
        </w:rPr>
        <w:t>hot zones</w:t>
      </w:r>
      <w:r>
        <w:rPr/>
        <w:t>. The key is to use indicators that are not correlated in the way they are calculated. That is, you want to avoid confirming with three types of oscillators, as each is basically calculated in the same way,</w:t>
      </w:r>
      <w:r>
        <w:rPr>
          <w:spacing w:val="40"/>
        </w:rPr>
        <w:t> </w:t>
      </w:r>
      <w:r>
        <w:rPr/>
        <w:t>thus giving you a false sense of confirmation. Instead, separate indicators using completely different formulas should be used to confirm key levels of </w:t>
      </w:r>
      <w:r>
        <w:rPr>
          <w:spacing w:val="-2"/>
        </w:rPr>
        <w:t>interest.</w:t>
      </w:r>
    </w:p>
    <w:p>
      <w:pPr>
        <w:pStyle w:val="BodyText"/>
        <w:ind w:left="139" w:right="494" w:firstLine="432"/>
        <w:jc w:val="both"/>
      </w:pPr>
      <w:r>
        <w:rPr/>
        <w:t>When a confluence of pivot levels from different equations are pointing to the same level on the chart, more traders are going to participate in the move when the level is tested. This creates key activity at certain levels that can lead to major moves in the market. For example, let’s say that one group of traders using the Floor Pivots has identified a certain support level as a</w:t>
      </w:r>
      <w:r>
        <w:rPr>
          <w:spacing w:val="80"/>
        </w:rPr>
        <w:t> </w:t>
      </w:r>
      <w:r>
        <w:rPr/>
        <w:t>key area of interest. Two other groups of traders have also identified the</w:t>
      </w:r>
      <w:r>
        <w:rPr>
          <w:spacing w:val="40"/>
        </w:rPr>
        <w:t> </w:t>
      </w:r>
      <w:r>
        <w:rPr/>
        <w:t>same level as support, but by using completely different methods; one using the</w:t>
      </w:r>
      <w:r>
        <w:rPr>
          <w:spacing w:val="-2"/>
        </w:rPr>
        <w:t> </w:t>
      </w:r>
      <w:r>
        <w:rPr/>
        <w:t>Camarilla</w:t>
      </w:r>
      <w:r>
        <w:rPr>
          <w:spacing w:val="-2"/>
        </w:rPr>
        <w:t> </w:t>
      </w:r>
      <w:r>
        <w:rPr/>
        <w:t>Equation,</w:t>
      </w:r>
      <w:r>
        <w:rPr>
          <w:spacing w:val="-2"/>
        </w:rPr>
        <w:t> </w:t>
      </w:r>
      <w:r>
        <w:rPr/>
        <w:t>and</w:t>
      </w:r>
      <w:r>
        <w:rPr>
          <w:spacing w:val="-2"/>
        </w:rPr>
        <w:t> </w:t>
      </w:r>
      <w:r>
        <w:rPr/>
        <w:t>the</w:t>
      </w:r>
      <w:r>
        <w:rPr>
          <w:spacing w:val="-3"/>
        </w:rPr>
        <w:t> </w:t>
      </w:r>
      <w:r>
        <w:rPr/>
        <w:t>other</w:t>
      </w:r>
      <w:r>
        <w:rPr>
          <w:spacing w:val="-2"/>
        </w:rPr>
        <w:t> </w:t>
      </w:r>
      <w:r>
        <w:rPr/>
        <w:t>the</w:t>
      </w:r>
      <w:r>
        <w:rPr>
          <w:spacing w:val="-2"/>
        </w:rPr>
        <w:t> </w:t>
      </w:r>
      <w:r>
        <w:rPr/>
        <w:t>Money</w:t>
      </w:r>
      <w:r>
        <w:rPr>
          <w:spacing w:val="-2"/>
        </w:rPr>
        <w:t> </w:t>
      </w:r>
      <w:r>
        <w:rPr/>
        <w:t>Zone.</w:t>
      </w:r>
      <w:r>
        <w:rPr>
          <w:spacing w:val="-2"/>
        </w:rPr>
        <w:t> </w:t>
      </w:r>
      <w:r>
        <w:rPr/>
        <w:t>Eventually,</w:t>
      </w:r>
      <w:r>
        <w:rPr>
          <w:spacing w:val="-4"/>
        </w:rPr>
        <w:t> </w:t>
      </w:r>
      <w:r>
        <w:rPr/>
        <w:t>when</w:t>
      </w:r>
      <w:r>
        <w:rPr>
          <w:spacing w:val="-2"/>
        </w:rPr>
        <w:t> </w:t>
      </w:r>
      <w:r>
        <w:rPr/>
        <w:t>this level is tested, all three groups of traders are going to respond to this level, thus creating an amazing level of participation that sparks a responsive buying rally.</w:t>
      </w:r>
    </w:p>
    <w:p>
      <w:pPr>
        <w:pStyle w:val="BodyText"/>
        <w:ind w:left="139" w:right="494" w:firstLine="432"/>
        <w:jc w:val="both"/>
      </w:pPr>
      <w:r>
        <w:rPr/>
        <w:t>Any key area of interest can be considered a hot zone, as long as two or more pivots identify the same level. Notice I used the word “pivots” instead of the word “indicators,” as the same indicator can identify a hot zone by using multiple timeframe confirmation, which we will discuss later in the chapter. A hot zone can be created by any combination of indicators, pivots, and timeframes, so long as the indicators are not correlated. Therefore, a hot zone</w:t>
      </w:r>
      <w:r>
        <w:rPr>
          <w:spacing w:val="20"/>
        </w:rPr>
        <w:t> </w:t>
      </w:r>
      <w:r>
        <w:rPr/>
        <w:t>can</w:t>
      </w:r>
      <w:r>
        <w:rPr>
          <w:spacing w:val="21"/>
        </w:rPr>
        <w:t> </w:t>
      </w:r>
      <w:r>
        <w:rPr/>
        <w:t>be</w:t>
      </w:r>
      <w:r>
        <w:rPr>
          <w:spacing w:val="18"/>
        </w:rPr>
        <w:t> </w:t>
      </w:r>
      <w:r>
        <w:rPr/>
        <w:t>comprised</w:t>
      </w:r>
      <w:r>
        <w:rPr>
          <w:spacing w:val="21"/>
        </w:rPr>
        <w:t> </w:t>
      </w:r>
      <w:r>
        <w:rPr/>
        <w:t>of</w:t>
      </w:r>
      <w:r>
        <w:rPr>
          <w:spacing w:val="21"/>
        </w:rPr>
        <w:t> </w:t>
      </w:r>
      <w:r>
        <w:rPr/>
        <w:t>S1</w:t>
      </w:r>
      <w:r>
        <w:rPr>
          <w:spacing w:val="20"/>
        </w:rPr>
        <w:t> </w:t>
      </w:r>
      <w:r>
        <w:rPr/>
        <w:t>support,</w:t>
      </w:r>
      <w:r>
        <w:rPr>
          <w:spacing w:val="18"/>
        </w:rPr>
        <w:t> </w:t>
      </w:r>
      <w:r>
        <w:rPr/>
        <w:t>L3</w:t>
      </w:r>
      <w:r>
        <w:rPr>
          <w:spacing w:val="20"/>
        </w:rPr>
        <w:t> </w:t>
      </w:r>
      <w:r>
        <w:rPr/>
        <w:t>support,</w:t>
      </w:r>
      <w:r>
        <w:rPr>
          <w:spacing w:val="21"/>
        </w:rPr>
        <w:t> </w:t>
      </w:r>
      <w:r>
        <w:rPr/>
        <w:t>and</w:t>
      </w:r>
      <w:r>
        <w:rPr>
          <w:spacing w:val="21"/>
        </w:rPr>
        <w:t> </w:t>
      </w:r>
      <w:r>
        <w:rPr/>
        <w:t>the</w:t>
      </w:r>
      <w:r>
        <w:rPr>
          <w:spacing w:val="18"/>
        </w:rPr>
        <w:t> </w:t>
      </w:r>
      <w:r>
        <w:rPr/>
        <w:t>volume</w:t>
      </w:r>
      <w:r>
        <w:rPr>
          <w:spacing w:val="21"/>
        </w:rPr>
        <w:t> </w:t>
      </w:r>
      <w:r>
        <w:rPr/>
        <w:t>point</w:t>
      </w:r>
      <w:r>
        <w:rPr>
          <w:spacing w:val="19"/>
        </w:rPr>
        <w:t> </w:t>
      </w:r>
      <w:r>
        <w:rPr>
          <w:spacing w:val="-5"/>
        </w:rPr>
        <w:t>of</w:t>
      </w:r>
    </w:p>
    <w:p>
      <w:pPr>
        <w:spacing w:after="0"/>
        <w:jc w:val="both"/>
        <w:sectPr>
          <w:headerReference w:type="even" r:id="rId314"/>
          <w:headerReference w:type="default" r:id="rId315"/>
          <w:pgSz w:w="8640" w:h="12960"/>
          <w:pgMar w:header="579" w:footer="1060" w:top="760" w:bottom="1260" w:left="580" w:right="580"/>
        </w:sectPr>
      </w:pPr>
    </w:p>
    <w:p>
      <w:pPr>
        <w:pStyle w:val="BodyText"/>
        <w:spacing w:before="3"/>
      </w:pPr>
    </w:p>
    <w:p>
      <w:pPr>
        <w:pStyle w:val="BodyText"/>
        <w:spacing w:before="64"/>
        <w:ind w:left="500" w:right="134"/>
        <w:jc w:val="both"/>
      </w:pPr>
      <w:r>
        <w:rPr/>
        <w:t>control. Or, the point of control can be matched with the central pivot range to provide a powerful zone of support or resistance, depending on the current trend. Throughout the chapter, I will discuss the major pairings of indicators and</w:t>
      </w:r>
      <w:r>
        <w:rPr>
          <w:spacing w:val="-2"/>
        </w:rPr>
        <w:t> </w:t>
      </w:r>
      <w:r>
        <w:rPr/>
        <w:t>levels</w:t>
      </w:r>
      <w:r>
        <w:rPr>
          <w:spacing w:val="-2"/>
        </w:rPr>
        <w:t> </w:t>
      </w:r>
      <w:r>
        <w:rPr/>
        <w:t>that</w:t>
      </w:r>
      <w:r>
        <w:rPr>
          <w:spacing w:val="-2"/>
        </w:rPr>
        <w:t> </w:t>
      </w:r>
      <w:r>
        <w:rPr/>
        <w:t>create</w:t>
      </w:r>
      <w:r>
        <w:rPr>
          <w:spacing w:val="-2"/>
        </w:rPr>
        <w:t> </w:t>
      </w:r>
      <w:r>
        <w:rPr/>
        <w:t>amazing</w:t>
      </w:r>
      <w:r>
        <w:rPr>
          <w:spacing w:val="-2"/>
        </w:rPr>
        <w:t> </w:t>
      </w:r>
      <w:r>
        <w:rPr/>
        <w:t>hot</w:t>
      </w:r>
      <w:r>
        <w:rPr>
          <w:spacing w:val="-2"/>
        </w:rPr>
        <w:t> </w:t>
      </w:r>
      <w:r>
        <w:rPr/>
        <w:t>zones</w:t>
      </w:r>
      <w:r>
        <w:rPr>
          <w:spacing w:val="-3"/>
        </w:rPr>
        <w:t> </w:t>
      </w:r>
      <w:r>
        <w:rPr/>
        <w:t>in</w:t>
      </w:r>
      <w:r>
        <w:rPr>
          <w:spacing w:val="-3"/>
        </w:rPr>
        <w:t> </w:t>
      </w:r>
      <w:r>
        <w:rPr/>
        <w:t>your</w:t>
      </w:r>
      <w:r>
        <w:rPr>
          <w:spacing w:val="-2"/>
        </w:rPr>
        <w:t> </w:t>
      </w:r>
      <w:r>
        <w:rPr/>
        <w:t>charts.</w:t>
      </w:r>
      <w:r>
        <w:rPr>
          <w:spacing w:val="-2"/>
        </w:rPr>
        <w:t> </w:t>
      </w:r>
      <w:r>
        <w:rPr/>
        <w:t>But</w:t>
      </w:r>
      <w:r>
        <w:rPr>
          <w:spacing w:val="-2"/>
        </w:rPr>
        <w:t> </w:t>
      </w:r>
      <w:r>
        <w:rPr/>
        <w:t>keep</w:t>
      </w:r>
      <w:r>
        <w:rPr>
          <w:spacing w:val="-2"/>
        </w:rPr>
        <w:t> </w:t>
      </w:r>
      <w:r>
        <w:rPr/>
        <w:t>in</w:t>
      </w:r>
      <w:r>
        <w:rPr>
          <w:spacing w:val="-3"/>
        </w:rPr>
        <w:t> </w:t>
      </w:r>
      <w:r>
        <w:rPr/>
        <w:t>mind</w:t>
      </w:r>
      <w:r>
        <w:rPr>
          <w:spacing w:val="-2"/>
        </w:rPr>
        <w:t> </w:t>
      </w:r>
      <w:r>
        <w:rPr/>
        <w:t>that the process is free flowing and fun, rather than rigid and stressful.</w:t>
      </w:r>
    </w:p>
    <w:p>
      <w:pPr>
        <w:pStyle w:val="BodyText"/>
        <w:ind w:left="500" w:right="134" w:firstLine="432"/>
        <w:jc w:val="both"/>
      </w:pPr>
      <w:r>
        <w:rPr/>
        <w:t>Also, not only are multi-pivot setups phenomenally accurate at times,</w:t>
      </w:r>
      <w:r>
        <w:rPr>
          <w:spacing w:val="40"/>
        </w:rPr>
        <w:t> </w:t>
      </w:r>
      <w:r>
        <w:rPr/>
        <w:t>but recognizing these action zones early in a trading day will allow you to anticipate bigger money-making opportunities. The best traders in the world, and those of prior generations, knew when to “double-down” when the stars aligned. Upping the ante when you have</w:t>
      </w:r>
      <w:r>
        <w:rPr>
          <w:spacing w:val="-1"/>
        </w:rPr>
        <w:t> </w:t>
      </w:r>
      <w:r>
        <w:rPr/>
        <w:t>a straight flush is the way to prosper in this game. It’s not the quantity of trades, but the quality of the setups and the amount of money you’re laying on the line when the stars finally do</w:t>
      </w:r>
      <w:r>
        <w:rPr>
          <w:spacing w:val="40"/>
        </w:rPr>
        <w:t> </w:t>
      </w:r>
      <w:r>
        <w:rPr/>
        <w:t>align.</w:t>
      </w:r>
      <w:r>
        <w:rPr>
          <w:spacing w:val="-1"/>
        </w:rPr>
        <w:t> </w:t>
      </w:r>
      <w:r>
        <w:rPr/>
        <w:t>The</w:t>
      </w:r>
      <w:r>
        <w:rPr>
          <w:spacing w:val="-1"/>
        </w:rPr>
        <w:t> </w:t>
      </w:r>
      <w:r>
        <w:rPr/>
        <w:t>multiple</w:t>
      </w:r>
      <w:r>
        <w:rPr>
          <w:spacing w:val="-1"/>
        </w:rPr>
        <w:t> </w:t>
      </w:r>
      <w:r>
        <w:rPr/>
        <w:t>pivot</w:t>
      </w:r>
      <w:r>
        <w:rPr>
          <w:spacing w:val="-2"/>
        </w:rPr>
        <w:t> </w:t>
      </w:r>
      <w:r>
        <w:rPr/>
        <w:t>hot</w:t>
      </w:r>
      <w:r>
        <w:rPr>
          <w:spacing w:val="-1"/>
        </w:rPr>
        <w:t> </w:t>
      </w:r>
      <w:r>
        <w:rPr/>
        <w:t>zones</w:t>
      </w:r>
      <w:r>
        <w:rPr>
          <w:spacing w:val="-1"/>
        </w:rPr>
        <w:t> </w:t>
      </w:r>
      <w:r>
        <w:rPr/>
        <w:t>ahead,</w:t>
      </w:r>
      <w:r>
        <w:rPr>
          <w:spacing w:val="-1"/>
        </w:rPr>
        <w:t> </w:t>
      </w:r>
      <w:r>
        <w:rPr/>
        <w:t>combined with</w:t>
      </w:r>
      <w:r>
        <w:rPr>
          <w:spacing w:val="-1"/>
        </w:rPr>
        <w:t> </w:t>
      </w:r>
      <w:r>
        <w:rPr/>
        <w:t>key</w:t>
      </w:r>
      <w:r>
        <w:rPr>
          <w:spacing w:val="-1"/>
        </w:rPr>
        <w:t> </w:t>
      </w:r>
      <w:r>
        <w:rPr/>
        <w:t>signals,</w:t>
      </w:r>
      <w:r>
        <w:rPr>
          <w:spacing w:val="-1"/>
        </w:rPr>
        <w:t> </w:t>
      </w:r>
      <w:r>
        <w:rPr/>
        <w:t>are</w:t>
      </w:r>
      <w:r>
        <w:rPr>
          <w:spacing w:val="-1"/>
        </w:rPr>
        <w:t> </w:t>
      </w:r>
      <w:r>
        <w:rPr/>
        <w:t>the types of setups that can command a bigger bet.</w:t>
      </w:r>
    </w:p>
    <w:p>
      <w:pPr>
        <w:pStyle w:val="BodyText"/>
        <w:spacing w:before="10"/>
        <w:rPr>
          <w:sz w:val="21"/>
        </w:rPr>
      </w:pPr>
    </w:p>
    <w:p>
      <w:pPr>
        <w:pStyle w:val="Heading3"/>
        <w:ind w:left="500"/>
        <w:jc w:val="both"/>
      </w:pPr>
      <w:r>
        <w:rPr/>
        <w:pict>
          <v:shape style="position:absolute;margin-left:54.779999pt;margin-top:18.290304pt;width:341pt;height:.1pt;mso-position-horizontal-relative:page;mso-position-vertical-relative:paragraph;z-index:-15569920;mso-wrap-distance-left:0;mso-wrap-distance-right:0" id="docshape860" coordorigin="1096,366" coordsize="6820,0" path="m1096,366l7915,366e" filled="false" stroked="true" strokeweight=".75pt" strokecolor="#000000">
            <v:path arrowok="t"/>
            <v:stroke dashstyle="solid"/>
            <w10:wrap type="topAndBottom"/>
          </v:shape>
        </w:pict>
      </w:r>
      <w:bookmarkStart w:name="_TOC_250011" w:id="80"/>
      <w:r>
        <w:rPr>
          <w:smallCaps/>
        </w:rPr>
        <w:t>Double</w:t>
      </w:r>
      <w:r>
        <w:rPr>
          <w:smallCaps/>
          <w:spacing w:val="-10"/>
        </w:rPr>
        <w:t> </w:t>
      </w:r>
      <w:r>
        <w:rPr>
          <w:smallCaps/>
        </w:rPr>
        <w:t>Pivot</w:t>
      </w:r>
      <w:r>
        <w:rPr>
          <w:smallCaps/>
          <w:spacing w:val="-13"/>
        </w:rPr>
        <w:t> </w:t>
      </w:r>
      <w:r>
        <w:rPr>
          <w:smallCaps/>
        </w:rPr>
        <w:t>Hot</w:t>
      </w:r>
      <w:r>
        <w:rPr>
          <w:smallCaps/>
          <w:spacing w:val="-12"/>
        </w:rPr>
        <w:t> </w:t>
      </w:r>
      <w:bookmarkEnd w:id="80"/>
      <w:r>
        <w:rPr>
          <w:smallCaps/>
          <w:spacing w:val="-2"/>
        </w:rPr>
        <w:t>Zones</w:t>
      </w:r>
    </w:p>
    <w:p>
      <w:pPr>
        <w:pStyle w:val="BodyText"/>
        <w:spacing w:before="202"/>
        <w:ind w:left="499" w:right="136" w:firstLine="432"/>
        <w:jc w:val="both"/>
      </w:pPr>
      <w:r>
        <w:rPr/>
        <w:t>One of the basic multi-pivot pairings is</w:t>
      </w:r>
      <w:r>
        <w:rPr>
          <w:spacing w:val="-1"/>
        </w:rPr>
        <w:t> </w:t>
      </w:r>
      <w:r>
        <w:rPr/>
        <w:t>what I call the Double Pivot Hot Zone. A </w:t>
      </w:r>
      <w:r>
        <w:rPr>
          <w:i/>
        </w:rPr>
        <w:t>Double Pivot Hot Zone (DPZ) </w:t>
      </w:r>
      <w:r>
        <w:rPr/>
        <w:t>is any support or resistance level that develops</w:t>
      </w:r>
      <w:r>
        <w:rPr>
          <w:spacing w:val="-2"/>
        </w:rPr>
        <w:t> </w:t>
      </w:r>
      <w:r>
        <w:rPr/>
        <w:t>when</w:t>
      </w:r>
      <w:r>
        <w:rPr>
          <w:spacing w:val="-2"/>
        </w:rPr>
        <w:t> </w:t>
      </w:r>
      <w:r>
        <w:rPr/>
        <w:t>two</w:t>
      </w:r>
      <w:r>
        <w:rPr>
          <w:spacing w:val="-2"/>
        </w:rPr>
        <w:t> </w:t>
      </w:r>
      <w:r>
        <w:rPr/>
        <w:t>pivots</w:t>
      </w:r>
      <w:r>
        <w:rPr>
          <w:spacing w:val="-3"/>
        </w:rPr>
        <w:t> </w:t>
      </w:r>
      <w:r>
        <w:rPr/>
        <w:t>align</w:t>
      </w:r>
      <w:r>
        <w:rPr>
          <w:spacing w:val="-2"/>
        </w:rPr>
        <w:t> </w:t>
      </w:r>
      <w:r>
        <w:rPr/>
        <w:t>to</w:t>
      </w:r>
      <w:r>
        <w:rPr>
          <w:spacing w:val="-2"/>
        </w:rPr>
        <w:t> </w:t>
      </w:r>
      <w:r>
        <w:rPr/>
        <w:t>highlight</w:t>
      </w:r>
      <w:r>
        <w:rPr>
          <w:spacing w:val="-2"/>
        </w:rPr>
        <w:t> </w:t>
      </w:r>
      <w:r>
        <w:rPr/>
        <w:t>a</w:t>
      </w:r>
      <w:r>
        <w:rPr>
          <w:spacing w:val="-2"/>
        </w:rPr>
        <w:t> </w:t>
      </w:r>
      <w:r>
        <w:rPr/>
        <w:t>level</w:t>
      </w:r>
      <w:r>
        <w:rPr>
          <w:spacing w:val="-2"/>
        </w:rPr>
        <w:t> </w:t>
      </w:r>
      <w:r>
        <w:rPr/>
        <w:t>as</w:t>
      </w:r>
      <w:r>
        <w:rPr>
          <w:spacing w:val="-1"/>
        </w:rPr>
        <w:t> </w:t>
      </w:r>
      <w:r>
        <w:rPr/>
        <w:t>significant.</w:t>
      </w:r>
      <w:r>
        <w:rPr>
          <w:spacing w:val="-2"/>
        </w:rPr>
        <w:t> </w:t>
      </w:r>
      <w:r>
        <w:rPr/>
        <w:t>A</w:t>
      </w:r>
      <w:r>
        <w:rPr>
          <w:spacing w:val="-2"/>
        </w:rPr>
        <w:t> </w:t>
      </w:r>
      <w:r>
        <w:rPr/>
        <w:t>DPZ</w:t>
      </w:r>
      <w:r>
        <w:rPr>
          <w:spacing w:val="-2"/>
        </w:rPr>
        <w:t> </w:t>
      </w:r>
      <w:r>
        <w:rPr/>
        <w:t>can consist of any combination of indicators or timeframes that identifies a level, or zone, as significant. Therefore, the market may see resistance in an area that consists of the R2 and H4 levels. Or, R2 may be paired with a virgin POC from three days ago, which could provide a nice reversal zone as well.</w:t>
      </w:r>
      <w:r>
        <w:rPr>
          <w:spacing w:val="40"/>
        </w:rPr>
        <w:t> </w:t>
      </w:r>
      <w:r>
        <w:rPr/>
        <w:t>If you think about it for a moment, when two completely different mathematical formulas are recognizing the same level as support or resistance, the chances of a reaction at the level will likely increase than if there were no confluence at all. When this occurs, you typically see the market react to these levels in a very obvious manner. That is, these dual pivot zones are strong enough to influence the market time and again, which leads to easily telegraphed reversal opportunities.</w:t>
      </w:r>
    </w:p>
    <w:p>
      <w:pPr>
        <w:pStyle w:val="BodyText"/>
        <w:spacing w:before="1"/>
        <w:ind w:left="499" w:right="135" w:firstLine="432"/>
        <w:jc w:val="both"/>
      </w:pPr>
      <w:r>
        <w:rPr/>
        <w:t>Take a look at Figure 10.1, which illustrates a typical double pivot hot zone. Notice that any two pivots can create a hot zone, whether from</w:t>
      </w:r>
      <w:r>
        <w:rPr>
          <w:spacing w:val="40"/>
        </w:rPr>
        <w:t> </w:t>
      </w:r>
      <w:r>
        <w:rPr/>
        <w:t>different indicators or the same indicator using different timeframes. To be clear, both pivots creating the hot zone </w:t>
      </w:r>
      <w:r>
        <w:rPr>
          <w:i/>
        </w:rPr>
        <w:t>do not </w:t>
      </w:r>
      <w:r>
        <w:rPr/>
        <w:t>have to identify the exact numerical level. Rather, the pivots just have to be close enough that they are in the same vicinity, although sometimes the lines do sit right on top of one another. Lastly, while a double pivot hot zone may indicate a major area of confluence, you still want to see confirmation at this level via one of your candlestick setups, which essentially trigger your entry. In the example below,</w:t>
      </w:r>
      <w:r>
        <w:rPr>
          <w:spacing w:val="40"/>
        </w:rPr>
        <w:t> </w:t>
      </w:r>
      <w:r>
        <w:rPr/>
        <w:t>the</w:t>
      </w:r>
      <w:r>
        <w:rPr>
          <w:spacing w:val="40"/>
        </w:rPr>
        <w:t> </w:t>
      </w:r>
      <w:r>
        <w:rPr/>
        <w:t>outside</w:t>
      </w:r>
      <w:r>
        <w:rPr>
          <w:spacing w:val="40"/>
        </w:rPr>
        <w:t> </w:t>
      </w:r>
      <w:r>
        <w:rPr/>
        <w:t>reversal</w:t>
      </w:r>
      <w:r>
        <w:rPr>
          <w:spacing w:val="40"/>
        </w:rPr>
        <w:t> </w:t>
      </w:r>
      <w:r>
        <w:rPr/>
        <w:t>setup</w:t>
      </w:r>
      <w:r>
        <w:rPr>
          <w:spacing w:val="40"/>
        </w:rPr>
        <w:t> </w:t>
      </w:r>
      <w:r>
        <w:rPr/>
        <w:t>triggers</w:t>
      </w:r>
      <w:r>
        <w:rPr>
          <w:spacing w:val="40"/>
        </w:rPr>
        <w:t> </w:t>
      </w:r>
      <w:r>
        <w:rPr/>
        <w:t>the</w:t>
      </w:r>
      <w:r>
        <w:rPr>
          <w:spacing w:val="40"/>
        </w:rPr>
        <w:t> </w:t>
      </w:r>
      <w:r>
        <w:rPr/>
        <w:t>bounces</w:t>
      </w:r>
      <w:r>
        <w:rPr>
          <w:spacing w:val="40"/>
        </w:rPr>
        <w:t> </w:t>
      </w:r>
      <w:r>
        <w:rPr/>
        <w:t>at</w:t>
      </w:r>
      <w:r>
        <w:rPr>
          <w:spacing w:val="40"/>
        </w:rPr>
        <w:t> </w:t>
      </w:r>
      <w:r>
        <w:rPr/>
        <w:t>both</w:t>
      </w:r>
      <w:r>
        <w:rPr>
          <w:spacing w:val="40"/>
        </w:rPr>
        <w:t> </w:t>
      </w:r>
      <w:r>
        <w:rPr/>
        <w:t>extremes.</w:t>
      </w:r>
    </w:p>
    <w:p>
      <w:pPr>
        <w:spacing w:after="0"/>
        <w:jc w:val="both"/>
        <w:sectPr>
          <w:footerReference w:type="default" r:id="rId316"/>
          <w:footerReference w:type="even" r:id="rId317"/>
          <w:pgSz w:w="8640" w:h="12960"/>
          <w:pgMar w:footer="1060" w:header="536" w:top="720" w:bottom="1260" w:left="580" w:right="580"/>
          <w:pgNumType w:start="261"/>
        </w:sectPr>
      </w:pPr>
    </w:p>
    <w:p>
      <w:pPr>
        <w:pStyle w:val="BodyText"/>
        <w:spacing w:before="5"/>
        <w:rPr>
          <w:sz w:val="18"/>
        </w:rPr>
      </w:pPr>
    </w:p>
    <w:p>
      <w:pPr>
        <w:pStyle w:val="BodyText"/>
        <w:spacing w:before="64"/>
        <w:ind w:left="140" w:right="519"/>
      </w:pPr>
      <w:r>
        <w:rPr/>
        <w:t>However, the wick, extreme, and doji reversal setups can also trigger entries as well.</w:t>
      </w:r>
    </w:p>
    <w:p>
      <w:pPr>
        <w:pStyle w:val="BodyText"/>
        <w:spacing w:before="1"/>
        <w:rPr>
          <w:sz w:val="20"/>
        </w:rPr>
      </w:pPr>
      <w:r>
        <w:rPr/>
        <w:pict>
          <v:group style="position:absolute;margin-left:62.625pt;margin-top:12.816405pt;width:288.75pt;height:214.65pt;mso-position-horizontal-relative:page;mso-position-vertical-relative:paragraph;z-index:-15569408;mso-wrap-distance-left:0;mso-wrap-distance-right:0" id="docshapegroup861" coordorigin="1253,256" coordsize="5775,4293">
            <v:shape style="position:absolute;left:1260;top:263;width:5760;height:4278" id="docshape862" coordorigin="1260,264" coordsize="5760,4278" path="m7020,264l1261,264,1261,4542,7020,4542,7020,264xm7019,267l1260,267,1260,829,7019,829,7019,267xe" filled="false" stroked="true" strokeweight=".75pt" strokecolor="#000000">
              <v:path arrowok="t"/>
              <v:stroke dashstyle="solid"/>
            </v:shape>
            <v:shape style="position:absolute;left:5642;top:4309;width:143;height:144" id="docshape863" coordorigin="5642,4309" coordsize="143,144" path="m5713,4309l5642,4453,5785,4453,5713,4309xe" filled="false" stroked="true" strokeweight=".75pt" strokecolor="#000000">
              <v:path arrowok="t"/>
              <v:stroke dashstyle="solid"/>
            </v:shape>
            <v:shape style="position:absolute;left:4158;top:911;width:143;height:143" id="docshape864" coordorigin="4158,912" coordsize="143,143" path="m4158,912l4301,912,4230,1055,4158,912xe" filled="false" stroked="true" strokeweight=".75pt" strokecolor="#000000">
              <v:path arrowok="t"/>
              <v:stroke dashstyle="solid"/>
            </v:shape>
            <v:line style="position:absolute" from="5394,4103" to="5394,3560" stroked="true" strokeweight=".75pt" strokecolor="#000000">
              <v:stroke dashstyle="solid"/>
            </v:line>
            <v:rect style="position:absolute;left:5278;top:3686;width:227;height:185" id="docshape865" filled="true" fillcolor="#000000" stroked="false">
              <v:fill type="solid"/>
            </v:rect>
            <v:rect style="position:absolute;left:5278;top:3685;width:226;height:186" id="docshape866" filled="false" stroked="true" strokeweight=".75pt" strokecolor="#000000">
              <v:stroke dashstyle="solid"/>
            </v:rect>
            <v:line style="position:absolute" from="5168,3581" to="5168,3108" stroked="true" strokeweight=".75pt" strokecolor="#000000">
              <v:stroke dashstyle="solid"/>
            </v:line>
            <v:rect style="position:absolute;left:5053;top:3152;width:226;height:473" id="docshape867" filled="true" fillcolor="#000000" stroked="false">
              <v:fill type="solid"/>
            </v:rect>
            <v:rect style="position:absolute;left:5053;top:3152;width:226;height:473" id="docshape868" filled="false" stroked="true" strokeweight=".75pt" strokecolor="#000000">
              <v:stroke dashstyle="solid"/>
            </v:rect>
            <v:line style="position:absolute" from="4567,2635" to="4568,2161" stroked="true" strokeweight=".75pt" strokecolor="#000000">
              <v:stroke dashstyle="solid"/>
            </v:line>
            <v:rect style="position:absolute;left:4452;top:2206;width:226;height:472" id="docshape869" filled="true" fillcolor="#000000" stroked="false">
              <v:fill type="solid"/>
            </v:rect>
            <v:rect style="position:absolute;left:4452;top:2206;width:226;height:472" id="docshape870" filled="false" stroked="true" strokeweight=".75pt" strokecolor="#000000">
              <v:stroke dashstyle="solid"/>
            </v:rect>
            <v:line style="position:absolute" from="4870,3108" to="4871,2635" stroked="true" strokeweight=".75pt" strokecolor="#000000">
              <v:stroke dashstyle="solid"/>
            </v:line>
            <v:rect style="position:absolute;left:4755;top:2679;width:226;height:473" id="docshape871" filled="true" fillcolor="#000000" stroked="false">
              <v:fill type="solid"/>
            </v:rect>
            <v:rect style="position:absolute;left:4754;top:2679;width:227;height:472" id="docshape872" filled="false" stroked="true" strokeweight=".75pt" strokecolor="#000000">
              <v:stroke dashstyle="solid"/>
            </v:rect>
            <v:shape style="position:absolute;left:3880;top:1299;width:2;height:681" id="docshape873" coordorigin="3881,1299" coordsize="0,681" path="m3881,1688l3881,1980m3881,1299l3881,1457e" filled="false" stroked="true" strokeweight=".75pt" strokecolor="#000000">
              <v:path arrowok="t"/>
              <v:stroke dashstyle="solid"/>
            </v:shape>
            <v:rect style="position:absolute;left:3765;top:1456;width:227;height:232" id="docshape874" filled="false" stroked="true" strokeweight=".75pt" strokecolor="#000000">
              <v:stroke dashstyle="solid"/>
            </v:rect>
            <v:line style="position:absolute" from="6046,3440" to="6046,3502" stroked="true" strokeweight=".81pt" strokecolor="#000000">
              <v:stroke dashstyle="solid"/>
            </v:line>
            <v:rect style="position:absolute;left:5930;top:2968;width:227;height:472" id="docshape875" filled="false" stroked="true" strokeweight=".75pt" strokecolor="#000000">
              <v:stroke dashstyle="solid"/>
            </v:rect>
            <v:line style="position:absolute" from="5716,3981" to="5716,4265" stroked="true" strokeweight=".81pt" strokecolor="#000000">
              <v:stroke dashstyle="solid"/>
            </v:line>
            <v:rect style="position:absolute;left:5600;top:3445;width:227;height:537" id="docshape876" filled="false" stroked="true" strokeweight=".75pt" strokecolor="#000000">
              <v:stroke dashstyle="solid"/>
            </v:rect>
            <v:line style="position:absolute" from="4230,1427" to="4231,1117" stroked="true" strokeweight=".75pt" strokecolor="#000000">
              <v:stroke dashstyle="solid"/>
            </v:line>
            <v:rect style="position:absolute;left:4114;top:1400;width:227;height:707" id="docshape877" filled="true" fillcolor="#000000" stroked="false">
              <v:fill type="solid"/>
            </v:rect>
            <v:rect style="position:absolute;left:4114;top:1399;width:226;height:708" id="docshape878" filled="false" stroked="true" strokeweight=".75pt" strokecolor="#000000">
              <v:stroke dashstyle="solid"/>
            </v:rect>
            <v:line style="position:absolute" from="3721,1241" to="6221,1242" stroked="true" strokeweight=".75pt" strokecolor="#000000">
              <v:stroke dashstyle="solid"/>
            </v:line>
            <v:line style="position:absolute" from="3721,4201" to="6221,4202" stroked="true" strokeweight=".75pt" strokecolor="#000000">
              <v:stroke dashstyle="solid"/>
            </v:line>
            <v:line style="position:absolute" from="3721,1197" to="6221,1197" stroked="true" strokeweight="1.5pt" strokecolor="#000000">
              <v:stroke dashstyle="solid"/>
            </v:line>
            <v:line style="position:absolute" from="3721,4159" to="6221,4159" stroked="true" strokeweight="1.5pt" strokecolor="#000000">
              <v:stroke dashstyle="solid"/>
            </v:line>
            <v:shape style="position:absolute;left:1932;top:1126;width:1372;height:201" type="#_x0000_t202" id="docshape879" filled="false" stroked="false">
              <v:textbox inset="0,0,0,0">
                <w:txbxContent>
                  <w:p>
                    <w:pPr>
                      <w:spacing w:line="199" w:lineRule="exact" w:before="0"/>
                      <w:ind w:left="0" w:right="0" w:firstLine="0"/>
                      <w:jc w:val="left"/>
                      <w:rPr>
                        <w:rFonts w:ascii="Tahoma"/>
                        <w:sz w:val="20"/>
                      </w:rPr>
                    </w:pPr>
                    <w:r>
                      <w:rPr>
                        <w:rFonts w:ascii="Tahoma"/>
                        <w:sz w:val="20"/>
                      </w:rPr>
                      <w:t>Any</w:t>
                    </w:r>
                    <w:r>
                      <w:rPr>
                        <w:rFonts w:ascii="Tahoma"/>
                        <w:spacing w:val="-2"/>
                        <w:sz w:val="20"/>
                      </w:rPr>
                      <w:t> </w:t>
                    </w:r>
                    <w:r>
                      <w:rPr>
                        <w:rFonts w:ascii="Tahoma"/>
                        <w:sz w:val="20"/>
                      </w:rPr>
                      <w:t>Two</w:t>
                    </w:r>
                    <w:r>
                      <w:rPr>
                        <w:rFonts w:ascii="Tahoma"/>
                        <w:spacing w:val="-1"/>
                        <w:sz w:val="20"/>
                      </w:rPr>
                      <w:t> </w:t>
                    </w:r>
                    <w:r>
                      <w:rPr>
                        <w:rFonts w:ascii="Tahoma"/>
                        <w:spacing w:val="-2"/>
                        <w:sz w:val="20"/>
                      </w:rPr>
                      <w:t>Pivots</w:t>
                    </w:r>
                  </w:p>
                </w:txbxContent>
              </v:textbox>
              <w10:wrap type="none"/>
            </v:shape>
            <v:shape style="position:absolute;left:1932;top:4101;width:1372;height:201" type="#_x0000_t202" id="docshape880" filled="false" stroked="false">
              <v:textbox inset="0,0,0,0">
                <w:txbxContent>
                  <w:p>
                    <w:pPr>
                      <w:spacing w:line="199" w:lineRule="exact" w:before="0"/>
                      <w:ind w:left="0" w:right="0" w:firstLine="0"/>
                      <w:jc w:val="left"/>
                      <w:rPr>
                        <w:rFonts w:ascii="Tahoma"/>
                        <w:sz w:val="20"/>
                      </w:rPr>
                    </w:pPr>
                    <w:r>
                      <w:rPr>
                        <w:rFonts w:ascii="Tahoma"/>
                        <w:sz w:val="20"/>
                      </w:rPr>
                      <w:t>Any</w:t>
                    </w:r>
                    <w:r>
                      <w:rPr>
                        <w:rFonts w:ascii="Tahoma"/>
                        <w:spacing w:val="-2"/>
                        <w:sz w:val="20"/>
                      </w:rPr>
                      <w:t> </w:t>
                    </w:r>
                    <w:r>
                      <w:rPr>
                        <w:rFonts w:ascii="Tahoma"/>
                        <w:sz w:val="20"/>
                      </w:rPr>
                      <w:t>Two</w:t>
                    </w:r>
                    <w:r>
                      <w:rPr>
                        <w:rFonts w:ascii="Tahoma"/>
                        <w:spacing w:val="-1"/>
                        <w:sz w:val="20"/>
                      </w:rPr>
                      <w:t> </w:t>
                    </w:r>
                    <w:r>
                      <w:rPr>
                        <w:rFonts w:ascii="Tahoma"/>
                        <w:spacing w:val="-2"/>
                        <w:sz w:val="20"/>
                      </w:rPr>
                      <w:t>Pivots</w:t>
                    </w:r>
                  </w:p>
                </w:txbxContent>
              </v:textbox>
              <w10:wrap type="none"/>
            </v:shape>
            <v:shape style="position:absolute;left:1252;top:256;width:5774;height:581" type="#_x0000_t202" id="docshape881" filled="true" fillcolor="#000000" stroked="false">
              <v:textbox inset="0,0,0,0">
                <w:txbxContent>
                  <w:p>
                    <w:pPr>
                      <w:spacing w:before="89"/>
                      <w:ind w:left="1238" w:right="0" w:firstLine="0"/>
                      <w:jc w:val="left"/>
                      <w:rPr>
                        <w:rFonts w:ascii="Verdana"/>
                        <w:color w:val="000000"/>
                        <w:sz w:val="28"/>
                      </w:rPr>
                    </w:pPr>
                    <w:r>
                      <w:rPr>
                        <w:rFonts w:ascii="Verdana"/>
                        <w:color w:val="FFFFFF"/>
                        <w:sz w:val="28"/>
                      </w:rPr>
                      <w:t>Double</w:t>
                    </w:r>
                    <w:r>
                      <w:rPr>
                        <w:rFonts w:ascii="Verdana"/>
                        <w:color w:val="FFFFFF"/>
                        <w:spacing w:val="-7"/>
                        <w:sz w:val="28"/>
                      </w:rPr>
                      <w:t> </w:t>
                    </w:r>
                    <w:r>
                      <w:rPr>
                        <w:rFonts w:ascii="Verdana"/>
                        <w:color w:val="FFFFFF"/>
                        <w:sz w:val="28"/>
                      </w:rPr>
                      <w:t>Pivot</w:t>
                    </w:r>
                    <w:r>
                      <w:rPr>
                        <w:rFonts w:ascii="Verdana"/>
                        <w:color w:val="FFFFFF"/>
                        <w:spacing w:val="-6"/>
                        <w:sz w:val="28"/>
                      </w:rPr>
                      <w:t> </w:t>
                    </w:r>
                    <w:r>
                      <w:rPr>
                        <w:rFonts w:ascii="Verdana"/>
                        <w:color w:val="FFFFFF"/>
                        <w:sz w:val="28"/>
                      </w:rPr>
                      <w:t>Hot</w:t>
                    </w:r>
                    <w:r>
                      <w:rPr>
                        <w:rFonts w:ascii="Verdana"/>
                        <w:color w:val="FFFFFF"/>
                        <w:spacing w:val="-7"/>
                        <w:sz w:val="28"/>
                      </w:rPr>
                      <w:t> </w:t>
                    </w:r>
                    <w:r>
                      <w:rPr>
                        <w:rFonts w:ascii="Verdana"/>
                        <w:color w:val="FFFFFF"/>
                        <w:spacing w:val="-2"/>
                        <w:sz w:val="28"/>
                      </w:rPr>
                      <w:t>Zones</w:t>
                    </w:r>
                  </w:p>
                </w:txbxContent>
              </v:textbox>
              <v:fill type="solid"/>
              <w10:wrap type="none"/>
            </v:shape>
            <w10:wrap type="topAndBottom"/>
          </v:group>
        </w:pict>
      </w:r>
    </w:p>
    <w:p>
      <w:pPr>
        <w:spacing w:before="0"/>
        <w:ind w:left="629" w:right="0" w:firstLine="0"/>
        <w:jc w:val="left"/>
        <w:rPr>
          <w:sz w:val="16"/>
        </w:rPr>
      </w:pPr>
      <w:r>
        <w:rPr>
          <w:sz w:val="16"/>
        </w:rPr>
        <w:t>FIGURE</w:t>
      </w:r>
      <w:r>
        <w:rPr>
          <w:spacing w:val="6"/>
          <w:sz w:val="16"/>
        </w:rPr>
        <w:t> </w:t>
      </w:r>
      <w:r>
        <w:rPr>
          <w:sz w:val="16"/>
        </w:rPr>
        <w:t>10.1:</w:t>
      </w:r>
      <w:r>
        <w:rPr>
          <w:spacing w:val="7"/>
          <w:sz w:val="16"/>
        </w:rPr>
        <w:t> </w:t>
      </w:r>
      <w:r>
        <w:rPr>
          <w:sz w:val="16"/>
        </w:rPr>
        <w:t>DPZ</w:t>
      </w:r>
      <w:r>
        <w:rPr>
          <w:spacing w:val="6"/>
          <w:sz w:val="16"/>
        </w:rPr>
        <w:t> </w:t>
      </w:r>
      <w:r>
        <w:rPr>
          <w:sz w:val="16"/>
        </w:rPr>
        <w:t>support</w:t>
      </w:r>
      <w:r>
        <w:rPr>
          <w:spacing w:val="7"/>
          <w:sz w:val="16"/>
        </w:rPr>
        <w:t> </w:t>
      </w:r>
      <w:r>
        <w:rPr>
          <w:sz w:val="16"/>
        </w:rPr>
        <w:t>and</w:t>
      </w:r>
      <w:r>
        <w:rPr>
          <w:spacing w:val="7"/>
          <w:sz w:val="16"/>
        </w:rPr>
        <w:t> </w:t>
      </w:r>
      <w:r>
        <w:rPr>
          <w:spacing w:val="-2"/>
          <w:sz w:val="16"/>
        </w:rPr>
        <w:t>resistance</w:t>
      </w:r>
    </w:p>
    <w:p>
      <w:pPr>
        <w:pStyle w:val="BodyText"/>
        <w:spacing w:before="9"/>
        <w:rPr>
          <w:sz w:val="21"/>
        </w:rPr>
      </w:pPr>
    </w:p>
    <w:p>
      <w:pPr>
        <w:pStyle w:val="BodyText"/>
        <w:ind w:left="140" w:right="496" w:firstLine="432"/>
        <w:jc w:val="both"/>
      </w:pPr>
      <w:r>
        <w:rPr/>
        <w:t>Let’s take a look at an example. Figure 10.2 is a fascinating chart of Crude Oil futures because it combines visual support with a double pivot hot zone, which consists of S2 and L4. I’m a big fan of visual and pivot confluence, as this tandem allows more market participants to enter the fray.</w:t>
      </w:r>
      <w:r>
        <w:rPr>
          <w:spacing w:val="40"/>
        </w:rPr>
        <w:t> </w:t>
      </w:r>
      <w:r>
        <w:rPr/>
        <w:t>I know it’s tough to believe, but not everyone knows about the pivots. Some market participants will trade based off these levels, while others will use classical forms of technical analysis, like support and resistance. More</w:t>
      </w:r>
      <w:r>
        <w:rPr>
          <w:spacing w:val="40"/>
        </w:rPr>
        <w:t> </w:t>
      </w:r>
      <w:r>
        <w:rPr/>
        <w:t>market participants will enter the market at a level when these two powerful forms of confirmation line up.</w:t>
      </w:r>
    </w:p>
    <w:p>
      <w:pPr>
        <w:pStyle w:val="BodyText"/>
        <w:ind w:left="140" w:right="495" w:firstLine="432"/>
        <w:jc w:val="both"/>
      </w:pPr>
      <w:r>
        <w:rPr/>
        <w:t>Looking at the chart, there is clear double pivot support at about $81.15, but the market has also found three-day visual support at about $81. This means that another realm of technical traders will be finding value at or around the $81 level. When the streams of confluence point to a level this precisely, in addition to the highly bullish extreme reversal signal, major market participation is usually the result. In this case, Crude Oil rallied over two points from</w:t>
      </w:r>
      <w:r>
        <w:rPr>
          <w:spacing w:val="-1"/>
        </w:rPr>
        <w:t> </w:t>
      </w:r>
      <w:r>
        <w:rPr/>
        <w:t>the $81 level</w:t>
      </w:r>
      <w:r>
        <w:rPr>
          <w:spacing w:val="-1"/>
        </w:rPr>
        <w:t> </w:t>
      </w:r>
      <w:r>
        <w:rPr/>
        <w:t>to $83 per</w:t>
      </w:r>
      <w:r>
        <w:rPr>
          <w:spacing w:val="-1"/>
        </w:rPr>
        <w:t> </w:t>
      </w:r>
      <w:r>
        <w:rPr/>
        <w:t>barrel—a gain of</w:t>
      </w:r>
      <w:r>
        <w:rPr>
          <w:spacing w:val="-1"/>
        </w:rPr>
        <w:t> </w:t>
      </w:r>
      <w:r>
        <w:rPr/>
        <w:t>$2000 per contract </w:t>
      </w:r>
      <w:r>
        <w:rPr>
          <w:spacing w:val="-2"/>
        </w:rPr>
        <w:t>traded.</w:t>
      </w:r>
    </w:p>
    <w:p>
      <w:pPr>
        <w:spacing w:after="0"/>
        <w:jc w:val="both"/>
        <w:sectPr>
          <w:pgSz w:w="8640" w:h="12960"/>
          <w:pgMar w:header="579" w:footer="1060"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305" name="image159.png"/>
            <wp:cNvGraphicFramePr>
              <a:graphicFrameLocks noChangeAspect="1"/>
            </wp:cNvGraphicFramePr>
            <a:graphic>
              <a:graphicData uri="http://schemas.openxmlformats.org/drawingml/2006/picture">
                <pic:pic>
                  <pic:nvPicPr>
                    <pic:cNvPr id="306" name="image159.png"/>
                    <pic:cNvPicPr/>
                  </pic:nvPicPr>
                  <pic:blipFill>
                    <a:blip r:embed="rId318"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10.2:</w:t>
      </w:r>
      <w:r>
        <w:rPr>
          <w:spacing w:val="-1"/>
          <w:sz w:val="16"/>
        </w:rPr>
        <w:t> </w:t>
      </w:r>
      <w:r>
        <w:rPr>
          <w:sz w:val="16"/>
        </w:rPr>
        <w:t>DPZ support</w:t>
      </w:r>
      <w:r>
        <w:rPr>
          <w:spacing w:val="-1"/>
          <w:sz w:val="16"/>
        </w:rPr>
        <w:t> </w:t>
      </w:r>
      <w:r>
        <w:rPr>
          <w:sz w:val="16"/>
        </w:rPr>
        <w:t>coupled</w:t>
      </w:r>
      <w:r>
        <w:rPr>
          <w:spacing w:val="-1"/>
          <w:sz w:val="16"/>
        </w:rPr>
        <w:t> </w:t>
      </w:r>
      <w:r>
        <w:rPr>
          <w:sz w:val="16"/>
        </w:rPr>
        <w:t>with an</w:t>
      </w:r>
      <w:r>
        <w:rPr>
          <w:spacing w:val="-1"/>
          <w:sz w:val="16"/>
        </w:rPr>
        <w:t> </w:t>
      </w:r>
      <w:r>
        <w:rPr>
          <w:sz w:val="16"/>
        </w:rPr>
        <w:t>extreme reversal signal</w:t>
      </w:r>
      <w:r>
        <w:rPr>
          <w:spacing w:val="-1"/>
          <w:sz w:val="16"/>
        </w:rPr>
        <w:t> </w:t>
      </w:r>
      <w:r>
        <w:rPr>
          <w:sz w:val="16"/>
        </w:rPr>
        <w:t>leads</w:t>
      </w:r>
      <w:r>
        <w:rPr>
          <w:spacing w:val="-1"/>
          <w:sz w:val="16"/>
        </w:rPr>
        <w:t> </w:t>
      </w:r>
      <w:r>
        <w:rPr>
          <w:sz w:val="16"/>
        </w:rPr>
        <w:t>to a</w:t>
      </w:r>
      <w:r>
        <w:rPr>
          <w:spacing w:val="-1"/>
          <w:sz w:val="16"/>
        </w:rPr>
        <w:t> </w:t>
      </w:r>
      <w:r>
        <w:rPr>
          <w:sz w:val="16"/>
        </w:rPr>
        <w:t>rally</w:t>
      </w:r>
      <w:r>
        <w:rPr>
          <w:spacing w:val="-1"/>
          <w:sz w:val="16"/>
        </w:rPr>
        <w:t> </w:t>
      </w:r>
      <w:r>
        <w:rPr>
          <w:sz w:val="16"/>
        </w:rPr>
        <w:t>in </w:t>
      </w:r>
      <w:r>
        <w:rPr>
          <w:spacing w:val="-2"/>
          <w:sz w:val="16"/>
        </w:rPr>
        <w:t>Crude</w:t>
      </w:r>
    </w:p>
    <w:p>
      <w:pPr>
        <w:pStyle w:val="BodyText"/>
        <w:spacing w:before="2"/>
      </w:pPr>
    </w:p>
    <w:p>
      <w:pPr>
        <w:pStyle w:val="BodyText"/>
        <w:ind w:left="500" w:right="136" w:firstLine="432"/>
        <w:jc w:val="both"/>
      </w:pPr>
      <w:r>
        <w:rPr/>
        <w:t>An interesting note about the chart above is the fact that the two pivots are</w:t>
      </w:r>
      <w:r>
        <w:rPr>
          <w:spacing w:val="-2"/>
        </w:rPr>
        <w:t> </w:t>
      </w:r>
      <w:r>
        <w:rPr/>
        <w:t>spaced</w:t>
      </w:r>
      <w:r>
        <w:rPr>
          <w:spacing w:val="-3"/>
        </w:rPr>
        <w:t> </w:t>
      </w:r>
      <w:r>
        <w:rPr/>
        <w:t>a</w:t>
      </w:r>
      <w:r>
        <w:rPr>
          <w:spacing w:val="-2"/>
        </w:rPr>
        <w:t> </w:t>
      </w:r>
      <w:r>
        <w:rPr/>
        <w:t>few</w:t>
      </w:r>
      <w:r>
        <w:rPr>
          <w:spacing w:val="-3"/>
        </w:rPr>
        <w:t> </w:t>
      </w:r>
      <w:r>
        <w:rPr/>
        <w:t>cents</w:t>
      </w:r>
      <w:r>
        <w:rPr>
          <w:spacing w:val="-2"/>
        </w:rPr>
        <w:t> </w:t>
      </w:r>
      <w:r>
        <w:rPr/>
        <w:t>apart,</w:t>
      </w:r>
      <w:r>
        <w:rPr>
          <w:spacing w:val="-3"/>
        </w:rPr>
        <w:t> </w:t>
      </w:r>
      <w:r>
        <w:rPr/>
        <w:t>illustrating</w:t>
      </w:r>
      <w:r>
        <w:rPr>
          <w:spacing w:val="-4"/>
        </w:rPr>
        <w:t> </w:t>
      </w:r>
      <w:r>
        <w:rPr/>
        <w:t>a</w:t>
      </w:r>
      <w:r>
        <w:rPr>
          <w:spacing w:val="-2"/>
        </w:rPr>
        <w:t> </w:t>
      </w:r>
      <w:r>
        <w:rPr/>
        <w:t>great</w:t>
      </w:r>
      <w:r>
        <w:rPr>
          <w:spacing w:val="-3"/>
        </w:rPr>
        <w:t> </w:t>
      </w:r>
      <w:r>
        <w:rPr/>
        <w:t>example</w:t>
      </w:r>
      <w:r>
        <w:rPr>
          <w:spacing w:val="-2"/>
        </w:rPr>
        <w:t> </w:t>
      </w:r>
      <w:r>
        <w:rPr/>
        <w:t>of</w:t>
      </w:r>
      <w:r>
        <w:rPr>
          <w:spacing w:val="-3"/>
        </w:rPr>
        <w:t> </w:t>
      </w:r>
      <w:r>
        <w:rPr/>
        <w:t>how</w:t>
      </w:r>
      <w:r>
        <w:rPr>
          <w:spacing w:val="-2"/>
        </w:rPr>
        <w:t> </w:t>
      </w:r>
      <w:r>
        <w:rPr/>
        <w:t>the</w:t>
      </w:r>
      <w:r>
        <w:rPr>
          <w:spacing w:val="-3"/>
        </w:rPr>
        <w:t> </w:t>
      </w:r>
      <w:r>
        <w:rPr/>
        <w:t>pivots</w:t>
      </w:r>
      <w:r>
        <w:rPr>
          <w:spacing w:val="-3"/>
        </w:rPr>
        <w:t> </w:t>
      </w:r>
      <w:r>
        <w:rPr>
          <w:i/>
        </w:rPr>
        <w:t>do</w:t>
      </w:r>
      <w:r>
        <w:rPr>
          <w:i/>
        </w:rPr>
        <w:t> not </w:t>
      </w:r>
      <w:r>
        <w:rPr/>
        <w:t>have to be perfectly aligned to signify a great area of support or resistance. Actually, I’ve never seen support or resistance as a perfect line in a chart, although they can be at times. I’ve always seen support and</w:t>
      </w:r>
      <w:r>
        <w:rPr>
          <w:spacing w:val="40"/>
        </w:rPr>
        <w:t> </w:t>
      </w:r>
      <w:r>
        <w:rPr/>
        <w:t>resistance as “price zones” to which the market reacts.</w:t>
      </w:r>
    </w:p>
    <w:p>
      <w:pPr>
        <w:pStyle w:val="BodyText"/>
        <w:ind w:left="500" w:right="135" w:firstLine="432"/>
        <w:jc w:val="both"/>
      </w:pPr>
      <w:r>
        <w:rPr/>
        <w:t>When I notice there is strong double pivot support or resistance, I usually check the direction of the overriding trend. As I discussed in prior chapters, the trend can be a major ally when playing the pivots. Any pull- back within an established trend should be seen as a buying or selling opportunity once a hot zone is reached, as responsive market participation is likely to occur.</w:t>
      </w:r>
    </w:p>
    <w:p>
      <w:pPr>
        <w:pStyle w:val="BodyText"/>
        <w:ind w:left="499" w:right="135" w:firstLine="432"/>
        <w:jc w:val="both"/>
      </w:pPr>
      <w:r>
        <w:rPr/>
        <w:t>Take</w:t>
      </w:r>
      <w:r>
        <w:rPr>
          <w:spacing w:val="-1"/>
        </w:rPr>
        <w:t> </w:t>
      </w:r>
      <w:r>
        <w:rPr/>
        <w:t>a</w:t>
      </w:r>
      <w:r>
        <w:rPr>
          <w:spacing w:val="-1"/>
        </w:rPr>
        <w:t> </w:t>
      </w:r>
      <w:r>
        <w:rPr/>
        <w:t>look</w:t>
      </w:r>
      <w:r>
        <w:rPr>
          <w:spacing w:val="-1"/>
        </w:rPr>
        <w:t> </w:t>
      </w:r>
      <w:r>
        <w:rPr/>
        <w:t>at</w:t>
      </w:r>
      <w:r>
        <w:rPr>
          <w:spacing w:val="-1"/>
        </w:rPr>
        <w:t> </w:t>
      </w:r>
      <w:r>
        <w:rPr/>
        <w:t>Figure</w:t>
      </w:r>
      <w:r>
        <w:rPr>
          <w:spacing w:val="-1"/>
        </w:rPr>
        <w:t> </w:t>
      </w:r>
      <w:r>
        <w:rPr/>
        <w:t>10.3,</w:t>
      </w:r>
      <w:r>
        <w:rPr>
          <w:spacing w:val="-2"/>
        </w:rPr>
        <w:t> </w:t>
      </w:r>
      <w:r>
        <w:rPr/>
        <w:t>which</w:t>
      </w:r>
      <w:r>
        <w:rPr>
          <w:spacing w:val="-1"/>
        </w:rPr>
        <w:t> </w:t>
      </w:r>
      <w:r>
        <w:rPr/>
        <w:t>is a</w:t>
      </w:r>
      <w:r>
        <w:rPr>
          <w:spacing w:val="-1"/>
        </w:rPr>
        <w:t> </w:t>
      </w:r>
      <w:r>
        <w:rPr/>
        <w:t>fifteen-minute</w:t>
      </w:r>
      <w:r>
        <w:rPr>
          <w:spacing w:val="-1"/>
        </w:rPr>
        <w:t> </w:t>
      </w:r>
      <w:r>
        <w:rPr/>
        <w:t>chart</w:t>
      </w:r>
      <w:r>
        <w:rPr>
          <w:spacing w:val="-1"/>
        </w:rPr>
        <w:t> </w:t>
      </w:r>
      <w:r>
        <w:rPr/>
        <w:t>of</w:t>
      </w:r>
      <w:r>
        <w:rPr>
          <w:spacing w:val="-1"/>
        </w:rPr>
        <w:t> </w:t>
      </w:r>
      <w:r>
        <w:rPr/>
        <w:t>the</w:t>
      </w:r>
      <w:r>
        <w:rPr>
          <w:spacing w:val="-1"/>
        </w:rPr>
        <w:t> </w:t>
      </w:r>
      <w:r>
        <w:rPr/>
        <w:t>E-Mini S&amp;P 400 futures contract. The contract had been trending lower over the</w:t>
      </w:r>
      <w:r>
        <w:rPr>
          <w:spacing w:val="40"/>
        </w:rPr>
        <w:t> </w:t>
      </w:r>
      <w:r>
        <w:rPr/>
        <w:t>prior week of trading, making every pull-back a selling opportunity. The contract rallied early in the day on January 29, 2010, but ran into double</w:t>
      </w:r>
      <w:r>
        <w:rPr>
          <w:spacing w:val="40"/>
        </w:rPr>
        <w:t> </w:t>
      </w:r>
      <w:r>
        <w:rPr/>
        <w:t>pivot resistance at the 719 level, where both R1 and H4 resistance identified this</w:t>
      </w:r>
      <w:r>
        <w:rPr>
          <w:spacing w:val="-2"/>
        </w:rPr>
        <w:t> </w:t>
      </w:r>
      <w:r>
        <w:rPr/>
        <w:t>area</w:t>
      </w:r>
      <w:r>
        <w:rPr>
          <w:spacing w:val="-1"/>
        </w:rPr>
        <w:t> </w:t>
      </w:r>
      <w:r>
        <w:rPr/>
        <w:t>as</w:t>
      </w:r>
      <w:r>
        <w:rPr>
          <w:spacing w:val="-2"/>
        </w:rPr>
        <w:t> </w:t>
      </w:r>
      <w:r>
        <w:rPr/>
        <w:t>a hot</w:t>
      </w:r>
      <w:r>
        <w:rPr>
          <w:spacing w:val="-2"/>
        </w:rPr>
        <w:t> </w:t>
      </w:r>
      <w:r>
        <w:rPr/>
        <w:t>zone.</w:t>
      </w:r>
      <w:r>
        <w:rPr>
          <w:spacing w:val="-2"/>
        </w:rPr>
        <w:t> </w:t>
      </w:r>
      <w:r>
        <w:rPr/>
        <w:t>As</w:t>
      </w:r>
      <w:r>
        <w:rPr>
          <w:spacing w:val="-1"/>
        </w:rPr>
        <w:t> </w:t>
      </w:r>
      <w:r>
        <w:rPr/>
        <w:t>you</w:t>
      </w:r>
      <w:r>
        <w:rPr>
          <w:spacing w:val="-2"/>
        </w:rPr>
        <w:t> </w:t>
      </w:r>
      <w:r>
        <w:rPr/>
        <w:t>recall,</w:t>
      </w:r>
      <w:r>
        <w:rPr>
          <w:spacing w:val="-3"/>
        </w:rPr>
        <w:t> </w:t>
      </w:r>
      <w:r>
        <w:rPr/>
        <w:t>any</w:t>
      </w:r>
      <w:r>
        <w:rPr>
          <w:spacing w:val="-3"/>
        </w:rPr>
        <w:t> </w:t>
      </w:r>
      <w:r>
        <w:rPr/>
        <w:t>pull-back</w:t>
      </w:r>
      <w:r>
        <w:rPr>
          <w:spacing w:val="-2"/>
        </w:rPr>
        <w:t> </w:t>
      </w:r>
      <w:r>
        <w:rPr/>
        <w:t>during</w:t>
      </w:r>
      <w:r>
        <w:rPr>
          <w:spacing w:val="-2"/>
        </w:rPr>
        <w:t> </w:t>
      </w:r>
      <w:r>
        <w:rPr/>
        <w:t>a</w:t>
      </w:r>
      <w:r>
        <w:rPr>
          <w:spacing w:val="-2"/>
        </w:rPr>
        <w:t> </w:t>
      </w:r>
      <w:r>
        <w:rPr/>
        <w:t>downtrend</w:t>
      </w:r>
      <w:r>
        <w:rPr>
          <w:spacing w:val="-3"/>
        </w:rPr>
        <w:t> </w:t>
      </w:r>
      <w:r>
        <w:rPr/>
        <w:t>gives sellers the advantage above value, as responsive market participants are</w:t>
      </w:r>
      <w:r>
        <w:rPr>
          <w:spacing w:val="40"/>
        </w:rPr>
        <w:t> </w:t>
      </w:r>
      <w:r>
        <w:rPr/>
        <w:t>likely to push price back toward value. Add to this the fact that price formed</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500"/>
        <w:jc w:val="both"/>
      </w:pPr>
      <w:r>
        <w:rPr/>
        <w:t>a bearish extreme reversal setup at the double pivot hot zone, and you have a recipe for success. Given the multitude of confirming factors, responsive sellers easily overwhelmed buyers at dual pivot resistance at 719 and proceeded to push price back toward value.</w:t>
      </w:r>
    </w:p>
    <w:p>
      <w:pPr>
        <w:pStyle w:val="BodyText"/>
        <w:ind w:left="140" w:right="496" w:firstLine="432"/>
        <w:jc w:val="both"/>
      </w:pPr>
      <w:r>
        <w:rPr/>
        <w:t>As always, you can play the move to a prior support level, which is usually a safe bet. However, the fact that this setup occurred in the midst of a highly bearish trend indicated that new lows would likely be reached at some point over the next few hours, or maybe even the next session. Given this knowledge, you can also use a trailing profit stop that trails price with a comfortable cushion. Eventually, the MC closed the day near the lows of the session at 698.7, completing a move of 17.4 points!</w:t>
      </w:r>
    </w:p>
    <w:p>
      <w:pPr>
        <w:pStyle w:val="BodyText"/>
        <w:spacing w:before="1"/>
        <w:rPr>
          <w:sz w:val="20"/>
        </w:rPr>
      </w:pPr>
      <w:r>
        <w:rPr/>
        <w:drawing>
          <wp:anchor distT="0" distB="0" distL="0" distR="0" allowOverlap="1" layoutInCell="1" locked="0" behindDoc="0" simplePos="0" relativeHeight="312">
            <wp:simplePos x="0" y="0"/>
            <wp:positionH relativeFrom="page">
              <wp:posOffset>457200</wp:posOffset>
            </wp:positionH>
            <wp:positionV relativeFrom="paragraph">
              <wp:posOffset>161938</wp:posOffset>
            </wp:positionV>
            <wp:extent cx="4342239" cy="3111722"/>
            <wp:effectExtent l="0" t="0" r="0" b="0"/>
            <wp:wrapTopAndBottom/>
            <wp:docPr id="307" name="image160.png"/>
            <wp:cNvGraphicFramePr>
              <a:graphicFrameLocks noChangeAspect="1"/>
            </wp:cNvGraphicFramePr>
            <a:graphic>
              <a:graphicData uri="http://schemas.openxmlformats.org/drawingml/2006/picture">
                <pic:pic>
                  <pic:nvPicPr>
                    <pic:cNvPr id="308" name="image160.png"/>
                    <pic:cNvPicPr/>
                  </pic:nvPicPr>
                  <pic:blipFill>
                    <a:blip r:embed="rId319" cstate="print"/>
                    <a:stretch>
                      <a:fillRect/>
                    </a:stretch>
                  </pic:blipFill>
                  <pic:spPr>
                    <a:xfrm>
                      <a:off x="0" y="0"/>
                      <a:ext cx="4342239" cy="3111722"/>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10.3: A</w:t>
      </w:r>
      <w:r>
        <w:rPr>
          <w:spacing w:val="3"/>
          <w:sz w:val="16"/>
        </w:rPr>
        <w:t> </w:t>
      </w:r>
      <w:r>
        <w:rPr>
          <w:sz w:val="16"/>
        </w:rPr>
        <w:t>bearish</w:t>
      </w:r>
      <w:r>
        <w:rPr>
          <w:spacing w:val="-1"/>
          <w:sz w:val="16"/>
        </w:rPr>
        <w:t> </w:t>
      </w:r>
      <w:r>
        <w:rPr>
          <w:sz w:val="16"/>
        </w:rPr>
        <w:t>DPZ</w:t>
      </w:r>
      <w:r>
        <w:rPr>
          <w:spacing w:val="1"/>
          <w:sz w:val="16"/>
        </w:rPr>
        <w:t> </w:t>
      </w:r>
      <w:r>
        <w:rPr>
          <w:sz w:val="16"/>
        </w:rPr>
        <w:t>with</w:t>
      </w:r>
      <w:r>
        <w:rPr>
          <w:spacing w:val="1"/>
          <w:sz w:val="16"/>
        </w:rPr>
        <w:t> </w:t>
      </w:r>
      <w:r>
        <w:rPr>
          <w:sz w:val="16"/>
        </w:rPr>
        <w:t>signal</w:t>
      </w:r>
      <w:r>
        <w:rPr>
          <w:spacing w:val="-1"/>
          <w:sz w:val="16"/>
        </w:rPr>
        <w:t> </w:t>
      </w:r>
      <w:r>
        <w:rPr>
          <w:sz w:val="16"/>
        </w:rPr>
        <w:t>confirmation leads to a</w:t>
      </w:r>
      <w:r>
        <w:rPr>
          <w:spacing w:val="-1"/>
          <w:sz w:val="16"/>
        </w:rPr>
        <w:t> </w:t>
      </w:r>
      <w:r>
        <w:rPr>
          <w:sz w:val="16"/>
        </w:rPr>
        <w:t>twenty-point drop in</w:t>
      </w:r>
      <w:r>
        <w:rPr>
          <w:spacing w:val="-1"/>
          <w:sz w:val="16"/>
        </w:rPr>
        <w:t> </w:t>
      </w:r>
      <w:r>
        <w:rPr>
          <w:sz w:val="16"/>
        </w:rPr>
        <w:t>the </w:t>
      </w:r>
      <w:r>
        <w:rPr>
          <w:spacing w:val="-5"/>
          <w:sz w:val="16"/>
        </w:rPr>
        <w:t>MC.</w:t>
      </w:r>
    </w:p>
    <w:p>
      <w:pPr>
        <w:pStyle w:val="BodyText"/>
        <w:spacing w:before="10"/>
        <w:rPr>
          <w:sz w:val="21"/>
        </w:rPr>
      </w:pPr>
    </w:p>
    <w:p>
      <w:pPr>
        <w:pStyle w:val="BodyText"/>
        <w:ind w:left="140" w:right="494" w:firstLine="432"/>
        <w:jc w:val="both"/>
      </w:pPr>
      <w:r>
        <w:rPr/>
        <w:t>Again, several confirming factors contributed to the successful outcome of this setup. First, the market formed an established trend over the prior week of trading, which should immediately set your focus to selling every qualified pull-back opportunity. Secondly, the morning advance was halted once</w:t>
      </w:r>
      <w:r>
        <w:rPr>
          <w:spacing w:val="-1"/>
        </w:rPr>
        <w:t> </w:t>
      </w:r>
      <w:r>
        <w:rPr/>
        <w:t>the</w:t>
      </w:r>
      <w:r>
        <w:rPr>
          <w:spacing w:val="-1"/>
        </w:rPr>
        <w:t> </w:t>
      </w:r>
      <w:r>
        <w:rPr/>
        <w:t>double</w:t>
      </w:r>
      <w:r>
        <w:rPr>
          <w:spacing w:val="-1"/>
        </w:rPr>
        <w:t> </w:t>
      </w:r>
      <w:r>
        <w:rPr/>
        <w:t>pivot</w:t>
      </w:r>
      <w:r>
        <w:rPr>
          <w:spacing w:val="-2"/>
        </w:rPr>
        <w:t> </w:t>
      </w:r>
      <w:r>
        <w:rPr/>
        <w:t>hot</w:t>
      </w:r>
      <w:r>
        <w:rPr>
          <w:spacing w:val="-3"/>
        </w:rPr>
        <w:t> </w:t>
      </w:r>
      <w:r>
        <w:rPr/>
        <w:t>zone</w:t>
      </w:r>
      <w:r>
        <w:rPr>
          <w:spacing w:val="-1"/>
        </w:rPr>
        <w:t> </w:t>
      </w:r>
      <w:r>
        <w:rPr/>
        <w:t>was</w:t>
      </w:r>
      <w:r>
        <w:rPr>
          <w:spacing w:val="-1"/>
        </w:rPr>
        <w:t> </w:t>
      </w:r>
      <w:r>
        <w:rPr/>
        <w:t>reached</w:t>
      </w:r>
      <w:r>
        <w:rPr>
          <w:spacing w:val="-1"/>
        </w:rPr>
        <w:t> </w:t>
      </w:r>
      <w:r>
        <w:rPr/>
        <w:t>at</w:t>
      </w:r>
      <w:r>
        <w:rPr>
          <w:spacing w:val="-1"/>
        </w:rPr>
        <w:t> </w:t>
      </w:r>
      <w:r>
        <w:rPr/>
        <w:t>719,</w:t>
      </w:r>
      <w:r>
        <w:rPr>
          <w:spacing w:val="-2"/>
        </w:rPr>
        <w:t> </w:t>
      </w:r>
      <w:r>
        <w:rPr/>
        <w:t>indicating</w:t>
      </w:r>
      <w:r>
        <w:rPr>
          <w:spacing w:val="-1"/>
        </w:rPr>
        <w:t> </w:t>
      </w:r>
      <w:r>
        <w:rPr/>
        <w:t>that</w:t>
      </w:r>
      <w:r>
        <w:rPr>
          <w:spacing w:val="-2"/>
        </w:rPr>
        <w:t> </w:t>
      </w:r>
      <w:r>
        <w:rPr/>
        <w:t>responsive market participants were likely to enter the market at this point. Moreover, the extreme reversal setup confirmed weakness at the session’s highs, which ultimately confirmed a potential entry. One more note: price reversed at dual</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7"/>
        <w:jc w:val="both"/>
      </w:pPr>
      <w:r>
        <w:rPr/>
        <w:t>pivot resistance after the first hour of trading locked in the day’s initial balance, which left the door open to a potential reversal back toward the initial</w:t>
      </w:r>
      <w:r>
        <w:rPr>
          <w:spacing w:val="-1"/>
        </w:rPr>
        <w:t> </w:t>
      </w:r>
      <w:r>
        <w:rPr/>
        <w:t>balance</w:t>
      </w:r>
      <w:r>
        <w:rPr>
          <w:spacing w:val="-1"/>
        </w:rPr>
        <w:t> </w:t>
      </w:r>
      <w:r>
        <w:rPr/>
        <w:t>low.</w:t>
      </w:r>
      <w:r>
        <w:rPr>
          <w:spacing w:val="-1"/>
        </w:rPr>
        <w:t> </w:t>
      </w:r>
      <w:r>
        <w:rPr/>
        <w:t>Remember, markets</w:t>
      </w:r>
      <w:r>
        <w:rPr>
          <w:spacing w:val="-1"/>
        </w:rPr>
        <w:t> </w:t>
      </w:r>
      <w:r>
        <w:rPr/>
        <w:t>will</w:t>
      </w:r>
      <w:r>
        <w:rPr>
          <w:spacing w:val="-1"/>
        </w:rPr>
        <w:t> </w:t>
      </w:r>
      <w:r>
        <w:rPr/>
        <w:t>typically</w:t>
      </w:r>
      <w:r>
        <w:rPr>
          <w:spacing w:val="-2"/>
        </w:rPr>
        <w:t> </w:t>
      </w:r>
      <w:r>
        <w:rPr/>
        <w:t>reverse</w:t>
      </w:r>
      <w:r>
        <w:rPr>
          <w:spacing w:val="-1"/>
        </w:rPr>
        <w:t> </w:t>
      </w:r>
      <w:r>
        <w:rPr/>
        <w:t>at</w:t>
      </w:r>
      <w:r>
        <w:rPr>
          <w:spacing w:val="-1"/>
        </w:rPr>
        <w:t> </w:t>
      </w:r>
      <w:r>
        <w:rPr/>
        <w:t>the</w:t>
      </w:r>
      <w:r>
        <w:rPr>
          <w:spacing w:val="-1"/>
        </w:rPr>
        <w:t> </w:t>
      </w:r>
      <w:r>
        <w:rPr/>
        <w:t>extremes of the day’s initial balance on most sessions, until initiative buyers or sellers overwhelm one of the extremes in order to extend the day’s range.</w:t>
      </w:r>
    </w:p>
    <w:p>
      <w:pPr>
        <w:pStyle w:val="BodyText"/>
      </w:pPr>
    </w:p>
    <w:p>
      <w:pPr>
        <w:pStyle w:val="BodyText"/>
        <w:ind w:left="500"/>
        <w:jc w:val="both"/>
      </w:pPr>
      <w:r>
        <w:rPr/>
        <w:t>BOSS</w:t>
      </w:r>
      <w:r>
        <w:rPr>
          <w:spacing w:val="-5"/>
        </w:rPr>
        <w:t> </w:t>
      </w:r>
      <w:r>
        <w:rPr/>
        <w:t>IN</w:t>
      </w:r>
      <w:r>
        <w:rPr>
          <w:spacing w:val="-5"/>
        </w:rPr>
        <w:t> </w:t>
      </w:r>
      <w:r>
        <w:rPr>
          <w:spacing w:val="-2"/>
        </w:rPr>
        <w:t>ACTION</w:t>
      </w:r>
    </w:p>
    <w:p>
      <w:pPr>
        <w:pStyle w:val="BodyText"/>
      </w:pPr>
    </w:p>
    <w:p>
      <w:pPr>
        <w:pStyle w:val="BodyText"/>
        <w:spacing w:before="1"/>
        <w:ind w:left="500" w:right="137" w:firstLine="432"/>
        <w:jc w:val="both"/>
      </w:pPr>
      <w:r>
        <w:rPr/>
        <w:t>One of my favorite DPZ setups occurs when the market opens the day beyond the prior day’s range and value, which sets the stage for a major breakout opportunity and a Trend Day scenario. As you may recall from earlier chapters, I use many different tools to help me anticipate when a breakout of this caliber may occur, including pivot width and two-day relationships. The ability to anticipate this pattern will give you the best chance at capturing the biggest moves of the month.</w:t>
      </w:r>
    </w:p>
    <w:p>
      <w:pPr>
        <w:pStyle w:val="BodyText"/>
        <w:ind w:left="500" w:right="138" w:firstLine="432"/>
        <w:jc w:val="both"/>
      </w:pPr>
      <w:r>
        <w:rPr/>
        <w:t>When price opens the day</w:t>
      </w:r>
      <w:r>
        <w:rPr>
          <w:spacing w:val="-2"/>
        </w:rPr>
        <w:t> </w:t>
      </w:r>
      <w:r>
        <w:rPr/>
        <w:t>beyond</w:t>
      </w:r>
      <w:r>
        <w:rPr>
          <w:spacing w:val="-1"/>
        </w:rPr>
        <w:t> </w:t>
      </w:r>
      <w:r>
        <w:rPr/>
        <w:t>the</w:t>
      </w:r>
      <w:r>
        <w:rPr>
          <w:spacing w:val="-1"/>
        </w:rPr>
        <w:t> </w:t>
      </w:r>
      <w:r>
        <w:rPr/>
        <w:t>prior day’s range and</w:t>
      </w:r>
      <w:r>
        <w:rPr>
          <w:spacing w:val="-1"/>
        </w:rPr>
        <w:t> </w:t>
      </w:r>
      <w:r>
        <w:rPr/>
        <w:t>value, I also want to know if price gapped beyond a double pivot hot zone. If price does indeed open</w:t>
      </w:r>
      <w:r>
        <w:rPr>
          <w:spacing w:val="-1"/>
        </w:rPr>
        <w:t> </w:t>
      </w:r>
      <w:r>
        <w:rPr/>
        <w:t>beyond the DPZ, I will watch for a test of this hot zone for signs of a continuation or failure. If price gets a successful test of the hot zone, I will enter the trade with the intention of riding the move as long as I can, which usually means holding the position to the close of the market.</w:t>
      </w:r>
    </w:p>
    <w:p>
      <w:pPr>
        <w:pStyle w:val="BodyText"/>
        <w:ind w:left="500" w:right="135" w:firstLine="432"/>
        <w:jc w:val="both"/>
      </w:pPr>
      <w:r>
        <w:rPr/>
        <w:t>Take</w:t>
      </w:r>
      <w:r>
        <w:rPr>
          <w:spacing w:val="-1"/>
        </w:rPr>
        <w:t> </w:t>
      </w:r>
      <w:r>
        <w:rPr/>
        <w:t>a</w:t>
      </w:r>
      <w:r>
        <w:rPr>
          <w:spacing w:val="-1"/>
        </w:rPr>
        <w:t> </w:t>
      </w:r>
      <w:r>
        <w:rPr/>
        <w:t>look</w:t>
      </w:r>
      <w:r>
        <w:rPr>
          <w:spacing w:val="-1"/>
        </w:rPr>
        <w:t> </w:t>
      </w:r>
      <w:r>
        <w:rPr/>
        <w:t>at</w:t>
      </w:r>
      <w:r>
        <w:rPr>
          <w:spacing w:val="-1"/>
        </w:rPr>
        <w:t> </w:t>
      </w:r>
      <w:r>
        <w:rPr/>
        <w:t>Figure</w:t>
      </w:r>
      <w:r>
        <w:rPr>
          <w:spacing w:val="-1"/>
        </w:rPr>
        <w:t> </w:t>
      </w:r>
      <w:r>
        <w:rPr/>
        <w:t>10.4,</w:t>
      </w:r>
      <w:r>
        <w:rPr>
          <w:spacing w:val="-2"/>
        </w:rPr>
        <w:t> </w:t>
      </w:r>
      <w:r>
        <w:rPr/>
        <w:t>which</w:t>
      </w:r>
      <w:r>
        <w:rPr>
          <w:spacing w:val="-1"/>
        </w:rPr>
        <w:t> </w:t>
      </w:r>
      <w:r>
        <w:rPr/>
        <w:t>is a</w:t>
      </w:r>
      <w:r>
        <w:rPr>
          <w:spacing w:val="-1"/>
        </w:rPr>
        <w:t> </w:t>
      </w:r>
      <w:r>
        <w:rPr/>
        <w:t>fifteen-minute</w:t>
      </w:r>
      <w:r>
        <w:rPr>
          <w:spacing w:val="-1"/>
        </w:rPr>
        <w:t> </w:t>
      </w:r>
      <w:r>
        <w:rPr/>
        <w:t>chart</w:t>
      </w:r>
      <w:r>
        <w:rPr>
          <w:spacing w:val="-1"/>
        </w:rPr>
        <w:t> </w:t>
      </w:r>
      <w:r>
        <w:rPr/>
        <w:t>of</w:t>
      </w:r>
      <w:r>
        <w:rPr>
          <w:spacing w:val="-1"/>
        </w:rPr>
        <w:t> </w:t>
      </w:r>
      <w:r>
        <w:rPr/>
        <w:t>the</w:t>
      </w:r>
      <w:r>
        <w:rPr>
          <w:spacing w:val="-1"/>
        </w:rPr>
        <w:t> </w:t>
      </w:r>
      <w:r>
        <w:rPr/>
        <w:t>E-Mini S&amp;P 400 futures contract. The MC opened the day</w:t>
      </w:r>
      <w:r>
        <w:rPr>
          <w:spacing w:val="-1"/>
        </w:rPr>
        <w:t> </w:t>
      </w:r>
      <w:r>
        <w:rPr/>
        <w:t>with a bullish</w:t>
      </w:r>
      <w:r>
        <w:rPr>
          <w:spacing w:val="-1"/>
        </w:rPr>
        <w:t> </w:t>
      </w:r>
      <w:r>
        <w:rPr/>
        <w:t>gap beyond the prior day’s range and value, which occurred after two days of sideways movement. When I noticed that the gap also occurred beyond a DPZ, I allowed the first fifteen-minute bar of the day to play out to see if a</w:t>
      </w:r>
      <w:r>
        <w:rPr>
          <w:spacing w:val="40"/>
        </w:rPr>
        <w:t> </w:t>
      </w:r>
      <w:r>
        <w:rPr/>
        <w:t>successful test would occur. Typically, I like to see price test the hot zone</w:t>
      </w:r>
      <w:r>
        <w:rPr>
          <w:spacing w:val="40"/>
        </w:rPr>
        <w:t> </w:t>
      </w:r>
      <w:r>
        <w:rPr/>
        <w:t>and</w:t>
      </w:r>
      <w:r>
        <w:rPr>
          <w:spacing w:val="-2"/>
        </w:rPr>
        <w:t> </w:t>
      </w:r>
      <w:r>
        <w:rPr/>
        <w:t>then</w:t>
      </w:r>
      <w:r>
        <w:rPr>
          <w:spacing w:val="-2"/>
        </w:rPr>
        <w:t> </w:t>
      </w:r>
      <w:r>
        <w:rPr/>
        <w:t>reverse</w:t>
      </w:r>
      <w:r>
        <w:rPr>
          <w:spacing w:val="-2"/>
        </w:rPr>
        <w:t> </w:t>
      </w:r>
      <w:r>
        <w:rPr/>
        <w:t>to</w:t>
      </w:r>
      <w:r>
        <w:rPr>
          <w:spacing w:val="-2"/>
        </w:rPr>
        <w:t> </w:t>
      </w:r>
      <w:r>
        <w:rPr/>
        <w:t>close</w:t>
      </w:r>
      <w:r>
        <w:rPr>
          <w:spacing w:val="-2"/>
        </w:rPr>
        <w:t> </w:t>
      </w:r>
      <w:r>
        <w:rPr/>
        <w:t>back</w:t>
      </w:r>
      <w:r>
        <w:rPr>
          <w:spacing w:val="-2"/>
        </w:rPr>
        <w:t> </w:t>
      </w:r>
      <w:r>
        <w:rPr/>
        <w:t>near</w:t>
      </w:r>
      <w:r>
        <w:rPr>
          <w:spacing w:val="-2"/>
        </w:rPr>
        <w:t> </w:t>
      </w:r>
      <w:r>
        <w:rPr/>
        <w:t>high</w:t>
      </w:r>
      <w:r>
        <w:rPr>
          <w:spacing w:val="-3"/>
        </w:rPr>
        <w:t> </w:t>
      </w:r>
      <w:r>
        <w:rPr/>
        <w:t>of</w:t>
      </w:r>
      <w:r>
        <w:rPr>
          <w:spacing w:val="-2"/>
        </w:rPr>
        <w:t> </w:t>
      </w:r>
      <w:r>
        <w:rPr/>
        <w:t>the</w:t>
      </w:r>
      <w:r>
        <w:rPr>
          <w:spacing w:val="-3"/>
        </w:rPr>
        <w:t> </w:t>
      </w:r>
      <w:r>
        <w:rPr/>
        <w:t>bar,</w:t>
      </w:r>
      <w:r>
        <w:rPr>
          <w:spacing w:val="-2"/>
        </w:rPr>
        <w:t> </w:t>
      </w:r>
      <w:r>
        <w:rPr/>
        <w:t>which</w:t>
      </w:r>
      <w:r>
        <w:rPr>
          <w:spacing w:val="-2"/>
        </w:rPr>
        <w:t> </w:t>
      </w:r>
      <w:r>
        <w:rPr/>
        <w:t>was</w:t>
      </w:r>
      <w:r>
        <w:rPr>
          <w:spacing w:val="-2"/>
        </w:rPr>
        <w:t> </w:t>
      </w:r>
      <w:r>
        <w:rPr/>
        <w:t>the</w:t>
      </w:r>
      <w:r>
        <w:rPr>
          <w:spacing w:val="-2"/>
        </w:rPr>
        <w:t> </w:t>
      </w:r>
      <w:r>
        <w:rPr/>
        <w:t>case</w:t>
      </w:r>
      <w:r>
        <w:rPr>
          <w:spacing w:val="-2"/>
        </w:rPr>
        <w:t> </w:t>
      </w:r>
      <w:r>
        <w:rPr/>
        <w:t>in</w:t>
      </w:r>
      <w:r>
        <w:rPr>
          <w:spacing w:val="-2"/>
        </w:rPr>
        <w:t> </w:t>
      </w:r>
      <w:r>
        <w:rPr/>
        <w:t>this instance. A bullish wick reversal signal fired after the test at the hot zone, which was the confirmation that I needed to trigger my long entry at 762.80.</w:t>
      </w:r>
      <w:r>
        <w:rPr>
          <w:spacing w:val="40"/>
        </w:rPr>
        <w:t> </w:t>
      </w:r>
      <w:r>
        <w:rPr/>
        <w:t>I set my fixed loss stop below the day’s low and set up a basic 1.5 ATR cushion on my trailing profit stop, which kept me in the trade throughout the session. My trade was automatically liquidated fifteen minutes before the close of the market at 769.60, which gave me a gain of 6.8 points, or $680</w:t>
      </w:r>
      <w:r>
        <w:rPr>
          <w:spacing w:val="40"/>
        </w:rPr>
        <w:t> </w:t>
      </w:r>
      <w:r>
        <w:rPr/>
        <w:t>per contract traded.</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161" cy="3077527"/>
            <wp:effectExtent l="0" t="0" r="0" b="0"/>
            <wp:docPr id="309" name="image161.png"/>
            <wp:cNvGraphicFramePr>
              <a:graphicFrameLocks noChangeAspect="1"/>
            </wp:cNvGraphicFramePr>
            <a:graphic>
              <a:graphicData uri="http://schemas.openxmlformats.org/drawingml/2006/picture">
                <pic:pic>
                  <pic:nvPicPr>
                    <pic:cNvPr id="310" name="image161.png"/>
                    <pic:cNvPicPr/>
                  </pic:nvPicPr>
                  <pic:blipFill>
                    <a:blip r:embed="rId320" cstate="print"/>
                    <a:stretch>
                      <a:fillRect/>
                    </a:stretch>
                  </pic:blipFill>
                  <pic:spPr>
                    <a:xfrm>
                      <a:off x="0" y="0"/>
                      <a:ext cx="4304161" cy="3077527"/>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1"/>
          <w:sz w:val="16"/>
        </w:rPr>
        <w:t> </w:t>
      </w:r>
      <w:r>
        <w:rPr>
          <w:sz w:val="16"/>
        </w:rPr>
        <w:t>10.4:</w:t>
      </w:r>
      <w:r>
        <w:rPr>
          <w:spacing w:val="2"/>
          <w:sz w:val="16"/>
        </w:rPr>
        <w:t> </w:t>
      </w:r>
      <w:r>
        <w:rPr>
          <w:sz w:val="16"/>
        </w:rPr>
        <w:t>A</w:t>
      </w:r>
      <w:r>
        <w:rPr>
          <w:spacing w:val="4"/>
          <w:sz w:val="16"/>
        </w:rPr>
        <w:t> </w:t>
      </w:r>
      <w:r>
        <w:rPr>
          <w:sz w:val="16"/>
        </w:rPr>
        <w:t>breakout</w:t>
      </w:r>
      <w:r>
        <w:rPr>
          <w:spacing w:val="2"/>
          <w:sz w:val="16"/>
        </w:rPr>
        <w:t> </w:t>
      </w:r>
      <w:r>
        <w:rPr>
          <w:sz w:val="16"/>
        </w:rPr>
        <w:t>beyond</w:t>
      </w:r>
      <w:r>
        <w:rPr>
          <w:spacing w:val="2"/>
          <w:sz w:val="16"/>
        </w:rPr>
        <w:t> </w:t>
      </w:r>
      <w:r>
        <w:rPr>
          <w:sz w:val="16"/>
        </w:rPr>
        <w:t>range</w:t>
      </w:r>
      <w:r>
        <w:rPr>
          <w:spacing w:val="1"/>
          <w:sz w:val="16"/>
        </w:rPr>
        <w:t> </w:t>
      </w:r>
      <w:r>
        <w:rPr>
          <w:sz w:val="16"/>
        </w:rPr>
        <w:t>and</w:t>
      </w:r>
      <w:r>
        <w:rPr>
          <w:spacing w:val="2"/>
          <w:sz w:val="16"/>
        </w:rPr>
        <w:t> </w:t>
      </w:r>
      <w:r>
        <w:rPr>
          <w:sz w:val="16"/>
        </w:rPr>
        <w:t>value</w:t>
      </w:r>
      <w:r>
        <w:rPr>
          <w:spacing w:val="1"/>
          <w:sz w:val="16"/>
        </w:rPr>
        <w:t> </w:t>
      </w:r>
      <w:r>
        <w:rPr>
          <w:sz w:val="16"/>
        </w:rPr>
        <w:t>is</w:t>
      </w:r>
      <w:r>
        <w:rPr>
          <w:spacing w:val="2"/>
          <w:sz w:val="16"/>
        </w:rPr>
        <w:t> </w:t>
      </w:r>
      <w:r>
        <w:rPr>
          <w:sz w:val="16"/>
        </w:rPr>
        <w:t>confirmed</w:t>
      </w:r>
      <w:r>
        <w:rPr>
          <w:spacing w:val="1"/>
          <w:sz w:val="16"/>
        </w:rPr>
        <w:t> </w:t>
      </w:r>
      <w:r>
        <w:rPr>
          <w:sz w:val="16"/>
        </w:rPr>
        <w:t>by</w:t>
      </w:r>
      <w:r>
        <w:rPr>
          <w:spacing w:val="3"/>
          <w:sz w:val="16"/>
        </w:rPr>
        <w:t> </w:t>
      </w:r>
      <w:r>
        <w:rPr>
          <w:sz w:val="16"/>
        </w:rPr>
        <w:t>a</w:t>
      </w:r>
      <w:r>
        <w:rPr>
          <w:spacing w:val="3"/>
          <w:sz w:val="16"/>
        </w:rPr>
        <w:t> </w:t>
      </w:r>
      <w:r>
        <w:rPr>
          <w:spacing w:val="-5"/>
          <w:sz w:val="16"/>
        </w:rPr>
        <w:t>DPZ</w:t>
      </w:r>
    </w:p>
    <w:p>
      <w:pPr>
        <w:pStyle w:val="BodyText"/>
        <w:spacing w:before="1"/>
      </w:pPr>
    </w:p>
    <w:p>
      <w:pPr>
        <w:pStyle w:val="Heading3"/>
      </w:pPr>
      <w:r>
        <w:rPr/>
        <w:pict>
          <v:shape style="position:absolute;margin-left:36.779999pt;margin-top:18.290300pt;width:341pt;height:.1pt;mso-position-horizontal-relative:page;mso-position-vertical-relative:paragraph;z-index:-15568384;mso-wrap-distance-left:0;mso-wrap-distance-right:0" id="docshape882" coordorigin="736,366" coordsize="6820,0" path="m736,366l7555,366e" filled="false" stroked="true" strokeweight=".75pt" strokecolor="#000000">
            <v:path arrowok="t"/>
            <v:stroke dashstyle="solid"/>
            <w10:wrap type="topAndBottom"/>
          </v:shape>
        </w:pict>
      </w:r>
      <w:bookmarkStart w:name="_TOC_250010" w:id="81"/>
      <w:r>
        <w:rPr>
          <w:smallCaps/>
        </w:rPr>
        <w:t>The</w:t>
      </w:r>
      <w:r>
        <w:rPr>
          <w:smallCaps/>
          <w:spacing w:val="-9"/>
        </w:rPr>
        <w:t> </w:t>
      </w:r>
      <w:r>
        <w:rPr>
          <w:smallCaps/>
        </w:rPr>
        <w:t>Golden</w:t>
      </w:r>
      <w:r>
        <w:rPr>
          <w:smallCaps/>
          <w:spacing w:val="-8"/>
        </w:rPr>
        <w:t> </w:t>
      </w:r>
      <w:r>
        <w:rPr>
          <w:smallCaps/>
        </w:rPr>
        <w:t>Pivot</w:t>
      </w:r>
      <w:r>
        <w:rPr>
          <w:smallCaps/>
          <w:spacing w:val="-12"/>
        </w:rPr>
        <w:t> </w:t>
      </w:r>
      <w:bookmarkEnd w:id="81"/>
      <w:r>
        <w:rPr>
          <w:smallCaps/>
          <w:spacing w:val="-4"/>
        </w:rPr>
        <w:t>Zone</w:t>
      </w:r>
    </w:p>
    <w:p>
      <w:pPr>
        <w:pStyle w:val="BodyText"/>
        <w:spacing w:before="202"/>
        <w:ind w:left="139" w:right="493" w:firstLine="432"/>
        <w:jc w:val="both"/>
      </w:pPr>
      <w:r>
        <w:rPr/>
        <w:t>In Chapter 6, I wrote about the power and versatility of the central pivot range. This range has a significant influence that both attracts and rejects price in a manner than no</w:t>
      </w:r>
      <w:r>
        <w:rPr>
          <w:spacing w:val="-1"/>
        </w:rPr>
        <w:t> </w:t>
      </w:r>
      <w:r>
        <w:rPr/>
        <w:t>other technical tool offers. However, by combining the central pivot range with a pivot level from either the Camarilla Equation or the Money Zone, you can actually amplify its effectiveness in the market. This pivot combination,</w:t>
      </w:r>
      <w:r>
        <w:rPr/>
        <w:t> which I call the </w:t>
      </w:r>
      <w:r>
        <w:rPr>
          <w:i/>
        </w:rPr>
        <w:t>Golden Pivot Zone (GPZ)</w:t>
      </w:r>
      <w:r>
        <w:rPr/>
        <w:t>, is the most fascinating and powerful pivot combination in trading. It combines the versatility and strength of the centrals, with the precision of the Camarilla Equation and the Money Zone. Basically, the Golden Pivot Zone occurs</w:t>
      </w:r>
      <w:r>
        <w:rPr>
          <w:spacing w:val="40"/>
        </w:rPr>
        <w:t> </w:t>
      </w:r>
      <w:r>
        <w:rPr/>
        <w:t>when</w:t>
      </w:r>
      <w:r>
        <w:rPr/>
        <w:t> </w:t>
      </w:r>
      <w:r>
        <w:rPr>
          <w:i/>
        </w:rPr>
        <w:t>one </w:t>
      </w:r>
      <w:r>
        <w:rPr/>
        <w:t>of the pivot levels from either the Camarilla Equation or the</w:t>
      </w:r>
      <w:r>
        <w:rPr>
          <w:spacing w:val="40"/>
        </w:rPr>
        <w:t> </w:t>
      </w:r>
      <w:r>
        <w:rPr/>
        <w:t>Money Zone lies within the central pivot range (TC &gt;= MZ/CE &lt;= BC). Therefore, the Camarilla or Money Zone level is either equal to or below the top central pivot (TC) </w:t>
      </w:r>
      <w:r>
        <w:rPr>
          <w:i/>
        </w:rPr>
        <w:t>and </w:t>
      </w:r>
      <w:r>
        <w:rPr/>
        <w:t>equal to or above the bottom central pivot (BC). When this pattern occurs, oceans are parted and angels sing as you trade.</w:t>
      </w:r>
      <w:r>
        <w:rPr>
          <w:spacing w:val="40"/>
        </w:rPr>
        <w:t> </w:t>
      </w:r>
      <w:r>
        <w:rPr/>
        <w:t>This combination can be simply phenomenal.</w:t>
      </w:r>
    </w:p>
    <w:p>
      <w:pPr>
        <w:pStyle w:val="BodyText"/>
        <w:ind w:left="139" w:right="497" w:firstLine="432"/>
        <w:jc w:val="both"/>
      </w:pPr>
      <w:r>
        <w:rPr/>
        <w:t>What makes this pattern so powerful is the fact that the central pivot range, which in itself is a fantastic tool, is paired with key support or resistance</w:t>
      </w:r>
      <w:r>
        <w:rPr>
          <w:spacing w:val="-3"/>
        </w:rPr>
        <w:t> </w:t>
      </w:r>
      <w:r>
        <w:rPr/>
        <w:t>from other</w:t>
      </w:r>
      <w:r>
        <w:rPr>
          <w:spacing w:val="-2"/>
        </w:rPr>
        <w:t> </w:t>
      </w:r>
      <w:r>
        <w:rPr/>
        <w:t>price-based</w:t>
      </w:r>
      <w:r>
        <w:rPr>
          <w:spacing w:val="-2"/>
        </w:rPr>
        <w:t> </w:t>
      </w:r>
      <w:r>
        <w:rPr/>
        <w:t>indicators</w:t>
      </w:r>
      <w:r>
        <w:rPr>
          <w:spacing w:val="-2"/>
        </w:rPr>
        <w:t> </w:t>
      </w:r>
      <w:r>
        <w:rPr/>
        <w:t>that</w:t>
      </w:r>
      <w:r>
        <w:rPr>
          <w:spacing w:val="-2"/>
        </w:rPr>
        <w:t> </w:t>
      </w:r>
      <w:r>
        <w:rPr/>
        <w:t>are</w:t>
      </w:r>
      <w:r>
        <w:rPr>
          <w:spacing w:val="-3"/>
        </w:rPr>
        <w:t> </w:t>
      </w:r>
      <w:r>
        <w:rPr/>
        <w:t>completely</w:t>
      </w:r>
      <w:r>
        <w:rPr>
          <w:spacing w:val="-2"/>
        </w:rPr>
        <w:t> uncorrelated.</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8"/>
        <w:jc w:val="both"/>
      </w:pPr>
      <w:r>
        <w:rPr/>
        <w:t>Again, two completely different formulas are identifying this zone as a significant area of support or resistance. Instead of just one pivot level identifying support or resistance, you are basically getting a confluence of four lines that identify an entire zone as a key area of significance. When used</w:t>
      </w:r>
      <w:r>
        <w:rPr>
          <w:spacing w:val="-1"/>
        </w:rPr>
        <w:t> </w:t>
      </w:r>
      <w:r>
        <w:rPr/>
        <w:t>within</w:t>
      </w:r>
      <w:r>
        <w:rPr>
          <w:spacing w:val="-1"/>
        </w:rPr>
        <w:t> </w:t>
      </w:r>
      <w:r>
        <w:rPr/>
        <w:t>the</w:t>
      </w:r>
      <w:r>
        <w:rPr>
          <w:spacing w:val="-1"/>
        </w:rPr>
        <w:t> </w:t>
      </w:r>
      <w:r>
        <w:rPr/>
        <w:t>proper</w:t>
      </w:r>
      <w:r>
        <w:rPr>
          <w:spacing w:val="-1"/>
        </w:rPr>
        <w:t> </w:t>
      </w:r>
      <w:r>
        <w:rPr/>
        <w:t>context</w:t>
      </w:r>
      <w:r>
        <w:rPr>
          <w:spacing w:val="-1"/>
        </w:rPr>
        <w:t> </w:t>
      </w:r>
      <w:r>
        <w:rPr/>
        <w:t>the</w:t>
      </w:r>
      <w:r>
        <w:rPr>
          <w:spacing w:val="-1"/>
        </w:rPr>
        <w:t> </w:t>
      </w:r>
      <w:r>
        <w:rPr/>
        <w:t>Golden</w:t>
      </w:r>
      <w:r>
        <w:rPr>
          <w:spacing w:val="-1"/>
        </w:rPr>
        <w:t> </w:t>
      </w:r>
      <w:r>
        <w:rPr/>
        <w:t>Pivot</w:t>
      </w:r>
      <w:r>
        <w:rPr>
          <w:spacing w:val="-1"/>
        </w:rPr>
        <w:t> </w:t>
      </w:r>
      <w:r>
        <w:rPr/>
        <w:t>Zone</w:t>
      </w:r>
      <w:r>
        <w:rPr>
          <w:spacing w:val="-1"/>
        </w:rPr>
        <w:t> </w:t>
      </w:r>
      <w:r>
        <w:rPr/>
        <w:t>can</w:t>
      </w:r>
      <w:r>
        <w:rPr>
          <w:spacing w:val="-1"/>
        </w:rPr>
        <w:t> </w:t>
      </w:r>
      <w:r>
        <w:rPr/>
        <w:t>be a</w:t>
      </w:r>
      <w:r>
        <w:rPr>
          <w:spacing w:val="-1"/>
        </w:rPr>
        <w:t> </w:t>
      </w:r>
      <w:r>
        <w:rPr/>
        <w:t>game-changer in your trading.</w:t>
      </w:r>
    </w:p>
    <w:p>
      <w:pPr>
        <w:pStyle w:val="BodyText"/>
        <w:ind w:left="500" w:right="135" w:firstLine="432"/>
        <w:jc w:val="both"/>
      </w:pPr>
      <w:r>
        <w:rPr/>
        <w:t>Look at it like this. If you had the football in your hands, would it be harder to break through the line of defense of just one tackler, or that of four defenders? One defender would represent one pivot level, while four would represent the entire Golden Pivot Zone. Trust me, unless you are Earl Campbell, you will be quickly smacked down by four defenders, which is why the GPZ easily rejects moves into the zone and creates great reversal opportunities time and again.</w:t>
      </w:r>
    </w:p>
    <w:p>
      <w:pPr>
        <w:pStyle w:val="BodyText"/>
        <w:ind w:left="500" w:right="135" w:firstLine="432"/>
        <w:jc w:val="both"/>
      </w:pPr>
      <w:r>
        <w:rPr/>
        <w:t>Figure 10.5 illustrates a bearish Golden Pivot Zone. A bearish GPZ occurs when H3 of the Camarilla Equation, or any of</w:t>
      </w:r>
      <w:r>
        <w:rPr>
          <w:spacing w:val="-1"/>
        </w:rPr>
        <w:t> </w:t>
      </w:r>
      <w:r>
        <w:rPr/>
        <w:t>the Money Zone levels, is mixed within the central pivot range. Therefore, a GPZ is present if any of the following pivots falls within the boundaries of the central pivot range:</w:t>
      </w:r>
      <w:r>
        <w:rPr>
          <w:spacing w:val="40"/>
        </w:rPr>
        <w:t> </w:t>
      </w:r>
      <w:r>
        <w:rPr/>
        <w:t>H3, VAL, VAH, POC, or VPOC. Any bullish advance that fails at the GPZ typically leads to a drop back toward the next area of pivot support, which is generally S1 or L3.</w:t>
      </w:r>
    </w:p>
    <w:p>
      <w:pPr>
        <w:pStyle w:val="BodyText"/>
        <w:spacing w:before="2"/>
        <w:rPr>
          <w:sz w:val="20"/>
        </w:rPr>
      </w:pPr>
      <w:r>
        <w:rPr/>
        <w:pict>
          <v:group style="position:absolute;margin-left:80.625pt;margin-top:12.831882pt;width:288.75pt;height:187.8pt;mso-position-horizontal-relative:page;mso-position-vertical-relative:paragraph;z-index:-15567872;mso-wrap-distance-left:0;mso-wrap-distance-right:0" id="docshapegroup883" coordorigin="1613,257" coordsize="5775,3756">
            <v:shape style="position:absolute;left:1620;top:264;width:5760;height:3741" id="docshape884" coordorigin="1620,264" coordsize="5760,3741" path="m7380,264l1621,264,1621,4005,7380,4005,7380,264xm7379,271l1620,271,1620,763,7379,763,7379,271xe" filled="false" stroked="true" strokeweight=".75pt" strokecolor="#000000">
              <v:path arrowok="t"/>
              <v:stroke dashstyle="solid"/>
            </v:shape>
            <v:line style="position:absolute" from="3962,1089" to="6462,1090" stroked="true" strokeweight=".75pt" strokecolor="#000000">
              <v:stroke dashstyle="solid"/>
            </v:line>
            <v:line style="position:absolute" from="3962,3699" to="6462,3700" stroked="true" strokeweight=".75pt" strokecolor="#000000">
              <v:stroke dashstyle="solid"/>
            </v:line>
            <v:shape style="position:absolute;left:3962;top:1489;width:2500;height:348" id="docshape885" coordorigin="3962,1489" coordsize="2500,348" path="m3962,1837l4110,1837m4336,1837l6462,1837m3962,1489l4110,1489m4336,1489l6462,1489e" filled="false" stroked="true" strokeweight=".75pt" strokecolor="#000000">
              <v:path arrowok="t"/>
              <v:stroke dashstyle="solid"/>
            </v:shape>
            <v:shape style="position:absolute;left:3962;top:1274;width:2500;height:2" id="docshape886" coordorigin="3962,1275" coordsize="2500,0" path="m3962,1275l4110,1275m4336,1275l6462,1275e" filled="false" stroked="true" strokeweight="1.5pt" strokecolor="#000000">
              <v:path arrowok="t"/>
              <v:stroke dashstyle="solid"/>
            </v:shape>
            <v:shape style="position:absolute;left:4435;top:914;width:143;height:143" id="docshape887" coordorigin="4435,915" coordsize="143,143" path="m4435,915l4578,915,4506,1057,4435,915xe" filled="false" stroked="true" strokeweight=".75pt" strokecolor="#000000">
              <v:path arrowok="t"/>
              <v:stroke dashstyle="solid"/>
            </v:shape>
            <v:line style="position:absolute" from="5357,3417" to="5358,2719" stroked="true" strokeweight=".75pt" strokecolor="#000000">
              <v:stroke dashstyle="solid"/>
            </v:line>
            <v:rect style="position:absolute;left:5241;top:2786;width:227;height:696" id="docshape888" filled="true" fillcolor="#000000" stroked="false">
              <v:fill type="solid"/>
            </v:rect>
            <v:rect style="position:absolute;left:5241;top:2785;width:227;height:696" id="docshape889" filled="false" stroked="true" strokeweight=".75pt" strokecolor="#000000">
              <v:stroke dashstyle="solid"/>
            </v:rect>
            <v:line style="position:absolute" from="4796,2118" to="4796,1547" stroked="true" strokeweight=".75pt" strokecolor="#000000">
              <v:stroke dashstyle="solid"/>
            </v:line>
            <v:rect style="position:absolute;left:4681;top:1602;width:226;height:569" id="docshape890" filled="true" fillcolor="#000000" stroked="false">
              <v:fill type="solid"/>
            </v:rect>
            <v:rect style="position:absolute;left:4681;top:1602;width:226;height:569" id="docshape891" filled="false" stroked="true" strokeweight=".75pt" strokecolor="#000000">
              <v:stroke dashstyle="solid"/>
            </v:rect>
            <v:line style="position:absolute" from="5075,2733" to="5076,2119" stroked="true" strokeweight=".75pt" strokecolor="#000000">
              <v:stroke dashstyle="solid"/>
            </v:line>
            <v:rect style="position:absolute;left:4959;top:2179;width:227;height:611" id="docshape892" filled="true" fillcolor="#000000" stroked="false">
              <v:fill type="solid"/>
            </v:rect>
            <v:rect style="position:absolute;left:4959;top:2179;width:227;height:611" id="docshape893" filled="false" stroked="true" strokeweight=".75pt" strokecolor="#000000">
              <v:stroke dashstyle="solid"/>
            </v:rect>
            <v:line style="position:absolute" from="6203,3205" to="6203,3284" stroked="true" strokeweight=".81pt" strokecolor="#000000">
              <v:stroke dashstyle="solid"/>
            </v:line>
            <v:rect style="position:absolute;left:6087;top:2586;width:227;height:620" id="docshape894" filled="false" stroked="true" strokeweight=".75pt" strokecolor="#000000">
              <v:stroke dashstyle="solid"/>
            </v:rect>
            <v:line style="position:absolute" from="5921,3533" to="5921,3716" stroked="true" strokeweight=".81pt" strokecolor="#000000">
              <v:stroke dashstyle="solid"/>
            </v:line>
            <v:rect style="position:absolute;left:5805;top:3193;width:227;height:340" id="docshape895" filled="false" stroked="true" strokeweight=".75pt" strokecolor="#000000">
              <v:stroke dashstyle="solid"/>
            </v:rect>
            <v:line style="position:absolute" from="4507,1283" to="4508,1138" stroked="true" strokeweight=".75pt" strokecolor="#000000">
              <v:stroke dashstyle="solid"/>
            </v:line>
            <v:rect style="position:absolute;left:4392;top:1269;width:226;height:333" id="docshape896" filled="true" fillcolor="#000000" stroked="false">
              <v:fill type="solid"/>
            </v:rect>
            <v:rect style="position:absolute;left:4392;top:1269;width:226;height:333" id="docshape897" filled="false" stroked="true" strokeweight=".75pt" strokecolor="#000000">
              <v:stroke dashstyle="solid"/>
            </v:rect>
            <v:line style="position:absolute" from="4225,1151" to="4225,1257" stroked="true" strokeweight=".75pt" strokecolor="#000000">
              <v:stroke dashstyle="solid"/>
            </v:line>
            <v:rect style="position:absolute;left:4110;top:1255;width:226;height:1138" id="docshape898" filled="false" stroked="true" strokeweight=".75pt" strokecolor="#000000">
              <v:stroke dashstyle="solid"/>
            </v:rect>
            <v:line style="position:absolute" from="5639,3786" to="5639,3244" stroked="true" strokeweight=".75pt" strokecolor="#000000">
              <v:stroke dashstyle="solid"/>
            </v:line>
            <v:rect style="position:absolute;left:5523;top:3490;width:227;height:71" id="docshape899" filled="true" fillcolor="#000000" stroked="false">
              <v:fill type="solid"/>
            </v:rect>
            <v:rect style="position:absolute;left:5523;top:3490;width:227;height:71" id="docshape900" filled="false" stroked="true" strokeweight=".75pt" strokecolor="#000000">
              <v:stroke dashstyle="solid"/>
            </v:rect>
            <v:shape style="position:absolute;left:2460;top:998;width:1355;height:956" type="#_x0000_t202" id="docshape901" filled="false" stroked="false">
              <v:textbox inset="0,0,0,0">
                <w:txbxContent>
                  <w:p>
                    <w:pPr>
                      <w:spacing w:line="178" w:lineRule="exact" w:before="0"/>
                      <w:ind w:left="0" w:right="44" w:firstLine="0"/>
                      <w:jc w:val="right"/>
                      <w:rPr>
                        <w:rFonts w:ascii="Tahoma"/>
                        <w:sz w:val="20"/>
                      </w:rPr>
                    </w:pPr>
                    <w:r>
                      <w:rPr>
                        <w:rFonts w:ascii="Tahoma"/>
                        <w:spacing w:val="-5"/>
                        <w:sz w:val="20"/>
                      </w:rPr>
                      <w:t>TC</w:t>
                    </w:r>
                  </w:p>
                  <w:p>
                    <w:pPr>
                      <w:spacing w:line="202" w:lineRule="exact" w:before="0"/>
                      <w:ind w:left="0" w:right="18" w:firstLine="0"/>
                      <w:jc w:val="right"/>
                      <w:rPr>
                        <w:rFonts w:ascii="Tahoma"/>
                        <w:sz w:val="20"/>
                      </w:rPr>
                    </w:pPr>
                    <w:r>
                      <w:rPr>
                        <w:rFonts w:ascii="Tahoma"/>
                        <w:sz w:val="20"/>
                      </w:rPr>
                      <w:t>H3</w:t>
                    </w:r>
                    <w:r>
                      <w:rPr>
                        <w:rFonts w:ascii="Tahoma"/>
                        <w:spacing w:val="-1"/>
                        <w:sz w:val="20"/>
                      </w:rPr>
                      <w:t> </w:t>
                    </w:r>
                    <w:r>
                      <w:rPr>
                        <w:rFonts w:ascii="Tahoma"/>
                        <w:sz w:val="20"/>
                      </w:rPr>
                      <w:t>or MZ</w:t>
                    </w:r>
                    <w:r>
                      <w:rPr>
                        <w:rFonts w:ascii="Tahoma"/>
                        <w:spacing w:val="-1"/>
                        <w:sz w:val="20"/>
                      </w:rPr>
                      <w:t> </w:t>
                    </w:r>
                    <w:r>
                      <w:rPr>
                        <w:rFonts w:ascii="Tahoma"/>
                        <w:spacing w:val="-2"/>
                        <w:sz w:val="20"/>
                      </w:rPr>
                      <w:t>Level</w:t>
                    </w:r>
                  </w:p>
                  <w:p>
                    <w:pPr>
                      <w:spacing w:line="223" w:lineRule="exact" w:before="0"/>
                      <w:ind w:left="0" w:right="48" w:firstLine="0"/>
                      <w:jc w:val="right"/>
                      <w:rPr>
                        <w:rFonts w:ascii="Tahoma"/>
                        <w:sz w:val="20"/>
                      </w:rPr>
                    </w:pPr>
                    <w:r>
                      <w:rPr>
                        <w:rFonts w:ascii="Tahoma"/>
                        <w:spacing w:val="-2"/>
                        <w:sz w:val="20"/>
                      </w:rPr>
                      <w:t>PIVOT</w:t>
                    </w:r>
                  </w:p>
                  <w:p>
                    <w:pPr>
                      <w:spacing w:before="109"/>
                      <w:ind w:left="0" w:right="45" w:firstLine="0"/>
                      <w:jc w:val="right"/>
                      <w:rPr>
                        <w:rFonts w:ascii="Tahoma"/>
                        <w:sz w:val="20"/>
                      </w:rPr>
                    </w:pPr>
                    <w:r>
                      <w:rPr>
                        <w:rFonts w:ascii="Tahoma"/>
                        <w:spacing w:val="-5"/>
                        <w:sz w:val="20"/>
                      </w:rPr>
                      <w:t>BC</w:t>
                    </w:r>
                  </w:p>
                </w:txbxContent>
              </v:textbox>
              <w10:wrap type="none"/>
            </v:shape>
            <v:shape style="position:absolute;left:1999;top:3609;width:1794;height:201" type="#_x0000_t202" id="docshape902" filled="false" stroked="false">
              <v:textbox inset="0,0,0,0">
                <w:txbxContent>
                  <w:p>
                    <w:pPr>
                      <w:spacing w:line="199" w:lineRule="exact" w:before="0"/>
                      <w:ind w:left="0" w:right="0" w:firstLine="0"/>
                      <w:jc w:val="left"/>
                      <w:rPr>
                        <w:rFonts w:ascii="Tahoma"/>
                        <w:sz w:val="20"/>
                      </w:rPr>
                    </w:pPr>
                    <w:r>
                      <w:rPr>
                        <w:rFonts w:ascii="Tahoma"/>
                        <w:sz w:val="20"/>
                      </w:rPr>
                      <w:t>Target</w:t>
                    </w:r>
                    <w:r>
                      <w:rPr>
                        <w:rFonts w:ascii="Tahoma"/>
                        <w:spacing w:val="-5"/>
                        <w:sz w:val="20"/>
                      </w:rPr>
                      <w:t> </w:t>
                    </w:r>
                    <w:r>
                      <w:rPr>
                        <w:rFonts w:ascii="Tahoma"/>
                        <w:sz w:val="20"/>
                      </w:rPr>
                      <w:t>at</w:t>
                    </w:r>
                    <w:r>
                      <w:rPr>
                        <w:rFonts w:ascii="Tahoma"/>
                        <w:spacing w:val="-3"/>
                        <w:sz w:val="20"/>
                      </w:rPr>
                      <w:t> </w:t>
                    </w:r>
                    <w:r>
                      <w:rPr>
                        <w:rFonts w:ascii="Tahoma"/>
                        <w:sz w:val="20"/>
                      </w:rPr>
                      <w:t>Next</w:t>
                    </w:r>
                    <w:r>
                      <w:rPr>
                        <w:rFonts w:ascii="Tahoma"/>
                        <w:spacing w:val="-2"/>
                        <w:sz w:val="20"/>
                      </w:rPr>
                      <w:t> Pivot</w:t>
                    </w:r>
                  </w:p>
                </w:txbxContent>
              </v:textbox>
              <w10:wrap type="none"/>
            </v:shape>
            <v:shape style="position:absolute;left:1612;top:256;width:5774;height:515" type="#_x0000_t202" id="docshape903" filled="true" fillcolor="#000000" stroked="false">
              <v:textbox inset="0,0,0,0">
                <w:txbxContent>
                  <w:p>
                    <w:pPr>
                      <w:spacing w:before="92"/>
                      <w:ind w:left="1037" w:right="0" w:firstLine="0"/>
                      <w:jc w:val="left"/>
                      <w:rPr>
                        <w:rFonts w:ascii="Verdana"/>
                        <w:color w:val="000000"/>
                        <w:sz w:val="28"/>
                      </w:rPr>
                    </w:pPr>
                    <w:r>
                      <w:rPr>
                        <w:rFonts w:ascii="Verdana"/>
                        <w:color w:val="FFFFFF"/>
                        <w:sz w:val="28"/>
                      </w:rPr>
                      <w:t>Bearish</w:t>
                    </w:r>
                    <w:r>
                      <w:rPr>
                        <w:rFonts w:ascii="Verdana"/>
                        <w:color w:val="FFFFFF"/>
                        <w:spacing w:val="-10"/>
                        <w:sz w:val="28"/>
                      </w:rPr>
                      <w:t> </w:t>
                    </w:r>
                    <w:r>
                      <w:rPr>
                        <w:rFonts w:ascii="Verdana"/>
                        <w:color w:val="FFFFFF"/>
                        <w:sz w:val="28"/>
                      </w:rPr>
                      <w:t>Golden</w:t>
                    </w:r>
                    <w:r>
                      <w:rPr>
                        <w:rFonts w:ascii="Verdana"/>
                        <w:color w:val="FFFFFF"/>
                        <w:spacing w:val="-9"/>
                        <w:sz w:val="28"/>
                      </w:rPr>
                      <w:t> </w:t>
                    </w:r>
                    <w:r>
                      <w:rPr>
                        <w:rFonts w:ascii="Verdana"/>
                        <w:color w:val="FFFFFF"/>
                        <w:sz w:val="28"/>
                      </w:rPr>
                      <w:t>Pivot</w:t>
                    </w:r>
                    <w:r>
                      <w:rPr>
                        <w:rFonts w:ascii="Verdana"/>
                        <w:color w:val="FFFFFF"/>
                        <w:spacing w:val="-9"/>
                        <w:sz w:val="28"/>
                      </w:rPr>
                      <w:t> </w:t>
                    </w:r>
                    <w:r>
                      <w:rPr>
                        <w:rFonts w:ascii="Verdana"/>
                        <w:color w:val="FFFFFF"/>
                        <w:spacing w:val="-4"/>
                        <w:sz w:val="28"/>
                      </w:rPr>
                      <w:t>Zone</w:t>
                    </w:r>
                  </w:p>
                </w:txbxContent>
              </v:textbox>
              <v:fill type="solid"/>
              <w10:wrap type="none"/>
            </v:shape>
            <w10:wrap type="topAndBottom"/>
          </v:group>
        </w:pict>
      </w:r>
    </w:p>
    <w:p>
      <w:pPr>
        <w:spacing w:before="0"/>
        <w:ind w:left="989" w:right="0" w:firstLine="0"/>
        <w:jc w:val="left"/>
        <w:rPr>
          <w:sz w:val="16"/>
        </w:rPr>
      </w:pPr>
      <w:r>
        <w:rPr>
          <w:sz w:val="16"/>
        </w:rPr>
        <w:t>FIGURE</w:t>
      </w:r>
      <w:r>
        <w:rPr>
          <w:spacing w:val="7"/>
          <w:sz w:val="16"/>
        </w:rPr>
        <w:t> </w:t>
      </w:r>
      <w:r>
        <w:rPr>
          <w:sz w:val="16"/>
        </w:rPr>
        <w:t>10.5:</w:t>
      </w:r>
      <w:r>
        <w:rPr>
          <w:spacing w:val="7"/>
          <w:sz w:val="16"/>
        </w:rPr>
        <w:t> </w:t>
      </w:r>
      <w:r>
        <w:rPr>
          <w:sz w:val="16"/>
        </w:rPr>
        <w:t>Bearish</w:t>
      </w:r>
      <w:r>
        <w:rPr>
          <w:spacing w:val="8"/>
          <w:sz w:val="16"/>
        </w:rPr>
        <w:t> </w:t>
      </w:r>
      <w:r>
        <w:rPr>
          <w:sz w:val="16"/>
        </w:rPr>
        <w:t>Golden</w:t>
      </w:r>
      <w:r>
        <w:rPr>
          <w:spacing w:val="7"/>
          <w:sz w:val="16"/>
        </w:rPr>
        <w:t> </w:t>
      </w:r>
      <w:r>
        <w:rPr>
          <w:sz w:val="16"/>
        </w:rPr>
        <w:t>Pivot</w:t>
      </w:r>
      <w:r>
        <w:rPr>
          <w:spacing w:val="8"/>
          <w:sz w:val="16"/>
        </w:rPr>
        <w:t> </w:t>
      </w:r>
      <w:r>
        <w:rPr>
          <w:spacing w:val="-4"/>
          <w:sz w:val="16"/>
        </w:rPr>
        <w:t>Zone</w:t>
      </w:r>
    </w:p>
    <w:p>
      <w:pPr>
        <w:pStyle w:val="BodyText"/>
        <w:spacing w:before="9"/>
        <w:rPr>
          <w:sz w:val="21"/>
        </w:rPr>
      </w:pPr>
    </w:p>
    <w:p>
      <w:pPr>
        <w:pStyle w:val="BodyText"/>
        <w:ind w:left="500" w:right="136" w:firstLine="432"/>
        <w:jc w:val="both"/>
      </w:pPr>
      <w:r>
        <w:rPr/>
        <w:t>Along the same lines, Figure 10.6 illustrates a bullish Golden Pivot Zone. A bullish GPZ occurs when L3 of the Camarilla Equation, or any of</w:t>
      </w:r>
      <w:r>
        <w:rPr>
          <w:spacing w:val="40"/>
        </w:rPr>
        <w:t> </w:t>
      </w:r>
      <w:r>
        <w:rPr/>
        <w:t>the Money Zone levels, is mixed within the central pivot range. Therefore, a GPZ</w:t>
      </w:r>
      <w:r>
        <w:rPr>
          <w:spacing w:val="18"/>
        </w:rPr>
        <w:t> </w:t>
      </w:r>
      <w:r>
        <w:rPr/>
        <w:t>is</w:t>
      </w:r>
      <w:r>
        <w:rPr>
          <w:spacing w:val="18"/>
        </w:rPr>
        <w:t> </w:t>
      </w:r>
      <w:r>
        <w:rPr/>
        <w:t>present</w:t>
      </w:r>
      <w:r>
        <w:rPr>
          <w:spacing w:val="18"/>
        </w:rPr>
        <w:t> </w:t>
      </w:r>
      <w:r>
        <w:rPr/>
        <w:t>if</w:t>
      </w:r>
      <w:r>
        <w:rPr>
          <w:spacing w:val="18"/>
        </w:rPr>
        <w:t> </w:t>
      </w:r>
      <w:r>
        <w:rPr/>
        <w:t>any</w:t>
      </w:r>
      <w:r>
        <w:rPr>
          <w:spacing w:val="18"/>
        </w:rPr>
        <w:t> </w:t>
      </w:r>
      <w:r>
        <w:rPr/>
        <w:t>of</w:t>
      </w:r>
      <w:r>
        <w:rPr>
          <w:spacing w:val="18"/>
        </w:rPr>
        <w:t> </w:t>
      </w:r>
      <w:r>
        <w:rPr/>
        <w:t>the</w:t>
      </w:r>
      <w:r>
        <w:rPr>
          <w:spacing w:val="18"/>
        </w:rPr>
        <w:t> </w:t>
      </w:r>
      <w:r>
        <w:rPr/>
        <w:t>following</w:t>
      </w:r>
      <w:r>
        <w:rPr>
          <w:spacing w:val="17"/>
        </w:rPr>
        <w:t> </w:t>
      </w:r>
      <w:r>
        <w:rPr/>
        <w:t>pivots</w:t>
      </w:r>
      <w:r>
        <w:rPr>
          <w:spacing w:val="18"/>
        </w:rPr>
        <w:t> </w:t>
      </w:r>
      <w:r>
        <w:rPr/>
        <w:t>falls</w:t>
      </w:r>
      <w:r>
        <w:rPr>
          <w:spacing w:val="18"/>
        </w:rPr>
        <w:t> </w:t>
      </w:r>
      <w:r>
        <w:rPr/>
        <w:t>within</w:t>
      </w:r>
      <w:r>
        <w:rPr>
          <w:spacing w:val="18"/>
        </w:rPr>
        <w:t> </w:t>
      </w:r>
      <w:r>
        <w:rPr/>
        <w:t>the</w:t>
      </w:r>
      <w:r>
        <w:rPr>
          <w:spacing w:val="18"/>
        </w:rPr>
        <w:t> </w:t>
      </w:r>
      <w:r>
        <w:rPr/>
        <w:t>boundaries</w:t>
      </w:r>
      <w:r>
        <w:rPr>
          <w:spacing w:val="18"/>
        </w:rPr>
        <w:t> </w:t>
      </w:r>
      <w:r>
        <w:rPr/>
        <w:t>of</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7"/>
        <w:jc w:val="both"/>
      </w:pPr>
      <w:r>
        <w:rPr/>
        <w:t>the central pivot range: L3, VAL, VAH, POC, or VPOC. A sell-off or pull- back to a bullish GPZ generally leads to an advance back toward the next</w:t>
      </w:r>
      <w:r>
        <w:rPr>
          <w:spacing w:val="40"/>
        </w:rPr>
        <w:t> </w:t>
      </w:r>
      <w:r>
        <w:rPr/>
        <w:t>area of pivot resistance, which is usually R1 or H3.</w:t>
      </w:r>
    </w:p>
    <w:p>
      <w:pPr>
        <w:pStyle w:val="BodyText"/>
        <w:spacing w:before="2"/>
        <w:rPr>
          <w:sz w:val="20"/>
        </w:rPr>
      </w:pPr>
      <w:r>
        <w:rPr/>
        <w:pict>
          <v:group style="position:absolute;margin-left:62.384998pt;margin-top:12.82748pt;width:289.350pt;height:193.45pt;mso-position-horizontal-relative:page;mso-position-vertical-relative:paragraph;z-index:-15567360;mso-wrap-distance-left:0;mso-wrap-distance-right:0" id="docshapegroup904" coordorigin="1248,257" coordsize="5787,3869">
            <v:shape style="position:absolute;left:1255;top:264;width:5772;height:3854" id="docshape905" coordorigin="1255,264" coordsize="5772,3854" path="m7025,264l1255,264,1255,4117,7025,4117,7025,264xm7027,270l1268,270,1268,796,7027,796,7027,270xe" filled="false" stroked="true" strokeweight=".75pt" strokecolor="#000000">
              <v:path arrowok="t"/>
              <v:stroke dashstyle="solid"/>
            </v:shape>
            <v:line style="position:absolute" from="3878,3305" to="3878,2606" stroked="true" strokeweight=".75pt" strokecolor="#000000">
              <v:stroke dashstyle="solid"/>
            </v:line>
            <v:rect style="position:absolute;left:3763;top:2673;width:226;height:696" id="docshape906" filled="true" fillcolor="#000000" stroked="false">
              <v:fill type="solid"/>
            </v:rect>
            <v:rect style="position:absolute;left:3763;top:2673;width:226;height:696" id="docshape907" filled="false" stroked="true" strokeweight=".75pt" strokecolor="#000000">
              <v:stroke dashstyle="solid"/>
            </v:rect>
            <v:line style="position:absolute" from="5855,1912" to="5856,1340" stroked="true" strokeweight=".75pt" strokecolor="#000000">
              <v:stroke dashstyle="solid"/>
            </v:line>
            <v:rect style="position:absolute;left:5739;top:1395;width:227;height:569" id="docshape908" filled="true" fillcolor="#000000" stroked="false">
              <v:fill type="solid"/>
            </v:rect>
            <v:rect style="position:absolute;left:5739;top:1395;width:227;height:569" id="docshape909" filled="false" stroked="true" strokeweight=".75pt" strokecolor="#000000">
              <v:stroke dashstyle="solid"/>
            </v:rect>
            <v:line style="position:absolute" from="4724,3092" to="4724,3163" stroked="true" strokeweight=".75pt" strokecolor="#000000">
              <v:stroke dashstyle="solid"/>
            </v:line>
            <v:rect style="position:absolute;left:4609;top:2473;width:226;height:620" id="docshape910" filled="false" stroked="true" strokeweight=".75pt" strokecolor="#000000">
              <v:stroke dashstyle="solid"/>
            </v:rect>
            <v:line style="position:absolute" from="4442,3421" to="4442,3595" stroked="true" strokeweight=".75pt" strokecolor="#000000">
              <v:stroke dashstyle="solid"/>
            </v:line>
            <v:rect style="position:absolute;left:4327;top:3080;width:226;height:340" id="docshape911" filled="false" stroked="true" strokeweight=".75pt" strokecolor="#000000">
              <v:stroke dashstyle="solid"/>
            </v:rect>
            <v:line style="position:absolute" from="5291,1224" to="5291,1363" stroked="true" strokeweight=".81pt" strokecolor="#000000">
              <v:stroke dashstyle="solid"/>
            </v:line>
            <v:rect style="position:absolute;left:5175;top:1363;width:227;height:333" id="docshape912" filled="false" stroked="true" strokeweight=".75pt" strokecolor="#000000">
              <v:stroke dashstyle="solid"/>
            </v:rect>
            <v:line style="position:absolute" from="5009,1613" to="5009,1693" stroked="true" strokeweight=".75pt" strokecolor="#000000">
              <v:stroke dashstyle="solid"/>
            </v:line>
            <v:rect style="position:absolute;left:4893;top:1692;width:227;height:870" id="docshape913" filled="false" stroked="true" strokeweight=".75pt" strokecolor="#000000">
              <v:stroke dashstyle="solid"/>
            </v:rect>
            <v:line style="position:absolute" from="4160,3673" to="4160,3132" stroked="true" strokeweight=".75pt" strokecolor="#000000">
              <v:stroke dashstyle="solid"/>
            </v:line>
            <v:rect style="position:absolute;left:4045;top:3379;width:226;height:71" id="docshape914" filled="true" fillcolor="#000000" stroked="false">
              <v:fill type="solid"/>
            </v:rect>
            <v:rect style="position:absolute;left:4045;top:3378;width:226;height:72" id="docshape915" filled="false" stroked="true" strokeweight=".75pt" strokecolor="#000000">
              <v:stroke dashstyle="solid"/>
            </v:rect>
            <v:shape style="position:absolute;left:4369;top:3754;width:143;height:148" id="docshape916" coordorigin="4369,3755" coordsize="143,148" path="m4369,3902l4512,3902,4440,3755,4369,3902xe" filled="false" stroked="true" strokeweight=".75pt" strokecolor="#000000">
              <v:path arrowok="t"/>
              <v:stroke dashstyle="solid"/>
            </v:shape>
            <v:line style="position:absolute" from="5573,1624" to="5573,1081" stroked="true" strokeweight=".75pt" strokecolor="#000000">
              <v:stroke dashstyle="solid"/>
            </v:line>
            <v:rect style="position:absolute;left:5457;top:1328;width:227;height:71" id="docshape917" filled="true" fillcolor="#000000" stroked="false">
              <v:fill type="solid"/>
            </v:rect>
            <v:rect style="position:absolute;left:5457;top:1328;width:227;height:71" id="docshape918" filled="false" stroked="true" strokeweight=".75pt" strokecolor="#000000">
              <v:stroke dashstyle="solid"/>
            </v:rect>
            <v:line style="position:absolute" from="3626,1120" to="6126,1121" stroked="true" strokeweight=".75pt" strokecolor="#000000">
              <v:stroke dashstyle="solid"/>
            </v:line>
            <v:line style="position:absolute" from="3626,3703" to="6126,3703" stroked="true" strokeweight=".75pt" strokecolor="#000000">
              <v:stroke dashstyle="solid"/>
            </v:line>
            <v:line style="position:absolute" from="3616,2968" to="6116,2968" stroked="true" strokeweight=".75pt" strokecolor="#000000">
              <v:stroke dashstyle="solid"/>
            </v:line>
            <v:line style="position:absolute" from="3626,3317" to="6126,3317" stroked="true" strokeweight=".75pt" strokecolor="#000000">
              <v:stroke dashstyle="solid"/>
            </v:line>
            <v:line style="position:absolute" from="3616,3503" to="6126,3503" stroked="true" strokeweight="1.5pt" strokecolor="#000000">
              <v:stroke dashstyle="solid"/>
            </v:line>
            <v:shape style="position:absolute;left:1654;top:1037;width:1794;height:201" type="#_x0000_t202" id="docshape919" filled="false" stroked="false">
              <v:textbox inset="0,0,0,0">
                <w:txbxContent>
                  <w:p>
                    <w:pPr>
                      <w:spacing w:line="199" w:lineRule="exact" w:before="0"/>
                      <w:ind w:left="0" w:right="0" w:firstLine="0"/>
                      <w:jc w:val="left"/>
                      <w:rPr>
                        <w:rFonts w:ascii="Tahoma"/>
                        <w:sz w:val="20"/>
                      </w:rPr>
                    </w:pPr>
                    <w:r>
                      <w:rPr>
                        <w:rFonts w:ascii="Tahoma"/>
                        <w:sz w:val="20"/>
                      </w:rPr>
                      <w:t>Target</w:t>
                    </w:r>
                    <w:r>
                      <w:rPr>
                        <w:rFonts w:ascii="Tahoma"/>
                        <w:spacing w:val="-5"/>
                        <w:sz w:val="20"/>
                      </w:rPr>
                      <w:t> </w:t>
                    </w:r>
                    <w:r>
                      <w:rPr>
                        <w:rFonts w:ascii="Tahoma"/>
                        <w:sz w:val="20"/>
                      </w:rPr>
                      <w:t>at</w:t>
                    </w:r>
                    <w:r>
                      <w:rPr>
                        <w:rFonts w:ascii="Tahoma"/>
                        <w:spacing w:val="-3"/>
                        <w:sz w:val="20"/>
                      </w:rPr>
                      <w:t> </w:t>
                    </w:r>
                    <w:r>
                      <w:rPr>
                        <w:rFonts w:ascii="Tahoma"/>
                        <w:sz w:val="20"/>
                      </w:rPr>
                      <w:t>Next</w:t>
                    </w:r>
                    <w:r>
                      <w:rPr>
                        <w:rFonts w:ascii="Tahoma"/>
                        <w:spacing w:val="-2"/>
                        <w:sz w:val="20"/>
                      </w:rPr>
                      <w:t> Pivot</w:t>
                    </w:r>
                  </w:p>
                </w:txbxContent>
              </v:textbox>
              <w10:wrap type="none"/>
            </v:shape>
            <v:shape style="position:absolute;left:2154;top:2894;width:1319;height:939" type="#_x0000_t202" id="docshape920" filled="false" stroked="false">
              <v:textbox inset="0,0,0,0">
                <w:txbxContent>
                  <w:p>
                    <w:pPr>
                      <w:spacing w:line="199" w:lineRule="exact" w:before="0"/>
                      <w:ind w:left="0" w:right="46" w:firstLine="0"/>
                      <w:jc w:val="right"/>
                      <w:rPr>
                        <w:rFonts w:ascii="Tahoma"/>
                        <w:sz w:val="20"/>
                      </w:rPr>
                    </w:pPr>
                    <w:r>
                      <w:rPr>
                        <w:rFonts w:ascii="Tahoma"/>
                        <w:spacing w:val="-5"/>
                        <w:sz w:val="20"/>
                      </w:rPr>
                      <w:t>TC</w:t>
                    </w:r>
                  </w:p>
                  <w:p>
                    <w:pPr>
                      <w:spacing w:line="222" w:lineRule="exact" w:before="94"/>
                      <w:ind w:left="0" w:right="44" w:firstLine="0"/>
                      <w:jc w:val="right"/>
                      <w:rPr>
                        <w:rFonts w:ascii="Tahoma"/>
                        <w:sz w:val="20"/>
                      </w:rPr>
                    </w:pPr>
                    <w:r>
                      <w:rPr>
                        <w:rFonts w:ascii="Tahoma"/>
                        <w:spacing w:val="-2"/>
                        <w:sz w:val="20"/>
                      </w:rPr>
                      <w:t>PIVOT</w:t>
                    </w:r>
                  </w:p>
                  <w:p>
                    <w:pPr>
                      <w:spacing w:line="201" w:lineRule="exact" w:before="0"/>
                      <w:ind w:left="0" w:right="18" w:firstLine="0"/>
                      <w:jc w:val="right"/>
                      <w:rPr>
                        <w:rFonts w:ascii="Tahoma"/>
                        <w:sz w:val="20"/>
                      </w:rPr>
                    </w:pPr>
                    <w:r>
                      <w:rPr>
                        <w:rFonts w:ascii="Tahoma"/>
                        <w:sz w:val="20"/>
                      </w:rPr>
                      <w:t>L3</w:t>
                    </w:r>
                    <w:r>
                      <w:rPr>
                        <w:rFonts w:ascii="Tahoma"/>
                        <w:spacing w:val="-2"/>
                        <w:sz w:val="20"/>
                      </w:rPr>
                      <w:t> </w:t>
                    </w:r>
                    <w:r>
                      <w:rPr>
                        <w:rFonts w:ascii="Tahoma"/>
                        <w:sz w:val="20"/>
                      </w:rPr>
                      <w:t>or</w:t>
                    </w:r>
                    <w:r>
                      <w:rPr>
                        <w:rFonts w:ascii="Tahoma"/>
                        <w:spacing w:val="-1"/>
                        <w:sz w:val="20"/>
                      </w:rPr>
                      <w:t> </w:t>
                    </w:r>
                    <w:r>
                      <w:rPr>
                        <w:rFonts w:ascii="Tahoma"/>
                        <w:sz w:val="20"/>
                      </w:rPr>
                      <w:t>MZ</w:t>
                    </w:r>
                    <w:r>
                      <w:rPr>
                        <w:rFonts w:ascii="Tahoma"/>
                        <w:spacing w:val="-1"/>
                        <w:sz w:val="20"/>
                      </w:rPr>
                      <w:t> </w:t>
                    </w:r>
                    <w:r>
                      <w:rPr>
                        <w:rFonts w:ascii="Tahoma"/>
                        <w:spacing w:val="-2"/>
                        <w:sz w:val="20"/>
                      </w:rPr>
                      <w:t>Level</w:t>
                    </w:r>
                  </w:p>
                  <w:p>
                    <w:pPr>
                      <w:spacing w:line="220" w:lineRule="exact" w:before="0"/>
                      <w:ind w:left="0" w:right="46" w:firstLine="0"/>
                      <w:jc w:val="right"/>
                      <w:rPr>
                        <w:rFonts w:ascii="Tahoma"/>
                        <w:sz w:val="20"/>
                      </w:rPr>
                    </w:pPr>
                    <w:r>
                      <w:rPr>
                        <w:rFonts w:ascii="Tahoma"/>
                        <w:spacing w:val="-5"/>
                        <w:sz w:val="20"/>
                      </w:rPr>
                      <w:t>BC</w:t>
                    </w:r>
                  </w:p>
                </w:txbxContent>
              </v:textbox>
              <w10:wrap type="none"/>
            </v:shape>
            <v:shape style="position:absolute;left:1255;top:256;width:5780;height:547" type="#_x0000_t202" id="docshape921" filled="true" fillcolor="#000000" stroked="false">
              <v:textbox inset="0,0,0,0">
                <w:txbxContent>
                  <w:p>
                    <w:pPr>
                      <w:spacing w:before="92"/>
                      <w:ind w:left="1095" w:right="0" w:firstLine="0"/>
                      <w:jc w:val="left"/>
                      <w:rPr>
                        <w:rFonts w:ascii="Verdana"/>
                        <w:color w:val="000000"/>
                        <w:sz w:val="28"/>
                      </w:rPr>
                    </w:pPr>
                    <w:r>
                      <w:rPr>
                        <w:rFonts w:ascii="Verdana"/>
                        <w:color w:val="FFFFFF"/>
                        <w:sz w:val="28"/>
                      </w:rPr>
                      <w:t>Bullish</w:t>
                    </w:r>
                    <w:r>
                      <w:rPr>
                        <w:rFonts w:ascii="Verdana"/>
                        <w:color w:val="FFFFFF"/>
                        <w:spacing w:val="-3"/>
                        <w:sz w:val="28"/>
                      </w:rPr>
                      <w:t> </w:t>
                    </w:r>
                    <w:r>
                      <w:rPr>
                        <w:rFonts w:ascii="Verdana"/>
                        <w:color w:val="FFFFFF"/>
                        <w:sz w:val="28"/>
                      </w:rPr>
                      <w:t>Golden</w:t>
                    </w:r>
                    <w:r>
                      <w:rPr>
                        <w:rFonts w:ascii="Verdana"/>
                        <w:color w:val="FFFFFF"/>
                        <w:spacing w:val="-3"/>
                        <w:sz w:val="28"/>
                      </w:rPr>
                      <w:t> </w:t>
                    </w:r>
                    <w:r>
                      <w:rPr>
                        <w:rFonts w:ascii="Verdana"/>
                        <w:color w:val="FFFFFF"/>
                        <w:sz w:val="28"/>
                      </w:rPr>
                      <w:t>Pivot</w:t>
                    </w:r>
                    <w:r>
                      <w:rPr>
                        <w:rFonts w:ascii="Verdana"/>
                        <w:color w:val="FFFFFF"/>
                        <w:spacing w:val="-3"/>
                        <w:sz w:val="28"/>
                      </w:rPr>
                      <w:t> </w:t>
                    </w:r>
                    <w:r>
                      <w:rPr>
                        <w:rFonts w:ascii="Verdana"/>
                        <w:color w:val="FFFFFF"/>
                        <w:spacing w:val="-4"/>
                        <w:sz w:val="28"/>
                      </w:rPr>
                      <w:t>Zone</w:t>
                    </w:r>
                  </w:p>
                </w:txbxContent>
              </v:textbox>
              <v:fill type="solid"/>
              <w10:wrap type="none"/>
            </v:shape>
            <w10:wrap type="topAndBottom"/>
          </v:group>
        </w:pict>
      </w:r>
    </w:p>
    <w:p>
      <w:pPr>
        <w:spacing w:before="0"/>
        <w:ind w:left="629" w:right="0" w:firstLine="0"/>
        <w:jc w:val="left"/>
        <w:rPr>
          <w:sz w:val="16"/>
        </w:rPr>
      </w:pPr>
      <w:r>
        <w:rPr>
          <w:sz w:val="16"/>
        </w:rPr>
        <w:t>FIGURE</w:t>
      </w:r>
      <w:r>
        <w:rPr>
          <w:spacing w:val="7"/>
          <w:sz w:val="16"/>
        </w:rPr>
        <w:t> </w:t>
      </w:r>
      <w:r>
        <w:rPr>
          <w:sz w:val="16"/>
        </w:rPr>
        <w:t>10.6:</w:t>
      </w:r>
      <w:r>
        <w:rPr>
          <w:spacing w:val="8"/>
          <w:sz w:val="16"/>
        </w:rPr>
        <w:t> </w:t>
      </w:r>
      <w:r>
        <w:rPr>
          <w:sz w:val="16"/>
        </w:rPr>
        <w:t>Bullish</w:t>
      </w:r>
      <w:r>
        <w:rPr>
          <w:spacing w:val="7"/>
          <w:sz w:val="16"/>
        </w:rPr>
        <w:t> </w:t>
      </w:r>
      <w:r>
        <w:rPr>
          <w:sz w:val="16"/>
        </w:rPr>
        <w:t>Golden</w:t>
      </w:r>
      <w:r>
        <w:rPr>
          <w:spacing w:val="8"/>
          <w:sz w:val="16"/>
        </w:rPr>
        <w:t> </w:t>
      </w:r>
      <w:r>
        <w:rPr>
          <w:sz w:val="16"/>
        </w:rPr>
        <w:t>Pivot</w:t>
      </w:r>
      <w:r>
        <w:rPr>
          <w:spacing w:val="8"/>
          <w:sz w:val="16"/>
        </w:rPr>
        <w:t> </w:t>
      </w:r>
      <w:r>
        <w:rPr>
          <w:spacing w:val="-4"/>
          <w:sz w:val="16"/>
        </w:rPr>
        <w:t>Zone</w:t>
      </w:r>
    </w:p>
    <w:p>
      <w:pPr>
        <w:pStyle w:val="BodyText"/>
        <w:spacing w:before="10"/>
        <w:rPr>
          <w:sz w:val="21"/>
        </w:rPr>
      </w:pPr>
    </w:p>
    <w:p>
      <w:pPr>
        <w:pStyle w:val="BodyText"/>
        <w:spacing w:before="1"/>
        <w:ind w:left="140" w:right="495" w:firstLine="432"/>
        <w:jc w:val="both"/>
      </w:pPr>
      <w:r>
        <w:rPr/>
        <w:t>Take</w:t>
      </w:r>
      <w:r>
        <w:rPr>
          <w:spacing w:val="-1"/>
        </w:rPr>
        <w:t> </w:t>
      </w:r>
      <w:r>
        <w:rPr/>
        <w:t>a</w:t>
      </w:r>
      <w:r>
        <w:rPr>
          <w:spacing w:val="-1"/>
        </w:rPr>
        <w:t> </w:t>
      </w:r>
      <w:r>
        <w:rPr/>
        <w:t>look</w:t>
      </w:r>
      <w:r>
        <w:rPr>
          <w:spacing w:val="-1"/>
        </w:rPr>
        <w:t> </w:t>
      </w:r>
      <w:r>
        <w:rPr/>
        <w:t>at</w:t>
      </w:r>
      <w:r>
        <w:rPr>
          <w:spacing w:val="-1"/>
        </w:rPr>
        <w:t> </w:t>
      </w:r>
      <w:r>
        <w:rPr/>
        <w:t>Figure</w:t>
      </w:r>
      <w:r>
        <w:rPr>
          <w:spacing w:val="-1"/>
        </w:rPr>
        <w:t> </w:t>
      </w:r>
      <w:r>
        <w:rPr/>
        <w:t>10.7,</w:t>
      </w:r>
      <w:r>
        <w:rPr>
          <w:spacing w:val="-2"/>
        </w:rPr>
        <w:t> </w:t>
      </w:r>
      <w:r>
        <w:rPr/>
        <w:t>which</w:t>
      </w:r>
      <w:r>
        <w:rPr>
          <w:spacing w:val="-1"/>
        </w:rPr>
        <w:t> </w:t>
      </w:r>
      <w:r>
        <w:rPr/>
        <w:t>is a</w:t>
      </w:r>
      <w:r>
        <w:rPr>
          <w:spacing w:val="-1"/>
        </w:rPr>
        <w:t> </w:t>
      </w:r>
      <w:r>
        <w:rPr/>
        <w:t>fifteen-minute</w:t>
      </w:r>
      <w:r>
        <w:rPr>
          <w:spacing w:val="-1"/>
        </w:rPr>
        <w:t> </w:t>
      </w:r>
      <w:r>
        <w:rPr/>
        <w:t>chart</w:t>
      </w:r>
      <w:r>
        <w:rPr>
          <w:spacing w:val="-1"/>
        </w:rPr>
        <w:t> </w:t>
      </w:r>
      <w:r>
        <w:rPr/>
        <w:t>of</w:t>
      </w:r>
      <w:r>
        <w:rPr>
          <w:spacing w:val="-1"/>
        </w:rPr>
        <w:t> </w:t>
      </w:r>
      <w:r>
        <w:rPr/>
        <w:t>the</w:t>
      </w:r>
      <w:r>
        <w:rPr>
          <w:spacing w:val="-1"/>
        </w:rPr>
        <w:t> </w:t>
      </w:r>
      <w:r>
        <w:rPr/>
        <w:t>E-Mini S&amp;P 400 futures contract on February 19, 2010. The MC had been in the midst</w:t>
      </w:r>
      <w:r>
        <w:rPr>
          <w:spacing w:val="-2"/>
        </w:rPr>
        <w:t> </w:t>
      </w:r>
      <w:r>
        <w:rPr/>
        <w:t>of</w:t>
      </w:r>
      <w:r>
        <w:rPr>
          <w:spacing w:val="-2"/>
        </w:rPr>
        <w:t> </w:t>
      </w:r>
      <w:r>
        <w:rPr/>
        <w:t>a</w:t>
      </w:r>
      <w:r>
        <w:rPr>
          <w:spacing w:val="-2"/>
        </w:rPr>
        <w:t> </w:t>
      </w:r>
      <w:r>
        <w:rPr/>
        <w:t>bullish</w:t>
      </w:r>
      <w:r>
        <w:rPr>
          <w:spacing w:val="-2"/>
        </w:rPr>
        <w:t> </w:t>
      </w:r>
      <w:r>
        <w:rPr/>
        <w:t>uptrend</w:t>
      </w:r>
      <w:r>
        <w:rPr>
          <w:spacing w:val="-3"/>
        </w:rPr>
        <w:t> </w:t>
      </w:r>
      <w:r>
        <w:rPr/>
        <w:t>over</w:t>
      </w:r>
      <w:r>
        <w:rPr>
          <w:spacing w:val="-2"/>
        </w:rPr>
        <w:t> </w:t>
      </w:r>
      <w:r>
        <w:rPr/>
        <w:t>the</w:t>
      </w:r>
      <w:r>
        <w:rPr>
          <w:spacing w:val="-2"/>
        </w:rPr>
        <w:t> </w:t>
      </w:r>
      <w:r>
        <w:rPr/>
        <w:t>preceding</w:t>
      </w:r>
      <w:r>
        <w:rPr>
          <w:spacing w:val="-2"/>
        </w:rPr>
        <w:t> </w:t>
      </w:r>
      <w:r>
        <w:rPr/>
        <w:t>week,</w:t>
      </w:r>
      <w:r>
        <w:rPr>
          <w:spacing w:val="-2"/>
        </w:rPr>
        <w:t> </w:t>
      </w:r>
      <w:r>
        <w:rPr/>
        <w:t>making</w:t>
      </w:r>
      <w:r>
        <w:rPr>
          <w:spacing w:val="-2"/>
        </w:rPr>
        <w:t> </w:t>
      </w:r>
      <w:r>
        <w:rPr/>
        <w:t>every</w:t>
      </w:r>
      <w:r>
        <w:rPr>
          <w:spacing w:val="-2"/>
        </w:rPr>
        <w:t> </w:t>
      </w:r>
      <w:r>
        <w:rPr/>
        <w:t>pull-back</w:t>
      </w:r>
      <w:r>
        <w:rPr>
          <w:spacing w:val="-2"/>
        </w:rPr>
        <w:t> </w:t>
      </w:r>
      <w:r>
        <w:rPr/>
        <w:t>a buying opportunity. However, there are a couple of factors that must be in place in order for a “buy the dip” opportunity to exist. First, price should</w:t>
      </w:r>
      <w:r>
        <w:rPr>
          <w:spacing w:val="40"/>
        </w:rPr>
        <w:t> </w:t>
      </w:r>
      <w:r>
        <w:rPr/>
        <w:t>open the day above the central pivot range. Second, the prior session’s closing price should fall above the prior day’s central pivot range. Both of these criteria are basically geared toward measuring the current strength of the market, while forcing you to remain in tune with the market’s current trend. If both of these factors pass the test, the market is likely primed for another “buy the dip” opportunity (reverse for shorts).</w:t>
      </w:r>
    </w:p>
    <w:p>
      <w:pPr>
        <w:pStyle w:val="BodyText"/>
        <w:ind w:left="140" w:right="496" w:firstLine="432"/>
        <w:jc w:val="both"/>
      </w:pPr>
      <w:r>
        <w:rPr/>
        <w:t>Since the MC opened the day above the central pivot range, while closing above</w:t>
      </w:r>
      <w:r>
        <w:rPr>
          <w:spacing w:val="-1"/>
        </w:rPr>
        <w:t> </w:t>
      </w:r>
      <w:r>
        <w:rPr/>
        <w:t>the prior</w:t>
      </w:r>
      <w:r>
        <w:rPr>
          <w:spacing w:val="-1"/>
        </w:rPr>
        <w:t> </w:t>
      </w:r>
      <w:r>
        <w:rPr/>
        <w:t>day’s CPR, we are in good shape to try for</w:t>
      </w:r>
      <w:r>
        <w:rPr>
          <w:spacing w:val="-1"/>
        </w:rPr>
        <w:t> </w:t>
      </w:r>
      <w:r>
        <w:rPr/>
        <w:t>a potential bounce at the bullish GPZ, which consists of the central pivot range and the Money Zone’s value area high. Price dropped sharply into the GPZ to begin the session, but immediately formed a bullish extreme reversal setup, along with a bullish doji reversal setup. The bullish candlestick setups are the last line</w:t>
      </w:r>
      <w:r>
        <w:rPr>
          <w:spacing w:val="-2"/>
        </w:rPr>
        <w:t> </w:t>
      </w:r>
      <w:r>
        <w:rPr/>
        <w:t>of</w:t>
      </w:r>
      <w:r>
        <w:rPr>
          <w:spacing w:val="-2"/>
        </w:rPr>
        <w:t> </w:t>
      </w:r>
      <w:r>
        <w:rPr/>
        <w:t>confirmation</w:t>
      </w:r>
      <w:r>
        <w:rPr>
          <w:spacing w:val="-2"/>
        </w:rPr>
        <w:t> </w:t>
      </w:r>
      <w:r>
        <w:rPr/>
        <w:t>that</w:t>
      </w:r>
      <w:r>
        <w:rPr>
          <w:spacing w:val="-2"/>
        </w:rPr>
        <w:t> </w:t>
      </w:r>
      <w:r>
        <w:rPr/>
        <w:t>essentially</w:t>
      </w:r>
      <w:r>
        <w:rPr>
          <w:spacing w:val="-2"/>
        </w:rPr>
        <w:t> </w:t>
      </w:r>
      <w:r>
        <w:rPr/>
        <w:t>tip</w:t>
      </w:r>
      <w:r>
        <w:rPr>
          <w:spacing w:val="-3"/>
        </w:rPr>
        <w:t> </w:t>
      </w:r>
      <w:r>
        <w:rPr/>
        <w:t>the</w:t>
      </w:r>
      <w:r>
        <w:rPr>
          <w:spacing w:val="-2"/>
        </w:rPr>
        <w:t> </w:t>
      </w:r>
      <w:r>
        <w:rPr/>
        <w:t>tables</w:t>
      </w:r>
      <w:r>
        <w:rPr>
          <w:spacing w:val="-2"/>
        </w:rPr>
        <w:t> </w:t>
      </w:r>
      <w:r>
        <w:rPr/>
        <w:t>of</w:t>
      </w:r>
      <w:r>
        <w:rPr>
          <w:spacing w:val="-2"/>
        </w:rPr>
        <w:t> </w:t>
      </w:r>
      <w:r>
        <w:rPr/>
        <w:t>probability</w:t>
      </w:r>
      <w:r>
        <w:rPr>
          <w:spacing w:val="-3"/>
        </w:rPr>
        <w:t> </w:t>
      </w:r>
      <w:r>
        <w:rPr/>
        <w:t>in</w:t>
      </w:r>
      <w:r>
        <w:rPr>
          <w:spacing w:val="-3"/>
        </w:rPr>
        <w:t> </w:t>
      </w:r>
      <w:r>
        <w:rPr/>
        <w:t>your</w:t>
      </w:r>
      <w:r>
        <w:rPr>
          <w:spacing w:val="-2"/>
        </w:rPr>
        <w:t> </w:t>
      </w:r>
      <w:r>
        <w:rPr/>
        <w:t>favor, as the MC rallied from about 733 to the 740 level, which happened to be H4 for the day.</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4" w:firstLine="432"/>
        <w:jc w:val="both"/>
      </w:pPr>
      <w:r>
        <w:rPr/>
        <w:t>While this trade looks simple from the outside looking in, there were many layers of confirmation that allowed this trade to become successful.</w:t>
      </w:r>
      <w:r>
        <w:rPr>
          <w:spacing w:val="40"/>
        </w:rPr>
        <w:t> </w:t>
      </w:r>
      <w:r>
        <w:rPr/>
        <w:t>The established trend, the day’s open price, the prior day’s close price, the bullish</w:t>
      </w:r>
      <w:r>
        <w:rPr>
          <w:spacing w:val="-2"/>
        </w:rPr>
        <w:t> </w:t>
      </w:r>
      <w:r>
        <w:rPr/>
        <w:t>Golden</w:t>
      </w:r>
      <w:r>
        <w:rPr>
          <w:spacing w:val="-2"/>
        </w:rPr>
        <w:t> </w:t>
      </w:r>
      <w:r>
        <w:rPr/>
        <w:t>Pivot</w:t>
      </w:r>
      <w:r>
        <w:rPr>
          <w:spacing w:val="-2"/>
        </w:rPr>
        <w:t> </w:t>
      </w:r>
      <w:r>
        <w:rPr/>
        <w:t>Zone,</w:t>
      </w:r>
      <w:r>
        <w:rPr>
          <w:spacing w:val="-3"/>
        </w:rPr>
        <w:t> </w:t>
      </w:r>
      <w:r>
        <w:rPr/>
        <w:t>and</w:t>
      </w:r>
      <w:r>
        <w:rPr>
          <w:spacing w:val="-2"/>
        </w:rPr>
        <w:t> </w:t>
      </w:r>
      <w:r>
        <w:rPr/>
        <w:t>the</w:t>
      </w:r>
      <w:r>
        <w:rPr>
          <w:spacing w:val="-2"/>
        </w:rPr>
        <w:t> </w:t>
      </w:r>
      <w:r>
        <w:rPr/>
        <w:t>two</w:t>
      </w:r>
      <w:r>
        <w:rPr>
          <w:spacing w:val="-3"/>
        </w:rPr>
        <w:t> </w:t>
      </w:r>
      <w:r>
        <w:rPr/>
        <w:t>candlestick</w:t>
      </w:r>
      <w:r>
        <w:rPr>
          <w:spacing w:val="-2"/>
        </w:rPr>
        <w:t> </w:t>
      </w:r>
      <w:r>
        <w:rPr/>
        <w:t>setups</w:t>
      </w:r>
      <w:r>
        <w:rPr>
          <w:spacing w:val="-2"/>
        </w:rPr>
        <w:t> </w:t>
      </w:r>
      <w:r>
        <w:rPr/>
        <w:t>all</w:t>
      </w:r>
      <w:r>
        <w:rPr>
          <w:spacing w:val="-2"/>
        </w:rPr>
        <w:t> </w:t>
      </w:r>
      <w:r>
        <w:rPr/>
        <w:t>contributed</w:t>
      </w:r>
      <w:r>
        <w:rPr>
          <w:spacing w:val="-2"/>
        </w:rPr>
        <w:t> </w:t>
      </w:r>
      <w:r>
        <w:rPr/>
        <w:t>to</w:t>
      </w:r>
      <w:r>
        <w:rPr>
          <w:spacing w:val="-2"/>
        </w:rPr>
        <w:t> </w:t>
      </w:r>
      <w:r>
        <w:rPr/>
        <w:t>a high probability trade and a successful outcome.</w:t>
      </w:r>
    </w:p>
    <w:p>
      <w:pPr>
        <w:pStyle w:val="BodyText"/>
        <w:spacing w:before="2"/>
        <w:rPr>
          <w:sz w:val="20"/>
        </w:rPr>
      </w:pPr>
      <w:r>
        <w:rPr/>
        <w:drawing>
          <wp:anchor distT="0" distB="0" distL="0" distR="0" allowOverlap="1" layoutInCell="1" locked="0" behindDoc="0" simplePos="0" relativeHeight="316">
            <wp:simplePos x="0" y="0"/>
            <wp:positionH relativeFrom="page">
              <wp:posOffset>685800</wp:posOffset>
            </wp:positionH>
            <wp:positionV relativeFrom="paragraph">
              <wp:posOffset>162569</wp:posOffset>
            </wp:positionV>
            <wp:extent cx="4342239" cy="3111722"/>
            <wp:effectExtent l="0" t="0" r="0" b="0"/>
            <wp:wrapTopAndBottom/>
            <wp:docPr id="311" name="image162.png"/>
            <wp:cNvGraphicFramePr>
              <a:graphicFrameLocks noChangeAspect="1"/>
            </wp:cNvGraphicFramePr>
            <a:graphic>
              <a:graphicData uri="http://schemas.openxmlformats.org/drawingml/2006/picture">
                <pic:pic>
                  <pic:nvPicPr>
                    <pic:cNvPr id="312" name="image162.png"/>
                    <pic:cNvPicPr/>
                  </pic:nvPicPr>
                  <pic:blipFill>
                    <a:blip r:embed="rId321" cstate="print"/>
                    <a:stretch>
                      <a:fillRect/>
                    </a:stretch>
                  </pic:blipFill>
                  <pic:spPr>
                    <a:xfrm>
                      <a:off x="0" y="0"/>
                      <a:ext cx="4342239" cy="3111722"/>
                    </a:xfrm>
                    <a:prstGeom prst="rect">
                      <a:avLst/>
                    </a:prstGeom>
                  </pic:spPr>
                </pic:pic>
              </a:graphicData>
            </a:graphic>
          </wp:anchor>
        </w:drawing>
      </w:r>
    </w:p>
    <w:p>
      <w:pPr>
        <w:spacing w:before="0"/>
        <w:ind w:left="500" w:right="0" w:firstLine="0"/>
        <w:jc w:val="left"/>
        <w:rPr>
          <w:sz w:val="16"/>
        </w:rPr>
      </w:pPr>
      <w:r>
        <w:rPr>
          <w:sz w:val="16"/>
        </w:rPr>
        <w:t>FIGURE</w:t>
      </w:r>
      <w:r>
        <w:rPr>
          <w:spacing w:val="1"/>
          <w:sz w:val="16"/>
        </w:rPr>
        <w:t> </w:t>
      </w:r>
      <w:r>
        <w:rPr>
          <w:sz w:val="16"/>
        </w:rPr>
        <w:t>10.7:</w:t>
      </w:r>
      <w:r>
        <w:rPr>
          <w:spacing w:val="1"/>
          <w:sz w:val="16"/>
        </w:rPr>
        <w:t> </w:t>
      </w:r>
      <w:r>
        <w:rPr>
          <w:sz w:val="16"/>
        </w:rPr>
        <w:t>A</w:t>
      </w:r>
      <w:r>
        <w:rPr>
          <w:spacing w:val="5"/>
          <w:sz w:val="16"/>
        </w:rPr>
        <w:t> </w:t>
      </w:r>
      <w:r>
        <w:rPr>
          <w:sz w:val="16"/>
        </w:rPr>
        <w:t>bullish</w:t>
      </w:r>
      <w:r>
        <w:rPr>
          <w:spacing w:val="1"/>
          <w:sz w:val="16"/>
        </w:rPr>
        <w:t> </w:t>
      </w:r>
      <w:r>
        <w:rPr>
          <w:sz w:val="16"/>
        </w:rPr>
        <w:t>reversal</w:t>
      </w:r>
      <w:r>
        <w:rPr>
          <w:spacing w:val="1"/>
          <w:sz w:val="16"/>
        </w:rPr>
        <w:t> </w:t>
      </w:r>
      <w:r>
        <w:rPr>
          <w:sz w:val="16"/>
        </w:rPr>
        <w:t>at</w:t>
      </w:r>
      <w:r>
        <w:rPr>
          <w:spacing w:val="3"/>
          <w:sz w:val="16"/>
        </w:rPr>
        <w:t> </w:t>
      </w:r>
      <w:r>
        <w:rPr>
          <w:sz w:val="16"/>
        </w:rPr>
        <w:t>a</w:t>
      </w:r>
      <w:r>
        <w:rPr>
          <w:spacing w:val="1"/>
          <w:sz w:val="16"/>
        </w:rPr>
        <w:t> </w:t>
      </w:r>
      <w:r>
        <w:rPr>
          <w:sz w:val="16"/>
        </w:rPr>
        <w:t>Golden</w:t>
      </w:r>
      <w:r>
        <w:rPr>
          <w:spacing w:val="1"/>
          <w:sz w:val="16"/>
        </w:rPr>
        <w:t> </w:t>
      </w:r>
      <w:r>
        <w:rPr>
          <w:sz w:val="16"/>
        </w:rPr>
        <w:t>Pivot</w:t>
      </w:r>
      <w:r>
        <w:rPr>
          <w:spacing w:val="2"/>
          <w:sz w:val="16"/>
        </w:rPr>
        <w:t> </w:t>
      </w:r>
      <w:r>
        <w:rPr>
          <w:sz w:val="16"/>
        </w:rPr>
        <w:t>Zone</w:t>
      </w:r>
      <w:r>
        <w:rPr>
          <w:spacing w:val="1"/>
          <w:sz w:val="16"/>
        </w:rPr>
        <w:t> </w:t>
      </w:r>
      <w:r>
        <w:rPr>
          <w:sz w:val="16"/>
        </w:rPr>
        <w:t>in</w:t>
      </w:r>
      <w:r>
        <w:rPr>
          <w:spacing w:val="1"/>
          <w:sz w:val="16"/>
        </w:rPr>
        <w:t> </w:t>
      </w:r>
      <w:r>
        <w:rPr>
          <w:sz w:val="16"/>
        </w:rPr>
        <w:t>the</w:t>
      </w:r>
      <w:r>
        <w:rPr>
          <w:spacing w:val="2"/>
          <w:sz w:val="16"/>
        </w:rPr>
        <w:t> </w:t>
      </w:r>
      <w:r>
        <w:rPr>
          <w:spacing w:val="-5"/>
          <w:sz w:val="16"/>
        </w:rPr>
        <w:t>MC</w:t>
      </w:r>
    </w:p>
    <w:p>
      <w:pPr>
        <w:pStyle w:val="BodyText"/>
        <w:spacing w:before="9"/>
        <w:rPr>
          <w:sz w:val="21"/>
        </w:rPr>
      </w:pPr>
    </w:p>
    <w:p>
      <w:pPr>
        <w:pStyle w:val="BodyText"/>
        <w:ind w:left="500" w:right="135" w:firstLine="432"/>
        <w:jc w:val="both"/>
      </w:pPr>
      <w:r>
        <w:rPr/>
        <w:t>Let’s take a look at</w:t>
      </w:r>
      <w:r>
        <w:rPr>
          <w:spacing w:val="-1"/>
        </w:rPr>
        <w:t> </w:t>
      </w:r>
      <w:r>
        <w:rPr/>
        <w:t>an example where the GPZ acts as a major source of resistance. Figure 10.8 shows a five-minute chart of the E-Mini Russell 2000 futures contract on March 6, 2009. The contract had been trending steadily lower over the prior two weeks of trading, making every pull-back a selling opportunity. The TF opened the day with early strength, but immediately found resistance at a bearish GPZ, consisting of the central pivot range and the H3 Cam level. Again, the major candlestick combination that formed at the</w:t>
      </w:r>
      <w:r>
        <w:rPr>
          <w:spacing w:val="-2"/>
        </w:rPr>
        <w:t> </w:t>
      </w:r>
      <w:r>
        <w:rPr/>
        <w:t>GPZ</w:t>
      </w:r>
      <w:r>
        <w:rPr>
          <w:spacing w:val="-2"/>
        </w:rPr>
        <w:t> </w:t>
      </w:r>
      <w:r>
        <w:rPr/>
        <w:t>was</w:t>
      </w:r>
      <w:r>
        <w:rPr>
          <w:spacing w:val="-1"/>
        </w:rPr>
        <w:t> </w:t>
      </w:r>
      <w:r>
        <w:rPr/>
        <w:t>the</w:t>
      </w:r>
      <w:r>
        <w:rPr>
          <w:spacing w:val="-2"/>
        </w:rPr>
        <w:t> </w:t>
      </w:r>
      <w:r>
        <w:rPr/>
        <w:t>extreme</w:t>
      </w:r>
      <w:r>
        <w:rPr>
          <w:spacing w:val="-2"/>
        </w:rPr>
        <w:t> </w:t>
      </w:r>
      <w:r>
        <w:rPr/>
        <w:t>reversal</w:t>
      </w:r>
      <w:r>
        <w:rPr>
          <w:spacing w:val="-2"/>
        </w:rPr>
        <w:t> </w:t>
      </w:r>
      <w:r>
        <w:rPr/>
        <w:t>setup,</w:t>
      </w:r>
      <w:r>
        <w:rPr>
          <w:spacing w:val="-2"/>
        </w:rPr>
        <w:t> </w:t>
      </w:r>
      <w:r>
        <w:rPr/>
        <w:t>which</w:t>
      </w:r>
      <w:r>
        <w:rPr>
          <w:spacing w:val="-2"/>
        </w:rPr>
        <w:t> </w:t>
      </w:r>
      <w:r>
        <w:rPr/>
        <w:t>is</w:t>
      </w:r>
      <w:r>
        <w:rPr>
          <w:spacing w:val="-2"/>
        </w:rPr>
        <w:t> </w:t>
      </w:r>
      <w:r>
        <w:rPr/>
        <w:t>my</w:t>
      </w:r>
      <w:r>
        <w:rPr>
          <w:spacing w:val="-2"/>
        </w:rPr>
        <w:t> </w:t>
      </w:r>
      <w:r>
        <w:rPr/>
        <w:t>favorite</w:t>
      </w:r>
      <w:r>
        <w:rPr>
          <w:spacing w:val="-2"/>
        </w:rPr>
        <w:t> </w:t>
      </w:r>
      <w:r>
        <w:rPr/>
        <w:t>pattern.</w:t>
      </w:r>
      <w:r>
        <w:rPr>
          <w:spacing w:val="-2"/>
        </w:rPr>
        <w:t> </w:t>
      </w:r>
      <w:r>
        <w:rPr/>
        <w:t>As</w:t>
      </w:r>
      <w:r>
        <w:rPr>
          <w:spacing w:val="-2"/>
        </w:rPr>
        <w:t> </w:t>
      </w:r>
      <w:r>
        <w:rPr/>
        <w:t>you recall from Chapter 2, this pattern excels when it forms in an established trend. Therefore, the fact that it fired a short signal in a downtrend at a</w:t>
      </w:r>
      <w:r>
        <w:rPr>
          <w:spacing w:val="40"/>
        </w:rPr>
        <w:t> </w:t>
      </w:r>
      <w:r>
        <w:rPr/>
        <w:t>bearish Golden Pivot Zone is very significant. The confirmed short opportunity occurred at about $356, as responsive sellers proceeded to push price</w:t>
      </w:r>
      <w:r>
        <w:rPr>
          <w:spacing w:val="32"/>
        </w:rPr>
        <w:t> </w:t>
      </w:r>
      <w:r>
        <w:rPr/>
        <w:t>back</w:t>
      </w:r>
      <w:r>
        <w:rPr>
          <w:spacing w:val="33"/>
        </w:rPr>
        <w:t> </w:t>
      </w:r>
      <w:r>
        <w:rPr/>
        <w:t>toward</w:t>
      </w:r>
      <w:r>
        <w:rPr>
          <w:spacing w:val="32"/>
        </w:rPr>
        <w:t> </w:t>
      </w:r>
      <w:r>
        <w:rPr/>
        <w:t>perceived</w:t>
      </w:r>
      <w:r>
        <w:rPr>
          <w:spacing w:val="33"/>
        </w:rPr>
        <w:t> </w:t>
      </w:r>
      <w:r>
        <w:rPr/>
        <w:t>value.</w:t>
      </w:r>
      <w:r>
        <w:rPr>
          <w:spacing w:val="32"/>
        </w:rPr>
        <w:t> </w:t>
      </w:r>
      <w:r>
        <w:rPr/>
        <w:t>The</w:t>
      </w:r>
      <w:r>
        <w:rPr>
          <w:spacing w:val="33"/>
        </w:rPr>
        <w:t> </w:t>
      </w:r>
      <w:r>
        <w:rPr/>
        <w:t>TF</w:t>
      </w:r>
      <w:r>
        <w:rPr>
          <w:spacing w:val="32"/>
        </w:rPr>
        <w:t> </w:t>
      </w:r>
      <w:r>
        <w:rPr/>
        <w:t>eventually</w:t>
      </w:r>
      <w:r>
        <w:rPr>
          <w:spacing w:val="32"/>
        </w:rPr>
        <w:t> </w:t>
      </w:r>
      <w:r>
        <w:rPr/>
        <w:t>halted</w:t>
      </w:r>
      <w:r>
        <w:rPr>
          <w:spacing w:val="32"/>
        </w:rPr>
        <w:t> </w:t>
      </w:r>
      <w:r>
        <w:rPr/>
        <w:t>the</w:t>
      </w:r>
      <w:r>
        <w:rPr>
          <w:spacing w:val="32"/>
        </w:rPr>
        <w:t> </w:t>
      </w:r>
      <w:r>
        <w:rPr>
          <w:spacing w:val="-2"/>
        </w:rPr>
        <w:t>morning</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pPr>
      <w:r>
        <w:rPr/>
        <w:t>decline</w:t>
      </w:r>
      <w:r>
        <w:rPr>
          <w:spacing w:val="30"/>
        </w:rPr>
        <w:t> </w:t>
      </w:r>
      <w:r>
        <w:rPr/>
        <w:t>right</w:t>
      </w:r>
      <w:r>
        <w:rPr>
          <w:spacing w:val="31"/>
        </w:rPr>
        <w:t> </w:t>
      </w:r>
      <w:r>
        <w:rPr/>
        <w:t>at</w:t>
      </w:r>
      <w:r>
        <w:rPr>
          <w:spacing w:val="30"/>
        </w:rPr>
        <w:t> </w:t>
      </w:r>
      <w:r>
        <w:rPr/>
        <w:t>S1</w:t>
      </w:r>
      <w:r>
        <w:rPr>
          <w:spacing w:val="32"/>
        </w:rPr>
        <w:t> </w:t>
      </w:r>
      <w:r>
        <w:rPr/>
        <w:t>support</w:t>
      </w:r>
      <w:r>
        <w:rPr>
          <w:spacing w:val="30"/>
        </w:rPr>
        <w:t> </w:t>
      </w:r>
      <w:r>
        <w:rPr/>
        <w:t>for</w:t>
      </w:r>
      <w:r>
        <w:rPr>
          <w:spacing w:val="31"/>
        </w:rPr>
        <w:t> </w:t>
      </w:r>
      <w:r>
        <w:rPr/>
        <w:t>a</w:t>
      </w:r>
      <w:r>
        <w:rPr>
          <w:spacing w:val="32"/>
        </w:rPr>
        <w:t> </w:t>
      </w:r>
      <w:r>
        <w:rPr/>
        <w:t>move</w:t>
      </w:r>
      <w:r>
        <w:rPr>
          <w:spacing w:val="32"/>
        </w:rPr>
        <w:t> </w:t>
      </w:r>
      <w:r>
        <w:rPr/>
        <w:t>of</w:t>
      </w:r>
      <w:r>
        <w:rPr>
          <w:spacing w:val="30"/>
        </w:rPr>
        <w:t> </w:t>
      </w:r>
      <w:r>
        <w:rPr/>
        <w:t>over</w:t>
      </w:r>
      <w:r>
        <w:rPr>
          <w:spacing w:val="31"/>
        </w:rPr>
        <w:t> </w:t>
      </w:r>
      <w:r>
        <w:rPr/>
        <w:t>ten</w:t>
      </w:r>
      <w:r>
        <w:rPr>
          <w:spacing w:val="31"/>
        </w:rPr>
        <w:t> </w:t>
      </w:r>
      <w:r>
        <w:rPr/>
        <w:t>points,</w:t>
      </w:r>
      <w:r>
        <w:rPr>
          <w:spacing w:val="30"/>
        </w:rPr>
        <w:t> </w:t>
      </w:r>
      <w:r>
        <w:rPr/>
        <w:t>which</w:t>
      </w:r>
      <w:r>
        <w:rPr>
          <w:spacing w:val="31"/>
        </w:rPr>
        <w:t> </w:t>
      </w:r>
      <w:r>
        <w:rPr/>
        <w:t>is</w:t>
      </w:r>
      <w:r>
        <w:rPr>
          <w:spacing w:val="30"/>
        </w:rPr>
        <w:t> </w:t>
      </w:r>
      <w:r>
        <w:rPr>
          <w:spacing w:val="-2"/>
        </w:rPr>
        <w:t>easily</w:t>
      </w:r>
    </w:p>
    <w:p>
      <w:pPr>
        <w:pStyle w:val="BodyText"/>
        <w:ind w:left="140"/>
      </w:pPr>
      <w:r>
        <w:rPr/>
        <w:t>$1000</w:t>
      </w:r>
      <w:r>
        <w:rPr>
          <w:spacing w:val="-9"/>
        </w:rPr>
        <w:t> </w:t>
      </w:r>
      <w:r>
        <w:rPr/>
        <w:t>per</w:t>
      </w:r>
      <w:r>
        <w:rPr>
          <w:spacing w:val="-7"/>
        </w:rPr>
        <w:t> </w:t>
      </w:r>
      <w:r>
        <w:rPr/>
        <w:t>contract</w:t>
      </w:r>
      <w:r>
        <w:rPr>
          <w:spacing w:val="-6"/>
        </w:rPr>
        <w:t> </w:t>
      </w:r>
      <w:r>
        <w:rPr>
          <w:spacing w:val="-2"/>
        </w:rPr>
        <w:t>traded.</w:t>
      </w:r>
    </w:p>
    <w:p>
      <w:pPr>
        <w:pStyle w:val="BodyText"/>
        <w:spacing w:before="1"/>
        <w:rPr>
          <w:sz w:val="20"/>
        </w:rPr>
      </w:pPr>
      <w:r>
        <w:rPr/>
        <w:drawing>
          <wp:anchor distT="0" distB="0" distL="0" distR="0" allowOverlap="1" layoutInCell="1" locked="0" behindDoc="0" simplePos="0" relativeHeight="317">
            <wp:simplePos x="0" y="0"/>
            <wp:positionH relativeFrom="page">
              <wp:posOffset>457200</wp:posOffset>
            </wp:positionH>
            <wp:positionV relativeFrom="paragraph">
              <wp:posOffset>162196</wp:posOffset>
            </wp:positionV>
            <wp:extent cx="4342089" cy="3016377"/>
            <wp:effectExtent l="0" t="0" r="0" b="0"/>
            <wp:wrapTopAndBottom/>
            <wp:docPr id="313" name="image163.png"/>
            <wp:cNvGraphicFramePr>
              <a:graphicFrameLocks noChangeAspect="1"/>
            </wp:cNvGraphicFramePr>
            <a:graphic>
              <a:graphicData uri="http://schemas.openxmlformats.org/drawingml/2006/picture">
                <pic:pic>
                  <pic:nvPicPr>
                    <pic:cNvPr id="314" name="image163.png"/>
                    <pic:cNvPicPr/>
                  </pic:nvPicPr>
                  <pic:blipFill>
                    <a:blip r:embed="rId322" cstate="print"/>
                    <a:stretch>
                      <a:fillRect/>
                    </a:stretch>
                  </pic:blipFill>
                  <pic:spPr>
                    <a:xfrm>
                      <a:off x="0" y="0"/>
                      <a:ext cx="4342089" cy="3016377"/>
                    </a:xfrm>
                    <a:prstGeom prst="rect">
                      <a:avLst/>
                    </a:prstGeom>
                  </pic:spPr>
                </pic:pic>
              </a:graphicData>
            </a:graphic>
          </wp:anchor>
        </w:drawing>
      </w:r>
    </w:p>
    <w:p>
      <w:pPr>
        <w:spacing w:before="0"/>
        <w:ind w:left="140" w:right="0" w:firstLine="0"/>
        <w:jc w:val="left"/>
        <w:rPr>
          <w:sz w:val="16"/>
        </w:rPr>
      </w:pPr>
      <w:r>
        <w:rPr>
          <w:sz w:val="16"/>
        </w:rPr>
        <w:t>FIGURE</w:t>
      </w:r>
      <w:r>
        <w:rPr>
          <w:spacing w:val="2"/>
          <w:sz w:val="16"/>
        </w:rPr>
        <w:t> </w:t>
      </w:r>
      <w:r>
        <w:rPr>
          <w:sz w:val="16"/>
        </w:rPr>
        <w:t>10.8:</w:t>
      </w:r>
      <w:r>
        <w:rPr>
          <w:spacing w:val="2"/>
          <w:sz w:val="16"/>
        </w:rPr>
        <w:t> </w:t>
      </w:r>
      <w:r>
        <w:rPr>
          <w:sz w:val="16"/>
        </w:rPr>
        <w:t>A</w:t>
      </w:r>
      <w:r>
        <w:rPr>
          <w:spacing w:val="6"/>
          <w:sz w:val="16"/>
        </w:rPr>
        <w:t> </w:t>
      </w:r>
      <w:r>
        <w:rPr>
          <w:sz w:val="16"/>
        </w:rPr>
        <w:t>bearish</w:t>
      </w:r>
      <w:r>
        <w:rPr>
          <w:spacing w:val="2"/>
          <w:sz w:val="16"/>
        </w:rPr>
        <w:t> </w:t>
      </w:r>
      <w:r>
        <w:rPr>
          <w:sz w:val="16"/>
        </w:rPr>
        <w:t>GPZ</w:t>
      </w:r>
      <w:r>
        <w:rPr>
          <w:spacing w:val="4"/>
          <w:sz w:val="16"/>
        </w:rPr>
        <w:t> </w:t>
      </w:r>
      <w:r>
        <w:rPr>
          <w:sz w:val="16"/>
        </w:rPr>
        <w:t>rejects</w:t>
      </w:r>
      <w:r>
        <w:rPr>
          <w:spacing w:val="2"/>
          <w:sz w:val="16"/>
        </w:rPr>
        <w:t> </w:t>
      </w:r>
      <w:r>
        <w:rPr>
          <w:sz w:val="16"/>
        </w:rPr>
        <w:t>price</w:t>
      </w:r>
      <w:r>
        <w:rPr>
          <w:spacing w:val="3"/>
          <w:sz w:val="16"/>
        </w:rPr>
        <w:t> </w:t>
      </w:r>
      <w:r>
        <w:rPr>
          <w:sz w:val="16"/>
        </w:rPr>
        <w:t>in</w:t>
      </w:r>
      <w:r>
        <w:rPr>
          <w:spacing w:val="2"/>
          <w:sz w:val="16"/>
        </w:rPr>
        <w:t> </w:t>
      </w:r>
      <w:r>
        <w:rPr>
          <w:sz w:val="16"/>
        </w:rPr>
        <w:t>the</w:t>
      </w:r>
      <w:r>
        <w:rPr>
          <w:spacing w:val="4"/>
          <w:sz w:val="16"/>
        </w:rPr>
        <w:t> </w:t>
      </w:r>
      <w:r>
        <w:rPr>
          <w:spacing w:val="-5"/>
          <w:sz w:val="16"/>
        </w:rPr>
        <w:t>TF</w:t>
      </w:r>
    </w:p>
    <w:p>
      <w:pPr>
        <w:pStyle w:val="BodyText"/>
        <w:spacing w:before="9"/>
        <w:rPr>
          <w:sz w:val="21"/>
        </w:rPr>
      </w:pPr>
    </w:p>
    <w:p>
      <w:pPr>
        <w:pStyle w:val="BodyText"/>
        <w:ind w:left="140" w:right="494" w:firstLine="432"/>
        <w:jc w:val="both"/>
      </w:pPr>
      <w:r>
        <w:rPr/>
        <w:t>Of all the different GPZ combinations that can be traded, the prior example illustrates probably the most powerful one that you will come</w:t>
      </w:r>
      <w:r>
        <w:rPr>
          <w:spacing w:val="40"/>
        </w:rPr>
        <w:t> </w:t>
      </w:r>
      <w:r>
        <w:rPr/>
        <w:t>across. As you may recall from Chapters 7 and 8, the H3 and L3 Camarilla levels are not just pivots; they are color-coded action levels. That is, when price approaches the H3 pivot level, traders following the Camarilla method are typically looking to sell that level. Therefore, when H3 is mixed within the central pivot range, the GPZ contains more inherent resistance. Likewise, when</w:t>
      </w:r>
      <w:r>
        <w:rPr/>
        <w:t> price approaches L3, traders following the Camarilla method are looking to buy at this level, thereby giving a bullish GPZ with this combination a stronger area of support.</w:t>
      </w:r>
    </w:p>
    <w:p>
      <w:pPr>
        <w:pStyle w:val="BodyText"/>
        <w:ind w:left="140" w:right="497" w:firstLine="432"/>
        <w:jc w:val="both"/>
      </w:pPr>
      <w:r>
        <w:rPr/>
        <w:t>The H3 and L3 combinations are the original Golden Pivot Zones, as these were the first that I discovered to be truly powerful. As I progressed with my research, I also found various other pivots that work fantastically as well, thus the addition of the Money Zone levels to the Golden Pivot family.</w:t>
      </w:r>
    </w:p>
    <w:p>
      <w:pPr>
        <w:pStyle w:val="BodyText"/>
        <w:spacing w:before="1"/>
        <w:ind w:left="140" w:right="497" w:firstLine="432"/>
        <w:jc w:val="both"/>
      </w:pPr>
      <w:r>
        <w:rPr/>
        <w:t>Let’s take a look at a forex example. Figure 10.9 shows a sixty-minute chart of the USD/GBP forex pair on February 18, 2010. The pair opened the day with early strength at the bullish GPZ, which contained the volume point of control within the central pivot range. However, nothing actionable came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7"/>
        <w:jc w:val="both"/>
      </w:pPr>
      <w:r>
        <w:rPr/>
        <w:t>of this bounce. Price later returned to the GPZ for another test, however, which turned out to be a great opportunity to buy the Dollar versus the</w:t>
      </w:r>
      <w:r>
        <w:rPr>
          <w:spacing w:val="40"/>
        </w:rPr>
        <w:t> </w:t>
      </w:r>
      <w:r>
        <w:rPr/>
        <w:t>Pound. Notice that price dropped sharply into the GPZ, forming a bullish extreme reversal pattern. Price pushed steadily higher from this zone, confirming the advance with a bullish doji reversal setup as well. Since the forex pair found strength at the GPZ after the prior day’s advance, a bullish “buy the dip” opportunity easily presented itself for a gain of nearly one hundred pips. Of course, the bounce off the GPZ was a success since we</w:t>
      </w:r>
      <w:r>
        <w:rPr>
          <w:spacing w:val="40"/>
        </w:rPr>
        <w:t> </w:t>
      </w:r>
      <w:r>
        <w:rPr/>
        <w:t>were able to put the move in context, complete with signal confirmation.</w:t>
      </w:r>
    </w:p>
    <w:p>
      <w:pPr>
        <w:pStyle w:val="BodyText"/>
        <w:spacing w:before="1"/>
        <w:rPr>
          <w:sz w:val="20"/>
        </w:rPr>
      </w:pPr>
      <w:r>
        <w:rPr/>
        <w:drawing>
          <wp:anchor distT="0" distB="0" distL="0" distR="0" allowOverlap="1" layoutInCell="1" locked="0" behindDoc="0" simplePos="0" relativeHeight="318">
            <wp:simplePos x="0" y="0"/>
            <wp:positionH relativeFrom="page">
              <wp:posOffset>685800</wp:posOffset>
            </wp:positionH>
            <wp:positionV relativeFrom="paragraph">
              <wp:posOffset>162370</wp:posOffset>
            </wp:positionV>
            <wp:extent cx="4342904" cy="3103054"/>
            <wp:effectExtent l="0" t="0" r="0" b="0"/>
            <wp:wrapTopAndBottom/>
            <wp:docPr id="315" name="image164.png"/>
            <wp:cNvGraphicFramePr>
              <a:graphicFrameLocks noChangeAspect="1"/>
            </wp:cNvGraphicFramePr>
            <a:graphic>
              <a:graphicData uri="http://schemas.openxmlformats.org/drawingml/2006/picture">
                <pic:pic>
                  <pic:nvPicPr>
                    <pic:cNvPr id="316" name="image164.png"/>
                    <pic:cNvPicPr/>
                  </pic:nvPicPr>
                  <pic:blipFill>
                    <a:blip r:embed="rId327" cstate="print"/>
                    <a:stretch>
                      <a:fillRect/>
                    </a:stretch>
                  </pic:blipFill>
                  <pic:spPr>
                    <a:xfrm>
                      <a:off x="0" y="0"/>
                      <a:ext cx="4342904" cy="3103054"/>
                    </a:xfrm>
                    <a:prstGeom prst="rect">
                      <a:avLst/>
                    </a:prstGeom>
                  </pic:spPr>
                </pic:pic>
              </a:graphicData>
            </a:graphic>
          </wp:anchor>
        </w:drawing>
      </w:r>
    </w:p>
    <w:p>
      <w:pPr>
        <w:spacing w:before="0"/>
        <w:ind w:left="500" w:right="0" w:firstLine="0"/>
        <w:jc w:val="both"/>
        <w:rPr>
          <w:sz w:val="16"/>
        </w:rPr>
      </w:pPr>
      <w:r>
        <w:rPr>
          <w:sz w:val="16"/>
        </w:rPr>
        <w:t>FIGURE 10.9:</w:t>
      </w:r>
      <w:r>
        <w:rPr>
          <w:spacing w:val="1"/>
          <w:sz w:val="16"/>
        </w:rPr>
        <w:t> </w:t>
      </w:r>
      <w:r>
        <w:rPr>
          <w:sz w:val="16"/>
        </w:rPr>
        <w:t>A</w:t>
      </w:r>
      <w:r>
        <w:rPr>
          <w:spacing w:val="4"/>
          <w:sz w:val="16"/>
        </w:rPr>
        <w:t> </w:t>
      </w:r>
      <w:r>
        <w:rPr>
          <w:sz w:val="16"/>
        </w:rPr>
        <w:t>GPZ</w:t>
      </w:r>
      <w:r>
        <w:rPr>
          <w:spacing w:val="1"/>
          <w:sz w:val="16"/>
        </w:rPr>
        <w:t> </w:t>
      </w:r>
      <w:r>
        <w:rPr>
          <w:sz w:val="16"/>
        </w:rPr>
        <w:t>forms</w:t>
      </w:r>
      <w:r>
        <w:rPr>
          <w:spacing w:val="1"/>
          <w:sz w:val="16"/>
        </w:rPr>
        <w:t> </w:t>
      </w:r>
      <w:r>
        <w:rPr>
          <w:sz w:val="16"/>
        </w:rPr>
        <w:t>in</w:t>
      </w:r>
      <w:r>
        <w:rPr>
          <w:spacing w:val="1"/>
          <w:sz w:val="16"/>
        </w:rPr>
        <w:t> </w:t>
      </w:r>
      <w:r>
        <w:rPr>
          <w:sz w:val="16"/>
        </w:rPr>
        <w:t>a</w:t>
      </w:r>
      <w:r>
        <w:rPr>
          <w:spacing w:val="1"/>
          <w:sz w:val="16"/>
        </w:rPr>
        <w:t> </w:t>
      </w:r>
      <w:r>
        <w:rPr>
          <w:sz w:val="16"/>
        </w:rPr>
        <w:t>bullish trend</w:t>
      </w:r>
      <w:r>
        <w:rPr>
          <w:spacing w:val="1"/>
          <w:sz w:val="16"/>
        </w:rPr>
        <w:t> </w:t>
      </w:r>
      <w:r>
        <w:rPr>
          <w:sz w:val="16"/>
        </w:rPr>
        <w:t>and</w:t>
      </w:r>
      <w:r>
        <w:rPr>
          <w:spacing w:val="1"/>
          <w:sz w:val="16"/>
        </w:rPr>
        <w:t> </w:t>
      </w:r>
      <w:r>
        <w:rPr>
          <w:sz w:val="16"/>
        </w:rPr>
        <w:t>leads</w:t>
      </w:r>
      <w:r>
        <w:rPr>
          <w:spacing w:val="1"/>
          <w:sz w:val="16"/>
        </w:rPr>
        <w:t> </w:t>
      </w:r>
      <w:r>
        <w:rPr>
          <w:sz w:val="16"/>
        </w:rPr>
        <w:t>to a</w:t>
      </w:r>
      <w:r>
        <w:rPr>
          <w:spacing w:val="1"/>
          <w:sz w:val="16"/>
        </w:rPr>
        <w:t> </w:t>
      </w:r>
      <w:r>
        <w:rPr>
          <w:sz w:val="16"/>
        </w:rPr>
        <w:t>bounce</w:t>
      </w:r>
      <w:r>
        <w:rPr>
          <w:spacing w:val="1"/>
          <w:sz w:val="16"/>
        </w:rPr>
        <w:t> </w:t>
      </w:r>
      <w:r>
        <w:rPr>
          <w:sz w:val="16"/>
        </w:rPr>
        <w:t>in </w:t>
      </w:r>
      <w:r>
        <w:rPr>
          <w:spacing w:val="-2"/>
          <w:sz w:val="16"/>
        </w:rPr>
        <w:t>USD/GBP.</w:t>
      </w:r>
    </w:p>
    <w:p>
      <w:pPr>
        <w:pStyle w:val="BodyText"/>
        <w:spacing w:before="9"/>
        <w:rPr>
          <w:sz w:val="21"/>
        </w:rPr>
      </w:pPr>
    </w:p>
    <w:p>
      <w:pPr>
        <w:pStyle w:val="BodyText"/>
        <w:ind w:left="499"/>
        <w:jc w:val="both"/>
      </w:pPr>
      <w:r>
        <w:rPr/>
        <w:t>BOSS</w:t>
      </w:r>
      <w:r>
        <w:rPr>
          <w:spacing w:val="-5"/>
        </w:rPr>
        <w:t> </w:t>
      </w:r>
      <w:r>
        <w:rPr/>
        <w:t>IN</w:t>
      </w:r>
      <w:r>
        <w:rPr>
          <w:spacing w:val="-5"/>
        </w:rPr>
        <w:t> </w:t>
      </w:r>
      <w:r>
        <w:rPr>
          <w:spacing w:val="-2"/>
        </w:rPr>
        <w:t>ACTION</w:t>
      </w:r>
    </w:p>
    <w:p>
      <w:pPr>
        <w:pStyle w:val="BodyText"/>
        <w:spacing w:before="11"/>
        <w:rPr>
          <w:sz w:val="21"/>
        </w:rPr>
      </w:pPr>
    </w:p>
    <w:p>
      <w:pPr>
        <w:pStyle w:val="BodyText"/>
        <w:ind w:left="499" w:right="134" w:firstLine="432"/>
        <w:jc w:val="both"/>
      </w:pPr>
      <w:r>
        <w:rPr/>
        <w:t>Since it is my strong belief that the Golden Pivot Zone is a confluence powerhouse, I have set up my trading platform (OmniTrader Professional) to filter through my focus list of stocks and futures automatically to find this relationship in real time. It’s a basic scan with a few simple lines of code that looks for the general GPZ criteria that we have covered in this chapter (i.e., TC &gt;= POC &gt;= BC) and automatically assigns each symbol in my list a True or False grade depending on whether the criteria has been met on that particular day. It goes without saying that the symbols that are found by the</w:t>
      </w:r>
    </w:p>
    <w:p>
      <w:pPr>
        <w:pStyle w:val="BodyText"/>
        <w:tabs>
          <w:tab w:pos="7369" w:val="left" w:leader="none"/>
        </w:tabs>
        <w:spacing w:before="1"/>
        <w:ind w:left="470"/>
        <w:jc w:val="both"/>
      </w:pPr>
      <w:r>
        <w:rPr>
          <w:spacing w:val="-26"/>
          <w:u w:val="single"/>
        </w:rPr>
        <w:t> </w:t>
      </w:r>
      <w:r>
        <w:rPr>
          <w:u w:val="single"/>
        </w:rPr>
        <w:t>scan</w:t>
      </w:r>
      <w:r>
        <w:rPr>
          <w:spacing w:val="-7"/>
          <w:u w:val="single"/>
        </w:rPr>
        <w:t> </w:t>
      </w:r>
      <w:r>
        <w:rPr>
          <w:u w:val="single"/>
        </w:rPr>
        <w:t>get</w:t>
      </w:r>
      <w:r>
        <w:rPr>
          <w:spacing w:val="-2"/>
          <w:u w:val="single"/>
        </w:rPr>
        <w:t> </w:t>
      </w:r>
      <w:r>
        <w:rPr>
          <w:u w:val="single"/>
        </w:rPr>
        <w:t>my</w:t>
      </w:r>
      <w:r>
        <w:rPr>
          <w:spacing w:val="-4"/>
          <w:u w:val="single"/>
        </w:rPr>
        <w:t> </w:t>
      </w:r>
      <w:r>
        <w:rPr>
          <w:u w:val="single"/>
        </w:rPr>
        <w:t>immediate</w:t>
      </w:r>
      <w:r>
        <w:rPr>
          <w:spacing w:val="-3"/>
          <w:u w:val="single"/>
        </w:rPr>
        <w:t> </w:t>
      </w:r>
      <w:r>
        <w:rPr>
          <w:u w:val="single"/>
        </w:rPr>
        <w:t>attention</w:t>
      </w:r>
      <w:r>
        <w:rPr>
          <w:spacing w:val="-4"/>
          <w:u w:val="single"/>
        </w:rPr>
        <w:t> </w:t>
      </w:r>
      <w:r>
        <w:rPr>
          <w:u w:val="single"/>
        </w:rPr>
        <w:t>to</w:t>
      </w:r>
      <w:r>
        <w:rPr>
          <w:spacing w:val="-5"/>
          <w:u w:val="single"/>
        </w:rPr>
        <w:t> </w:t>
      </w:r>
      <w:r>
        <w:rPr>
          <w:u w:val="single"/>
        </w:rPr>
        <w:t>begin</w:t>
      </w:r>
      <w:r>
        <w:rPr>
          <w:spacing w:val="-4"/>
          <w:u w:val="single"/>
        </w:rPr>
        <w:t> </w:t>
      </w:r>
      <w:r>
        <w:rPr>
          <w:u w:val="single"/>
        </w:rPr>
        <w:t>the</w:t>
      </w:r>
      <w:r>
        <w:rPr>
          <w:spacing w:val="-3"/>
          <w:u w:val="single"/>
        </w:rPr>
        <w:t> </w:t>
      </w:r>
      <w:r>
        <w:rPr>
          <w:spacing w:val="-4"/>
          <w:u w:val="single"/>
        </w:rPr>
        <w:t>day.</w:t>
      </w:r>
      <w:r>
        <w:rPr>
          <w:u w:val="single"/>
        </w:rPr>
        <w:tab/>
      </w:r>
    </w:p>
    <w:p>
      <w:pPr>
        <w:spacing w:after="0"/>
        <w:jc w:val="both"/>
        <w:sectPr>
          <w:headerReference w:type="default" r:id="rId323"/>
          <w:headerReference w:type="even" r:id="rId324"/>
          <w:footerReference w:type="default" r:id="rId325"/>
          <w:footerReference w:type="even" r:id="rId326"/>
          <w:pgSz w:w="8640" w:h="12960"/>
          <w:pgMar w:header="536" w:footer="985" w:top="720" w:bottom="1180" w:left="580" w:right="580"/>
          <w:pgNumType w:start="271"/>
        </w:sectPr>
      </w:pPr>
    </w:p>
    <w:p>
      <w:pPr>
        <w:pStyle w:val="BodyText"/>
        <w:spacing w:before="5"/>
        <w:rPr>
          <w:sz w:val="18"/>
        </w:rPr>
      </w:pPr>
    </w:p>
    <w:p>
      <w:pPr>
        <w:pStyle w:val="BodyText"/>
        <w:spacing w:before="64"/>
        <w:ind w:left="140" w:right="496" w:firstLine="432"/>
        <w:jc w:val="both"/>
      </w:pPr>
      <w:r>
        <w:rPr/>
        <w:t>However, if you do your homework on the key symbols that you trade the night before, you will have advanced notice that an important pivot setup will form in the upcoming session. Using the developing suite of indicators that we have covered throughout the book, you can see all of the important pivot relationships that I have discussed, from two-day relationships, pivot width relationships, and even multiple pivot hot zones.</w:t>
      </w:r>
    </w:p>
    <w:p>
      <w:pPr>
        <w:pStyle w:val="BodyText"/>
        <w:ind w:left="140" w:right="495" w:firstLine="432"/>
        <w:jc w:val="both"/>
      </w:pPr>
      <w:r>
        <w:rPr/>
        <w:t>Take a look at Figure 10.10, which is a fifteen-minute chart of the E- Mini Russell 2000 futures contract. The Developing Pivot Range and Developing Point of Control indicators reveal a bullish Golden Pivot Zone</w:t>
      </w:r>
      <w:r>
        <w:rPr>
          <w:spacing w:val="40"/>
        </w:rPr>
        <w:t> </w:t>
      </w:r>
      <w:r>
        <w:rPr/>
        <w:t>for the following day, whereby the Point of Control will be within the boundaries of the central pivot range. Also, the pivot range has developed a two-day Overlapping Higher Value relationship, which indicates strength for the next session. From this information, we can gather that there is a heavy confluence of support from 595 to 597. If the market opens above or within this range, we will look to buy a pull-back to this hot zone. If the market opens below 595 all bets are off for longs and we will turn our attention to</w:t>
      </w:r>
      <w:r>
        <w:rPr>
          <w:spacing w:val="40"/>
        </w:rPr>
        <w:t> </w:t>
      </w:r>
      <w:r>
        <w:rPr/>
        <w:t>the short side given the right opportunity.</w:t>
      </w:r>
    </w:p>
    <w:p>
      <w:pPr>
        <w:pStyle w:val="BodyText"/>
        <w:spacing w:before="2"/>
        <w:rPr>
          <w:sz w:val="20"/>
        </w:rPr>
      </w:pPr>
      <w:r>
        <w:rPr/>
        <w:drawing>
          <wp:anchor distT="0" distB="0" distL="0" distR="0" allowOverlap="1" layoutInCell="1" locked="0" behindDoc="0" simplePos="0" relativeHeight="319">
            <wp:simplePos x="0" y="0"/>
            <wp:positionH relativeFrom="page">
              <wp:posOffset>457200</wp:posOffset>
            </wp:positionH>
            <wp:positionV relativeFrom="paragraph">
              <wp:posOffset>162782</wp:posOffset>
            </wp:positionV>
            <wp:extent cx="4342904" cy="3103054"/>
            <wp:effectExtent l="0" t="0" r="0" b="0"/>
            <wp:wrapTopAndBottom/>
            <wp:docPr id="317" name="image165.png"/>
            <wp:cNvGraphicFramePr>
              <a:graphicFrameLocks noChangeAspect="1"/>
            </wp:cNvGraphicFramePr>
            <a:graphic>
              <a:graphicData uri="http://schemas.openxmlformats.org/drawingml/2006/picture">
                <pic:pic>
                  <pic:nvPicPr>
                    <pic:cNvPr id="318" name="image165.png"/>
                    <pic:cNvPicPr/>
                  </pic:nvPicPr>
                  <pic:blipFill>
                    <a:blip r:embed="rId328" cstate="print"/>
                    <a:stretch>
                      <a:fillRect/>
                    </a:stretch>
                  </pic:blipFill>
                  <pic:spPr>
                    <a:xfrm>
                      <a:off x="0" y="0"/>
                      <a:ext cx="4342904" cy="3103054"/>
                    </a:xfrm>
                    <a:prstGeom prst="rect">
                      <a:avLst/>
                    </a:prstGeom>
                  </pic:spPr>
                </pic:pic>
              </a:graphicData>
            </a:graphic>
          </wp:anchor>
        </w:drawing>
      </w:r>
    </w:p>
    <w:p>
      <w:pPr>
        <w:spacing w:before="0"/>
        <w:ind w:left="140" w:right="0" w:firstLine="0"/>
        <w:jc w:val="left"/>
        <w:rPr>
          <w:sz w:val="16"/>
        </w:rPr>
      </w:pPr>
      <w:r>
        <w:rPr>
          <w:sz w:val="16"/>
        </w:rPr>
        <w:t>FIGURE 10.10: The developing</w:t>
      </w:r>
      <w:r>
        <w:rPr>
          <w:spacing w:val="1"/>
          <w:sz w:val="16"/>
        </w:rPr>
        <w:t> </w:t>
      </w:r>
      <w:r>
        <w:rPr>
          <w:sz w:val="16"/>
        </w:rPr>
        <w:t>indicators reveal</w:t>
      </w:r>
      <w:r>
        <w:rPr>
          <w:spacing w:val="1"/>
          <w:sz w:val="16"/>
        </w:rPr>
        <w:t> </w:t>
      </w:r>
      <w:r>
        <w:rPr>
          <w:sz w:val="16"/>
        </w:rPr>
        <w:t>a GPZ</w:t>
      </w:r>
      <w:r>
        <w:rPr>
          <w:spacing w:val="1"/>
          <w:sz w:val="16"/>
        </w:rPr>
        <w:t> </w:t>
      </w:r>
      <w:r>
        <w:rPr>
          <w:sz w:val="16"/>
        </w:rPr>
        <w:t>for the next session</w:t>
      </w:r>
      <w:r>
        <w:rPr>
          <w:spacing w:val="1"/>
          <w:sz w:val="16"/>
        </w:rPr>
        <w:t> </w:t>
      </w:r>
      <w:r>
        <w:rPr>
          <w:sz w:val="16"/>
        </w:rPr>
        <w:t>in the </w:t>
      </w:r>
      <w:r>
        <w:rPr>
          <w:spacing w:val="-5"/>
          <w:sz w:val="16"/>
        </w:rPr>
        <w:t>TF.</w:t>
      </w:r>
    </w:p>
    <w:p>
      <w:pPr>
        <w:pStyle w:val="BodyText"/>
        <w:spacing w:before="8"/>
        <w:rPr>
          <w:sz w:val="21"/>
        </w:rPr>
      </w:pPr>
    </w:p>
    <w:p>
      <w:pPr>
        <w:pStyle w:val="BodyText"/>
        <w:ind w:left="140" w:right="498" w:firstLine="432"/>
        <w:jc w:val="right"/>
      </w:pPr>
      <w:r>
        <w:rPr/>
        <w:t>If we fast forward to the next day, you see that price opened the session with</w:t>
      </w:r>
      <w:r>
        <w:rPr>
          <w:spacing w:val="42"/>
        </w:rPr>
        <w:t> </w:t>
      </w:r>
      <w:r>
        <w:rPr/>
        <w:t>a</w:t>
      </w:r>
      <w:r>
        <w:rPr>
          <w:spacing w:val="43"/>
        </w:rPr>
        <w:t> </w:t>
      </w:r>
      <w:r>
        <w:rPr/>
        <w:t>gap</w:t>
      </w:r>
      <w:r>
        <w:rPr>
          <w:spacing w:val="43"/>
        </w:rPr>
        <w:t> </w:t>
      </w:r>
      <w:r>
        <w:rPr/>
        <w:t>above</w:t>
      </w:r>
      <w:r>
        <w:rPr>
          <w:spacing w:val="43"/>
        </w:rPr>
        <w:t> </w:t>
      </w:r>
      <w:r>
        <w:rPr/>
        <w:t>the</w:t>
      </w:r>
      <w:r>
        <w:rPr>
          <w:spacing w:val="42"/>
        </w:rPr>
        <w:t> </w:t>
      </w:r>
      <w:r>
        <w:rPr/>
        <w:t>day’s</w:t>
      </w:r>
      <w:r>
        <w:rPr>
          <w:spacing w:val="43"/>
        </w:rPr>
        <w:t> </w:t>
      </w:r>
      <w:r>
        <w:rPr/>
        <w:t>GPZ,</w:t>
      </w:r>
      <w:r>
        <w:rPr>
          <w:spacing w:val="43"/>
        </w:rPr>
        <w:t> </w:t>
      </w:r>
      <w:r>
        <w:rPr/>
        <w:t>which</w:t>
      </w:r>
      <w:r>
        <w:rPr>
          <w:spacing w:val="43"/>
        </w:rPr>
        <w:t> </w:t>
      </w:r>
      <w:r>
        <w:rPr/>
        <w:t>set</w:t>
      </w:r>
      <w:r>
        <w:rPr>
          <w:spacing w:val="43"/>
        </w:rPr>
        <w:t> </w:t>
      </w:r>
      <w:r>
        <w:rPr/>
        <w:t>up</w:t>
      </w:r>
      <w:r>
        <w:rPr>
          <w:spacing w:val="42"/>
        </w:rPr>
        <w:t> </w:t>
      </w:r>
      <w:r>
        <w:rPr/>
        <w:t>nicely</w:t>
      </w:r>
      <w:r>
        <w:rPr>
          <w:spacing w:val="43"/>
        </w:rPr>
        <w:t> </w:t>
      </w:r>
      <w:r>
        <w:rPr/>
        <w:t>for</w:t>
      </w:r>
      <w:r>
        <w:rPr>
          <w:spacing w:val="42"/>
        </w:rPr>
        <w:t> </w:t>
      </w:r>
      <w:r>
        <w:rPr/>
        <w:t>a</w:t>
      </w:r>
      <w:r>
        <w:rPr>
          <w:spacing w:val="43"/>
        </w:rPr>
        <w:t> </w:t>
      </w:r>
      <w:r>
        <w:rPr/>
        <w:t>bullish</w:t>
      </w:r>
      <w:r>
        <w:rPr>
          <w:spacing w:val="43"/>
        </w:rPr>
        <w:t> </w:t>
      </w:r>
      <w:r>
        <w:rPr>
          <w:spacing w:val="-4"/>
        </w:rPr>
        <w:t>play</w:t>
      </w:r>
    </w:p>
    <w:p>
      <w:pPr>
        <w:pStyle w:val="BodyText"/>
        <w:spacing w:before="1"/>
        <w:ind w:right="497"/>
        <w:jc w:val="right"/>
      </w:pPr>
      <w:r>
        <w:rPr>
          <w:spacing w:val="-26"/>
          <w:u w:val="single"/>
        </w:rPr>
        <w:t> </w:t>
      </w:r>
      <w:r>
        <w:rPr>
          <w:u w:val="single"/>
        </w:rPr>
        <w:t>(Figure 10.11).</w:t>
      </w:r>
      <w:r>
        <w:rPr>
          <w:spacing w:val="3"/>
          <w:u w:val="single"/>
        </w:rPr>
        <w:t> </w:t>
      </w:r>
      <w:r>
        <w:rPr>
          <w:u w:val="single"/>
        </w:rPr>
        <w:t>The</w:t>
      </w:r>
      <w:r>
        <w:rPr>
          <w:spacing w:val="3"/>
          <w:u w:val="single"/>
        </w:rPr>
        <w:t> </w:t>
      </w:r>
      <w:r>
        <w:rPr>
          <w:u w:val="single"/>
        </w:rPr>
        <w:t>TF</w:t>
      </w:r>
      <w:r>
        <w:rPr>
          <w:spacing w:val="3"/>
          <w:u w:val="single"/>
        </w:rPr>
        <w:t> </w:t>
      </w:r>
      <w:r>
        <w:rPr>
          <w:u w:val="single"/>
        </w:rPr>
        <w:t>actually</w:t>
      </w:r>
      <w:r>
        <w:rPr>
          <w:spacing w:val="2"/>
          <w:u w:val="single"/>
        </w:rPr>
        <w:t> </w:t>
      </w:r>
      <w:r>
        <w:rPr>
          <w:u w:val="single"/>
        </w:rPr>
        <w:t>performed</w:t>
      </w:r>
      <w:r>
        <w:rPr>
          <w:spacing w:val="3"/>
          <w:u w:val="single"/>
        </w:rPr>
        <w:t> </w:t>
      </w:r>
      <w:r>
        <w:rPr>
          <w:u w:val="single"/>
        </w:rPr>
        <w:t>a</w:t>
      </w:r>
      <w:r>
        <w:rPr>
          <w:spacing w:val="3"/>
          <w:u w:val="single"/>
        </w:rPr>
        <w:t> </w:t>
      </w:r>
      <w:r>
        <w:rPr>
          <w:u w:val="single"/>
        </w:rPr>
        <w:t>beautiful</w:t>
      </w:r>
      <w:r>
        <w:rPr>
          <w:spacing w:val="2"/>
          <w:u w:val="single"/>
        </w:rPr>
        <w:t> </w:t>
      </w:r>
      <w:r>
        <w:rPr>
          <w:u w:val="single"/>
        </w:rPr>
        <w:t>Magnet</w:t>
      </w:r>
      <w:r>
        <w:rPr>
          <w:spacing w:val="3"/>
          <w:u w:val="single"/>
        </w:rPr>
        <w:t> </w:t>
      </w:r>
      <w:r>
        <w:rPr>
          <w:u w:val="single"/>
        </w:rPr>
        <w:t>Trade</w:t>
      </w:r>
      <w:r>
        <w:rPr>
          <w:spacing w:val="3"/>
          <w:u w:val="single"/>
        </w:rPr>
        <w:t> </w:t>
      </w:r>
      <w:r>
        <w:rPr>
          <w:u w:val="single"/>
        </w:rPr>
        <w:t>prior</w:t>
      </w:r>
      <w:r>
        <w:rPr>
          <w:spacing w:val="3"/>
          <w:u w:val="single"/>
        </w:rPr>
        <w:t> </w:t>
      </w:r>
      <w:r>
        <w:rPr>
          <w:spacing w:val="-5"/>
          <w:u w:val="single"/>
        </w:rPr>
        <w:t>to</w:t>
      </w:r>
    </w:p>
    <w:p>
      <w:pPr>
        <w:spacing w:after="0"/>
        <w:jc w:val="right"/>
        <w:sectPr>
          <w:pgSz w:w="8640" w:h="12960"/>
          <w:pgMar w:header="579" w:footer="985" w:top="760" w:bottom="1180" w:left="580" w:right="580"/>
        </w:sectPr>
      </w:pPr>
    </w:p>
    <w:p>
      <w:pPr>
        <w:pStyle w:val="BodyText"/>
        <w:spacing w:before="3"/>
      </w:pPr>
    </w:p>
    <w:p>
      <w:pPr>
        <w:pStyle w:val="BodyText"/>
        <w:spacing w:before="64"/>
        <w:ind w:left="500" w:right="134"/>
        <w:jc w:val="both"/>
      </w:pPr>
      <w:r>
        <w:rPr/>
        <w:t>the test at the bullish GPZ, but I had my sights set on the bounce play. After filling the morning gap, the TF cautiously tested the Golden Pivot Zone at around</w:t>
      </w:r>
      <w:r>
        <w:rPr>
          <w:spacing w:val="-2"/>
        </w:rPr>
        <w:t> </w:t>
      </w:r>
      <w:r>
        <w:rPr/>
        <w:t>596,</w:t>
      </w:r>
      <w:r>
        <w:rPr>
          <w:spacing w:val="-2"/>
        </w:rPr>
        <w:t> </w:t>
      </w:r>
      <w:r>
        <w:rPr/>
        <w:t>forming</w:t>
      </w:r>
      <w:r>
        <w:rPr>
          <w:spacing w:val="-2"/>
        </w:rPr>
        <w:t> </w:t>
      </w:r>
      <w:r>
        <w:rPr/>
        <w:t>a</w:t>
      </w:r>
      <w:r>
        <w:rPr>
          <w:spacing w:val="-2"/>
        </w:rPr>
        <w:t> </w:t>
      </w:r>
      <w:r>
        <w:rPr/>
        <w:t>highly</w:t>
      </w:r>
      <w:r>
        <w:rPr>
          <w:spacing w:val="-2"/>
        </w:rPr>
        <w:t> </w:t>
      </w:r>
      <w:r>
        <w:rPr/>
        <w:t>bullish</w:t>
      </w:r>
      <w:r>
        <w:rPr>
          <w:spacing w:val="-2"/>
        </w:rPr>
        <w:t> </w:t>
      </w:r>
      <w:r>
        <w:rPr/>
        <w:t>wick</w:t>
      </w:r>
      <w:r>
        <w:rPr>
          <w:spacing w:val="-2"/>
        </w:rPr>
        <w:t> </w:t>
      </w:r>
      <w:r>
        <w:rPr/>
        <w:t>reversal</w:t>
      </w:r>
      <w:r>
        <w:rPr>
          <w:spacing w:val="-1"/>
        </w:rPr>
        <w:t> </w:t>
      </w:r>
      <w:r>
        <w:rPr/>
        <w:t>setup,</w:t>
      </w:r>
      <w:r>
        <w:rPr>
          <w:spacing w:val="-2"/>
        </w:rPr>
        <w:t> </w:t>
      </w:r>
      <w:r>
        <w:rPr/>
        <w:t>which</w:t>
      </w:r>
      <w:r>
        <w:rPr>
          <w:spacing w:val="-2"/>
        </w:rPr>
        <w:t> </w:t>
      </w:r>
      <w:r>
        <w:rPr/>
        <w:t>triggered</w:t>
      </w:r>
      <w:r>
        <w:rPr>
          <w:spacing w:val="-2"/>
        </w:rPr>
        <w:t> </w:t>
      </w:r>
      <w:r>
        <w:rPr/>
        <w:t>my entry at 598. After the entry, I used a 1.5 ATR trailing profit stop in anticipation of a push to two-week resistance at 606.50, which also corresponded with the H5 Cam level. Ultimately, my trade session boundary stop automatically liquidated my trade just before the close of the market at 605.90, completing a 7.9-point trade worth $790 per contract traded.</w:t>
      </w:r>
    </w:p>
    <w:p>
      <w:pPr>
        <w:pStyle w:val="BodyText"/>
        <w:spacing w:before="1"/>
        <w:rPr>
          <w:sz w:val="20"/>
        </w:rPr>
      </w:pPr>
      <w:r>
        <w:rPr/>
        <w:drawing>
          <wp:anchor distT="0" distB="0" distL="0" distR="0" allowOverlap="1" layoutInCell="1" locked="0" behindDoc="0" simplePos="0" relativeHeight="320">
            <wp:simplePos x="0" y="0"/>
            <wp:positionH relativeFrom="page">
              <wp:posOffset>685800</wp:posOffset>
            </wp:positionH>
            <wp:positionV relativeFrom="paragraph">
              <wp:posOffset>162229</wp:posOffset>
            </wp:positionV>
            <wp:extent cx="4342239" cy="3111722"/>
            <wp:effectExtent l="0" t="0" r="0" b="0"/>
            <wp:wrapTopAndBottom/>
            <wp:docPr id="319" name="image166.png"/>
            <wp:cNvGraphicFramePr>
              <a:graphicFrameLocks noChangeAspect="1"/>
            </wp:cNvGraphicFramePr>
            <a:graphic>
              <a:graphicData uri="http://schemas.openxmlformats.org/drawingml/2006/picture">
                <pic:pic>
                  <pic:nvPicPr>
                    <pic:cNvPr id="320" name="image166.png"/>
                    <pic:cNvPicPr/>
                  </pic:nvPicPr>
                  <pic:blipFill>
                    <a:blip r:embed="rId329" cstate="print"/>
                    <a:stretch>
                      <a:fillRect/>
                    </a:stretch>
                  </pic:blipFill>
                  <pic:spPr>
                    <a:xfrm>
                      <a:off x="0" y="0"/>
                      <a:ext cx="4342239" cy="3111722"/>
                    </a:xfrm>
                    <a:prstGeom prst="rect">
                      <a:avLst/>
                    </a:prstGeom>
                  </pic:spPr>
                </pic:pic>
              </a:graphicData>
            </a:graphic>
          </wp:anchor>
        </w:drawing>
      </w:r>
    </w:p>
    <w:p>
      <w:pPr>
        <w:spacing w:before="0"/>
        <w:ind w:left="500" w:right="0" w:firstLine="0"/>
        <w:jc w:val="both"/>
        <w:rPr>
          <w:sz w:val="16"/>
        </w:rPr>
      </w:pPr>
      <w:r>
        <w:rPr>
          <w:sz w:val="16"/>
        </w:rPr>
        <w:t>FIGURE</w:t>
      </w:r>
      <w:r>
        <w:rPr>
          <w:spacing w:val="1"/>
          <w:sz w:val="16"/>
        </w:rPr>
        <w:t> </w:t>
      </w:r>
      <w:r>
        <w:rPr>
          <w:sz w:val="16"/>
        </w:rPr>
        <w:t>10.11:</w:t>
      </w:r>
      <w:r>
        <w:rPr>
          <w:spacing w:val="2"/>
          <w:sz w:val="16"/>
        </w:rPr>
        <w:t> </w:t>
      </w:r>
      <w:r>
        <w:rPr>
          <w:sz w:val="16"/>
        </w:rPr>
        <w:t>E-Mini</w:t>
      </w:r>
      <w:r>
        <w:rPr>
          <w:spacing w:val="2"/>
          <w:sz w:val="16"/>
        </w:rPr>
        <w:t> </w:t>
      </w:r>
      <w:r>
        <w:rPr>
          <w:sz w:val="16"/>
        </w:rPr>
        <w:t>Russell</w:t>
      </w:r>
      <w:r>
        <w:rPr>
          <w:spacing w:val="2"/>
          <w:sz w:val="16"/>
        </w:rPr>
        <w:t> </w:t>
      </w:r>
      <w:r>
        <w:rPr>
          <w:sz w:val="16"/>
        </w:rPr>
        <w:t>2000</w:t>
      </w:r>
      <w:r>
        <w:rPr>
          <w:spacing w:val="2"/>
          <w:sz w:val="16"/>
        </w:rPr>
        <w:t> </w:t>
      </w:r>
      <w:r>
        <w:rPr>
          <w:sz w:val="16"/>
        </w:rPr>
        <w:t>responds</w:t>
      </w:r>
      <w:r>
        <w:rPr>
          <w:spacing w:val="2"/>
          <w:sz w:val="16"/>
        </w:rPr>
        <w:t> </w:t>
      </w:r>
      <w:r>
        <w:rPr>
          <w:sz w:val="16"/>
        </w:rPr>
        <w:t>to</w:t>
      </w:r>
      <w:r>
        <w:rPr>
          <w:spacing w:val="2"/>
          <w:sz w:val="16"/>
        </w:rPr>
        <w:t> </w:t>
      </w:r>
      <w:r>
        <w:rPr>
          <w:sz w:val="16"/>
        </w:rPr>
        <w:t>a</w:t>
      </w:r>
      <w:r>
        <w:rPr>
          <w:spacing w:val="2"/>
          <w:sz w:val="16"/>
        </w:rPr>
        <w:t> </w:t>
      </w:r>
      <w:r>
        <w:rPr>
          <w:sz w:val="16"/>
        </w:rPr>
        <w:t>bullish</w:t>
      </w:r>
      <w:r>
        <w:rPr>
          <w:spacing w:val="2"/>
          <w:sz w:val="16"/>
        </w:rPr>
        <w:t> </w:t>
      </w:r>
      <w:r>
        <w:rPr>
          <w:spacing w:val="-5"/>
          <w:sz w:val="16"/>
        </w:rPr>
        <w:t>GPZ</w:t>
      </w:r>
    </w:p>
    <w:p>
      <w:pPr>
        <w:pStyle w:val="BodyText"/>
        <w:spacing w:before="9"/>
        <w:rPr>
          <w:sz w:val="21"/>
        </w:rPr>
      </w:pPr>
    </w:p>
    <w:p>
      <w:pPr>
        <w:pStyle w:val="BodyText"/>
        <w:ind w:left="499" w:right="136" w:firstLine="432"/>
        <w:jc w:val="both"/>
      </w:pPr>
      <w:r>
        <w:rPr/>
        <w:t>Preparedness led to the successful outcome of this trade. Form an opinion about the upcoming day by doing your homework before the market opens. Without an opinion, or theory, how will you anticipate market behavior? The pivots give you leading information to help you develop your plans before the first tick of the market is recorded. With the use of developing</w:t>
      </w:r>
      <w:r>
        <w:rPr>
          <w:spacing w:val="-3"/>
        </w:rPr>
        <w:t> </w:t>
      </w:r>
      <w:r>
        <w:rPr/>
        <w:t>pivot</w:t>
      </w:r>
      <w:r>
        <w:rPr>
          <w:spacing w:val="-2"/>
        </w:rPr>
        <w:t> </w:t>
      </w:r>
      <w:r>
        <w:rPr/>
        <w:t>indicators,</w:t>
      </w:r>
      <w:r>
        <w:rPr>
          <w:spacing w:val="-3"/>
        </w:rPr>
        <w:t> </w:t>
      </w:r>
      <w:r>
        <w:rPr/>
        <w:t>you</w:t>
      </w:r>
      <w:r>
        <w:rPr>
          <w:spacing w:val="-2"/>
        </w:rPr>
        <w:t> </w:t>
      </w:r>
      <w:r>
        <w:rPr/>
        <w:t>can</w:t>
      </w:r>
      <w:r>
        <w:rPr>
          <w:spacing w:val="-2"/>
        </w:rPr>
        <w:t> </w:t>
      </w:r>
      <w:r>
        <w:rPr/>
        <w:t>see</w:t>
      </w:r>
      <w:r>
        <w:rPr>
          <w:spacing w:val="-2"/>
        </w:rPr>
        <w:t> </w:t>
      </w:r>
      <w:r>
        <w:rPr/>
        <w:t>all</w:t>
      </w:r>
      <w:r>
        <w:rPr>
          <w:spacing w:val="-2"/>
        </w:rPr>
        <w:t> </w:t>
      </w:r>
      <w:r>
        <w:rPr/>
        <w:t>of</w:t>
      </w:r>
      <w:r>
        <w:rPr>
          <w:spacing w:val="-2"/>
        </w:rPr>
        <w:t> </w:t>
      </w:r>
      <w:r>
        <w:rPr/>
        <w:t>the</w:t>
      </w:r>
      <w:r>
        <w:rPr>
          <w:spacing w:val="-2"/>
        </w:rPr>
        <w:t> </w:t>
      </w:r>
      <w:r>
        <w:rPr/>
        <w:t>major</w:t>
      </w:r>
      <w:r>
        <w:rPr>
          <w:spacing w:val="-2"/>
        </w:rPr>
        <w:t> </w:t>
      </w:r>
      <w:r>
        <w:rPr/>
        <w:t>relationships</w:t>
      </w:r>
      <w:r>
        <w:rPr>
          <w:spacing w:val="-2"/>
        </w:rPr>
        <w:t> </w:t>
      </w:r>
      <w:r>
        <w:rPr/>
        <w:t>that</w:t>
      </w:r>
      <w:r>
        <w:rPr>
          <w:spacing w:val="-2"/>
        </w:rPr>
        <w:t> </w:t>
      </w:r>
      <w:r>
        <w:rPr/>
        <w:t>we have covered in this book. These tools and techniques have been vital to my success in trading and price forecasting. It is my firm belief that they can</w:t>
      </w:r>
      <w:r>
        <w:rPr>
          <w:spacing w:val="40"/>
        </w:rPr>
        <w:t> </w:t>
      </w:r>
      <w:r>
        <w:rPr/>
        <w:t>help you achieve another level of trading success as well.</w:t>
      </w:r>
    </w:p>
    <w:p>
      <w:pPr>
        <w:pStyle w:val="BodyText"/>
        <w:rPr>
          <w:sz w:val="20"/>
        </w:rPr>
      </w:pPr>
    </w:p>
    <w:p>
      <w:pPr>
        <w:pStyle w:val="BodyText"/>
        <w:rPr>
          <w:sz w:val="20"/>
        </w:rPr>
      </w:pPr>
    </w:p>
    <w:p>
      <w:pPr>
        <w:pStyle w:val="BodyText"/>
        <w:spacing w:before="5"/>
        <w:rPr>
          <w:sz w:val="23"/>
        </w:rPr>
      </w:pPr>
      <w:r>
        <w:rPr/>
        <w:pict>
          <v:rect style="position:absolute;margin-left:52.5pt;margin-top:14.680918pt;width:345pt;height:.48001pt;mso-position-horizontal-relative:page;mso-position-vertical-relative:paragraph;z-index:-15564288;mso-wrap-distance-left:0;mso-wrap-distance-right:0" id="docshape926" filled="true" fillcolor="#000000" stroked="false">
            <v:fill type="solid"/>
            <w10:wrap type="topAndBottom"/>
          </v:rect>
        </w:pict>
      </w:r>
    </w:p>
    <w:p>
      <w:pPr>
        <w:spacing w:after="0"/>
        <w:rPr>
          <w:sz w:val="23"/>
        </w:rPr>
        <w:sectPr>
          <w:pgSz w:w="8640" w:h="12960"/>
          <w:pgMar w:header="536" w:footer="985" w:top="720" w:bottom="1200" w:left="580" w:right="580"/>
        </w:sectPr>
      </w:pPr>
    </w:p>
    <w:p>
      <w:pPr>
        <w:pStyle w:val="BodyText"/>
        <w:spacing w:before="1"/>
        <w:rPr>
          <w:sz w:val="14"/>
        </w:rPr>
      </w:pPr>
    </w:p>
    <w:p>
      <w:pPr>
        <w:pStyle w:val="Heading3"/>
        <w:spacing w:before="113"/>
      </w:pPr>
      <w:r>
        <w:rPr/>
        <w:pict>
          <v:shape style="position:absolute;margin-left:36.779999pt;margin-top:23.880304pt;width:341pt;height:.1pt;mso-position-horizontal-relative:page;mso-position-vertical-relative:paragraph;z-index:-15563776;mso-wrap-distance-left:0;mso-wrap-distance-right:0" id="docshape932" coordorigin="736,478" coordsize="6820,0" path="m736,478l7555,478e" filled="false" stroked="true" strokeweight=".75pt" strokecolor="#000000">
            <v:path arrowok="t"/>
            <v:stroke dashstyle="solid"/>
            <w10:wrap type="topAndBottom"/>
          </v:shape>
        </w:pict>
      </w:r>
      <w:bookmarkStart w:name="_TOC_250009" w:id="82"/>
      <w:r>
        <w:rPr>
          <w:smallCaps/>
          <w:spacing w:val="-2"/>
        </w:rPr>
        <w:t>Multiple</w:t>
      </w:r>
      <w:r>
        <w:rPr>
          <w:smallCaps/>
          <w:spacing w:val="-6"/>
        </w:rPr>
        <w:t> </w:t>
      </w:r>
      <w:r>
        <w:rPr>
          <w:smallCaps/>
          <w:spacing w:val="-2"/>
        </w:rPr>
        <w:t>Timeframe</w:t>
      </w:r>
      <w:r>
        <w:rPr>
          <w:smallCaps/>
          <w:spacing w:val="-6"/>
        </w:rPr>
        <w:t> </w:t>
      </w:r>
      <w:r>
        <w:rPr>
          <w:smallCaps/>
          <w:spacing w:val="-2"/>
        </w:rPr>
        <w:t>Hot</w:t>
      </w:r>
      <w:r>
        <w:rPr>
          <w:smallCaps/>
          <w:spacing w:val="-10"/>
        </w:rPr>
        <w:t> </w:t>
      </w:r>
      <w:bookmarkEnd w:id="82"/>
      <w:r>
        <w:rPr>
          <w:smallCaps/>
          <w:spacing w:val="-4"/>
        </w:rPr>
        <w:t>Zones</w:t>
      </w:r>
    </w:p>
    <w:p>
      <w:pPr>
        <w:pStyle w:val="BodyText"/>
        <w:spacing w:before="203"/>
        <w:ind w:left="140" w:right="495" w:firstLine="432"/>
        <w:jc w:val="both"/>
      </w:pPr>
      <w:r>
        <w:rPr/>
        <w:t>Up to this point, I have demonstrated how to combine the Floor Pivots, Camarilla Equation, and the Money Zone to create powerful areas of confluence in your charts. However, by adding higher timeframe pivots to these areas of confluence, you can actually create a more powerful band of support or resistance. These levels, which I call </w:t>
      </w:r>
      <w:r>
        <w:rPr>
          <w:i/>
        </w:rPr>
        <w:t>Multiple Timeframe Hot</w:t>
      </w:r>
      <w:r>
        <w:rPr>
          <w:i/>
        </w:rPr>
        <w:t> Zones (MTZ)</w:t>
      </w:r>
      <w:r>
        <w:rPr/>
        <w:t>, add another dimension of significance to these amazing areas of confluence.</w:t>
      </w:r>
    </w:p>
    <w:p>
      <w:pPr>
        <w:pStyle w:val="BodyText"/>
        <w:spacing w:before="1"/>
        <w:ind w:left="140" w:right="495" w:firstLine="432"/>
        <w:jc w:val="both"/>
      </w:pPr>
      <w:r>
        <w:rPr/>
        <w:t>As you may recall from Chapter 10, Higher Timeframe Pivot Analysis, pivot levels from higher timeframes can pack a major punch. In fact, the reactions from these pivots typically lead to bigger moves in the market, mainly because the moves occur over the course of several days, or even weeks. The reason these combinations of pivots work so powerfully is because each level inspires a certain type of trader. There are four main categories of traders when it comes to classifying them alongside the pivots, seen in Table 11.1. When these traders converge to trade the same zones due to high confluence areas, the results can be quite amazing. For example, if a certain price level or range contains a high confluence of pivots, you will see participation from several types of traders, which puts more force behind the move. More participation typically sparks larger and more impressive moves in the market.</w:t>
      </w:r>
    </w:p>
    <w:p>
      <w:pPr>
        <w:pStyle w:val="BodyText"/>
        <w:rPr>
          <w:sz w:val="20"/>
        </w:rPr>
      </w:pPr>
      <w:r>
        <w:rPr/>
        <w:pict>
          <v:group style="position:absolute;margin-left:54.299999pt;margin-top:12.746485pt;width:305.4pt;height:18pt;mso-position-horizontal-relative:page;mso-position-vertical-relative:paragraph;z-index:-15563264;mso-wrap-distance-left:0;mso-wrap-distance-right:0" id="docshapegroup933" coordorigin="1086,255" coordsize="6108,360">
            <v:rect style="position:absolute;left:1106;top:275;width:6068;height:340" id="docshape934" filled="true" fillcolor="#000000" stroked="false">
              <v:fill type="solid"/>
            </v:rect>
            <v:shape style="position:absolute;left:1086;top:254;width:6089;height:21" id="docshape935" coordorigin="1086,255" coordsize="6089,21" path="m7175,255l1105,255,1086,255,1086,274,1086,275,1105,275,1105,274,7175,274,7175,255xe" filled="true" fillcolor="#3f3f3f" stroked="false">
              <v:path arrowok="t"/>
              <v:fill type="solid"/>
            </v:shape>
            <v:rect style="position:absolute;left:1105;top:274;width:6070;height:2" id="docshape936" filled="true" fillcolor="#000000" stroked="false">
              <v:fill type="solid"/>
            </v:rect>
            <v:shape style="position:absolute;left:1086;top:254;width:6108;height:360" id="docshape937" coordorigin="1086,255" coordsize="6108,360" path="m1105,275l1086,275,1086,615,1105,615,1105,275xm7194,255l7175,255,7175,274,7175,275,7175,615,7194,615,7194,275,7194,274,7194,255xe" filled="true" fillcolor="#3f3f3f" stroked="false">
              <v:path arrowok="t"/>
              <v:fill type="solid"/>
            </v:shape>
            <v:shape style="position:absolute;left:1105;top:275;width:6070;height:340" type="#_x0000_t202" id="docshape938" filled="false" stroked="false">
              <v:textbox inset="0,0,0,0">
                <w:txbxContent>
                  <w:p>
                    <w:pPr>
                      <w:spacing w:before="24"/>
                      <w:ind w:left="765" w:right="765" w:firstLine="0"/>
                      <w:jc w:val="center"/>
                      <w:rPr>
                        <w:rFonts w:ascii="Verdana"/>
                        <w:sz w:val="24"/>
                      </w:rPr>
                    </w:pPr>
                    <w:r>
                      <w:rPr>
                        <w:rFonts w:ascii="Verdana"/>
                        <w:color w:val="FFFFFF"/>
                        <w:sz w:val="24"/>
                      </w:rPr>
                      <w:t>The</w:t>
                    </w:r>
                    <w:r>
                      <w:rPr>
                        <w:rFonts w:ascii="Verdana"/>
                        <w:color w:val="FFFFFF"/>
                        <w:spacing w:val="-11"/>
                        <w:sz w:val="24"/>
                      </w:rPr>
                      <w:t> </w:t>
                    </w:r>
                    <w:r>
                      <w:rPr>
                        <w:rFonts w:ascii="Verdana"/>
                        <w:color w:val="FFFFFF"/>
                        <w:sz w:val="24"/>
                      </w:rPr>
                      <w:t>Four</w:t>
                    </w:r>
                    <w:r>
                      <w:rPr>
                        <w:rFonts w:ascii="Verdana"/>
                        <w:color w:val="FFFFFF"/>
                        <w:spacing w:val="-10"/>
                        <w:sz w:val="24"/>
                      </w:rPr>
                      <w:t> </w:t>
                    </w:r>
                    <w:r>
                      <w:rPr>
                        <w:rFonts w:ascii="Verdana"/>
                        <w:color w:val="FFFFFF"/>
                        <w:sz w:val="24"/>
                      </w:rPr>
                      <w:t>Types</w:t>
                    </w:r>
                    <w:r>
                      <w:rPr>
                        <w:rFonts w:ascii="Verdana"/>
                        <w:color w:val="FFFFFF"/>
                        <w:spacing w:val="-11"/>
                        <w:sz w:val="24"/>
                      </w:rPr>
                      <w:t> </w:t>
                    </w:r>
                    <w:r>
                      <w:rPr>
                        <w:rFonts w:ascii="Verdana"/>
                        <w:color w:val="FFFFFF"/>
                        <w:sz w:val="24"/>
                      </w:rPr>
                      <w:t>of</w:t>
                    </w:r>
                    <w:r>
                      <w:rPr>
                        <w:rFonts w:ascii="Verdana"/>
                        <w:color w:val="FFFFFF"/>
                        <w:spacing w:val="-10"/>
                        <w:sz w:val="24"/>
                      </w:rPr>
                      <w:t> </w:t>
                    </w:r>
                    <w:r>
                      <w:rPr>
                        <w:rFonts w:ascii="Verdana"/>
                        <w:color w:val="FFFFFF"/>
                        <w:sz w:val="24"/>
                      </w:rPr>
                      <w:t>Market</w:t>
                    </w:r>
                    <w:r>
                      <w:rPr>
                        <w:rFonts w:ascii="Verdana"/>
                        <w:color w:val="FFFFFF"/>
                        <w:spacing w:val="-11"/>
                        <w:sz w:val="24"/>
                      </w:rPr>
                      <w:t> </w:t>
                    </w:r>
                    <w:r>
                      <w:rPr>
                        <w:rFonts w:ascii="Verdana"/>
                        <w:color w:val="FFFFFF"/>
                        <w:spacing w:val="-2"/>
                        <w:sz w:val="24"/>
                      </w:rPr>
                      <w:t>Participants</w:t>
                    </w:r>
                  </w:p>
                </w:txbxContent>
              </v:textbox>
              <w10:wrap type="none"/>
            </v:shape>
            <w10:wrap type="topAndBottom"/>
          </v:group>
        </w:pict>
      </w:r>
    </w:p>
    <w:p>
      <w:pPr>
        <w:pStyle w:val="BodyText"/>
        <w:tabs>
          <w:tab w:pos="4208" w:val="left" w:leader="none"/>
        </w:tabs>
        <w:spacing w:before="29" w:after="29"/>
        <w:ind w:left="623"/>
        <w:rPr>
          <w:rFonts w:ascii="Tahoma"/>
        </w:rPr>
      </w:pPr>
      <w:r>
        <w:rPr>
          <w:rFonts w:ascii="Tahoma"/>
          <w:spacing w:val="-2"/>
        </w:rPr>
        <w:t>Investors</w:t>
      </w:r>
      <w:r>
        <w:rPr>
          <w:rFonts w:ascii="Tahoma"/>
        </w:rPr>
        <w:tab/>
        <w:t>Yearly</w:t>
      </w:r>
      <w:r>
        <w:rPr>
          <w:rFonts w:ascii="Tahoma"/>
          <w:spacing w:val="-6"/>
        </w:rPr>
        <w:t> </w:t>
      </w:r>
      <w:r>
        <w:rPr>
          <w:rFonts w:ascii="Tahoma"/>
          <w:spacing w:val="-2"/>
        </w:rPr>
        <w:t>Pivots</w:t>
      </w:r>
    </w:p>
    <w:p>
      <w:pPr>
        <w:pStyle w:val="BodyText"/>
        <w:spacing w:line="20" w:lineRule="exact"/>
        <w:ind w:left="515"/>
        <w:rPr>
          <w:rFonts w:ascii="Tahoma"/>
          <w:sz w:val="2"/>
        </w:rPr>
      </w:pPr>
      <w:r>
        <w:rPr>
          <w:rFonts w:ascii="Tahoma"/>
          <w:sz w:val="2"/>
        </w:rPr>
        <w:pict>
          <v:group style="width:304.45pt;height:.5pt;mso-position-horizontal-relative:char;mso-position-vertical-relative:line" id="docshapegroup939" coordorigin="0,0" coordsize="6089,10">
            <v:rect style="position:absolute;left:0;top:0;width:6089;height:10" id="docshape940" filled="true" fillcolor="#000000" stroked="false">
              <v:fill type="solid"/>
            </v:rect>
          </v:group>
        </w:pict>
      </w:r>
      <w:r>
        <w:rPr>
          <w:rFonts w:ascii="Tahoma"/>
          <w:sz w:val="2"/>
        </w:rPr>
      </w:r>
    </w:p>
    <w:p>
      <w:pPr>
        <w:pStyle w:val="BodyText"/>
        <w:tabs>
          <w:tab w:pos="4208" w:val="left" w:leader="none"/>
        </w:tabs>
        <w:spacing w:before="32"/>
        <w:ind w:left="623"/>
        <w:rPr>
          <w:rFonts w:ascii="Tahoma"/>
        </w:rPr>
      </w:pPr>
      <w:r>
        <w:rPr/>
        <w:pict>
          <v:rect style="position:absolute;margin-left:54.779999pt;margin-top:16.985762pt;width:304.44pt;height:.48pt;mso-position-horizontal-relative:page;mso-position-vertical-relative:paragraph;z-index:-15562240;mso-wrap-distance-left:0;mso-wrap-distance-right:0" id="docshape941" filled="true" fillcolor="#000000" stroked="false">
            <v:fill type="solid"/>
            <w10:wrap type="topAndBottom"/>
          </v:rect>
        </w:pict>
      </w:r>
      <w:r>
        <w:rPr>
          <w:rFonts w:ascii="Tahoma"/>
        </w:rPr>
        <w:t>Position</w:t>
      </w:r>
      <w:r>
        <w:rPr>
          <w:rFonts w:ascii="Tahoma"/>
          <w:spacing w:val="-8"/>
        </w:rPr>
        <w:t> </w:t>
      </w:r>
      <w:r>
        <w:rPr>
          <w:rFonts w:ascii="Tahoma"/>
          <w:spacing w:val="-2"/>
        </w:rPr>
        <w:t>Trader</w:t>
      </w:r>
      <w:r>
        <w:rPr>
          <w:rFonts w:ascii="Tahoma"/>
        </w:rPr>
        <w:tab/>
        <w:t>Monthly</w:t>
      </w:r>
      <w:r>
        <w:rPr>
          <w:rFonts w:ascii="Tahoma"/>
          <w:spacing w:val="-9"/>
        </w:rPr>
        <w:t> </w:t>
      </w:r>
      <w:r>
        <w:rPr>
          <w:rFonts w:ascii="Tahoma"/>
          <w:spacing w:val="-2"/>
        </w:rPr>
        <w:t>Pivots</w:t>
      </w:r>
    </w:p>
    <w:p>
      <w:pPr>
        <w:pStyle w:val="BodyText"/>
        <w:tabs>
          <w:tab w:pos="4207" w:val="left" w:leader="none"/>
        </w:tabs>
        <w:spacing w:before="42" w:after="43"/>
        <w:ind w:left="623"/>
        <w:rPr>
          <w:rFonts w:ascii="Tahoma"/>
        </w:rPr>
      </w:pPr>
      <w:r>
        <w:rPr>
          <w:rFonts w:ascii="Tahoma"/>
        </w:rPr>
        <w:t>Swing</w:t>
      </w:r>
      <w:r>
        <w:rPr>
          <w:rFonts w:ascii="Tahoma"/>
          <w:spacing w:val="-9"/>
        </w:rPr>
        <w:t> </w:t>
      </w:r>
      <w:r>
        <w:rPr>
          <w:rFonts w:ascii="Tahoma"/>
          <w:spacing w:val="-2"/>
        </w:rPr>
        <w:t>Trader</w:t>
      </w:r>
      <w:r>
        <w:rPr>
          <w:rFonts w:ascii="Tahoma"/>
        </w:rPr>
        <w:tab/>
        <w:t>Weekly</w:t>
      </w:r>
      <w:r>
        <w:rPr>
          <w:rFonts w:ascii="Tahoma"/>
          <w:spacing w:val="-11"/>
        </w:rPr>
        <w:t> </w:t>
      </w:r>
      <w:r>
        <w:rPr>
          <w:rFonts w:ascii="Tahoma"/>
          <w:spacing w:val="-2"/>
        </w:rPr>
        <w:t>Pivots</w:t>
      </w:r>
    </w:p>
    <w:p>
      <w:pPr>
        <w:pStyle w:val="BodyText"/>
        <w:spacing w:line="20" w:lineRule="exact"/>
        <w:ind w:left="515"/>
        <w:rPr>
          <w:rFonts w:ascii="Tahoma"/>
          <w:sz w:val="2"/>
        </w:rPr>
      </w:pPr>
      <w:r>
        <w:rPr>
          <w:rFonts w:ascii="Tahoma"/>
          <w:sz w:val="2"/>
        </w:rPr>
        <w:pict>
          <v:group style="width:304.45pt;height:.5pt;mso-position-horizontal-relative:char;mso-position-vertical-relative:line" id="docshapegroup942" coordorigin="0,0" coordsize="6089,10">
            <v:rect style="position:absolute;left:0;top:0;width:6089;height:10" id="docshape943" filled="true" fillcolor="#000000" stroked="false">
              <v:fill type="solid"/>
            </v:rect>
          </v:group>
        </w:pict>
      </w:r>
      <w:r>
        <w:rPr>
          <w:rFonts w:ascii="Tahoma"/>
          <w:sz w:val="2"/>
        </w:rPr>
      </w:r>
    </w:p>
    <w:p>
      <w:pPr>
        <w:pStyle w:val="BodyText"/>
        <w:tabs>
          <w:tab w:pos="4207" w:val="left" w:leader="none"/>
        </w:tabs>
        <w:spacing w:before="32"/>
        <w:ind w:left="623"/>
        <w:rPr>
          <w:rFonts w:ascii="Tahoma"/>
        </w:rPr>
      </w:pPr>
      <w:r>
        <w:rPr/>
        <w:pict>
          <v:shape style="position:absolute;margin-left:54.060001pt;margin-top:17.046354pt;width:305.2pt;height:.5pt;mso-position-horizontal-relative:page;mso-position-vertical-relative:paragraph;z-index:-15561216;mso-wrap-distance-left:0;mso-wrap-distance-right:0" id="docshape944" coordorigin="1081,341" coordsize="6104,10" path="m7184,341l4680,341,4666,341,1081,341,1081,351,4666,351,4680,351,7184,351,7184,341xe" filled="true" fillcolor="#000000" stroked="false">
            <v:path arrowok="t"/>
            <v:fill type="solid"/>
            <w10:wrap type="topAndBottom"/>
          </v:shape>
        </w:pict>
      </w:r>
      <w:r>
        <w:rPr>
          <w:rFonts w:ascii="Tahoma"/>
        </w:rPr>
        <w:t>Day</w:t>
      </w:r>
      <w:r>
        <w:rPr>
          <w:rFonts w:ascii="Tahoma"/>
          <w:spacing w:val="-5"/>
        </w:rPr>
        <w:t> </w:t>
      </w:r>
      <w:r>
        <w:rPr>
          <w:rFonts w:ascii="Tahoma"/>
          <w:spacing w:val="-2"/>
        </w:rPr>
        <w:t>Trader</w:t>
      </w:r>
      <w:r>
        <w:rPr>
          <w:rFonts w:ascii="Tahoma"/>
        </w:rPr>
        <w:tab/>
        <w:t>Intraday</w:t>
      </w:r>
      <w:r>
        <w:rPr>
          <w:rFonts w:ascii="Tahoma"/>
          <w:spacing w:val="-9"/>
        </w:rPr>
        <w:t> </w:t>
      </w:r>
      <w:r>
        <w:rPr>
          <w:rFonts w:ascii="Tahoma"/>
          <w:spacing w:val="-2"/>
        </w:rPr>
        <w:t>Pivots</w:t>
      </w:r>
    </w:p>
    <w:p>
      <w:pPr>
        <w:spacing w:before="0"/>
        <w:ind w:left="572" w:right="0" w:firstLine="0"/>
        <w:jc w:val="left"/>
        <w:rPr>
          <w:sz w:val="16"/>
        </w:rPr>
      </w:pPr>
      <w:r>
        <w:rPr>
          <w:sz w:val="16"/>
        </w:rPr>
        <w:t>TABLE</w:t>
      </w:r>
      <w:r>
        <w:rPr>
          <w:spacing w:val="-1"/>
          <w:sz w:val="16"/>
        </w:rPr>
        <w:t> </w:t>
      </w:r>
      <w:r>
        <w:rPr>
          <w:sz w:val="16"/>
        </w:rPr>
        <w:t>10.1:</w:t>
      </w:r>
      <w:r>
        <w:rPr>
          <w:spacing w:val="-1"/>
          <w:sz w:val="16"/>
        </w:rPr>
        <w:t> </w:t>
      </w:r>
      <w:r>
        <w:rPr>
          <w:sz w:val="16"/>
        </w:rPr>
        <w:t>The four</w:t>
      </w:r>
      <w:r>
        <w:rPr>
          <w:spacing w:val="-1"/>
          <w:sz w:val="16"/>
        </w:rPr>
        <w:t> </w:t>
      </w:r>
      <w:r>
        <w:rPr>
          <w:sz w:val="16"/>
        </w:rPr>
        <w:t>types</w:t>
      </w:r>
      <w:r>
        <w:rPr>
          <w:spacing w:val="-1"/>
          <w:sz w:val="16"/>
        </w:rPr>
        <w:t> </w:t>
      </w:r>
      <w:r>
        <w:rPr>
          <w:sz w:val="16"/>
        </w:rPr>
        <w:t>of</w:t>
      </w:r>
      <w:r>
        <w:rPr>
          <w:spacing w:val="-1"/>
          <w:sz w:val="16"/>
        </w:rPr>
        <w:t> </w:t>
      </w:r>
      <w:r>
        <w:rPr>
          <w:sz w:val="16"/>
        </w:rPr>
        <w:t>traders</w:t>
      </w:r>
      <w:r>
        <w:rPr>
          <w:spacing w:val="-1"/>
          <w:sz w:val="16"/>
        </w:rPr>
        <w:t> </w:t>
      </w:r>
      <w:r>
        <w:rPr>
          <w:sz w:val="16"/>
        </w:rPr>
        <w:t>and</w:t>
      </w:r>
      <w:r>
        <w:rPr>
          <w:spacing w:val="-1"/>
          <w:sz w:val="16"/>
        </w:rPr>
        <w:t> </w:t>
      </w:r>
      <w:r>
        <w:rPr>
          <w:sz w:val="16"/>
        </w:rPr>
        <w:t>the pivots</w:t>
      </w:r>
      <w:r>
        <w:rPr>
          <w:spacing w:val="-1"/>
          <w:sz w:val="16"/>
        </w:rPr>
        <w:t> </w:t>
      </w:r>
      <w:r>
        <w:rPr>
          <w:sz w:val="16"/>
        </w:rPr>
        <w:t>they</w:t>
      </w:r>
      <w:r>
        <w:rPr>
          <w:spacing w:val="-1"/>
          <w:sz w:val="16"/>
        </w:rPr>
        <w:t> </w:t>
      </w:r>
      <w:r>
        <w:rPr>
          <w:spacing w:val="-2"/>
          <w:sz w:val="16"/>
        </w:rPr>
        <w:t>trade</w:t>
      </w:r>
    </w:p>
    <w:p>
      <w:pPr>
        <w:pStyle w:val="BodyText"/>
        <w:spacing w:before="8"/>
        <w:rPr>
          <w:sz w:val="21"/>
        </w:rPr>
      </w:pPr>
    </w:p>
    <w:p>
      <w:pPr>
        <w:pStyle w:val="BodyText"/>
        <w:ind w:left="139" w:right="495" w:firstLine="432"/>
        <w:jc w:val="both"/>
      </w:pPr>
      <w:r>
        <w:rPr/>
        <w:t>Take a look at Figure 10.12, which illustrates the multiple timeframe confluence phenomenon. When price approaches a multiple timeframe hot zone, the yearly, monthly, weekly, and intraday pivots will send a call to action to various types of traders, including Investors, Position Traders, Swing Traders, and Day Traders. When each of these types of market participants puts money to work at the same area of focus, the result is</w:t>
      </w:r>
      <w:r>
        <w:rPr>
          <w:spacing w:val="40"/>
        </w:rPr>
        <w:t> </w:t>
      </w:r>
      <w:r>
        <w:rPr/>
        <w:t>usually widespread participation that leads to key moves in the market. Putting your money to work at a MTZ alongside various groups of market participants</w:t>
      </w:r>
      <w:r>
        <w:rPr>
          <w:spacing w:val="-2"/>
        </w:rPr>
        <w:t> </w:t>
      </w:r>
      <w:r>
        <w:rPr/>
        <w:t>will</w:t>
      </w:r>
      <w:r>
        <w:rPr>
          <w:spacing w:val="-3"/>
        </w:rPr>
        <w:t> </w:t>
      </w:r>
      <w:r>
        <w:rPr/>
        <w:t>keep</w:t>
      </w:r>
      <w:r>
        <w:rPr>
          <w:spacing w:val="-2"/>
        </w:rPr>
        <w:t> </w:t>
      </w:r>
      <w:r>
        <w:rPr/>
        <w:t>you</w:t>
      </w:r>
      <w:r>
        <w:rPr>
          <w:spacing w:val="-4"/>
        </w:rPr>
        <w:t> </w:t>
      </w:r>
      <w:r>
        <w:rPr/>
        <w:t>on</w:t>
      </w:r>
      <w:r>
        <w:rPr>
          <w:spacing w:val="-2"/>
        </w:rPr>
        <w:t> </w:t>
      </w:r>
      <w:r>
        <w:rPr/>
        <w:t>the</w:t>
      </w:r>
      <w:r>
        <w:rPr>
          <w:spacing w:val="-2"/>
        </w:rPr>
        <w:t> </w:t>
      </w:r>
      <w:r>
        <w:rPr/>
        <w:t>right</w:t>
      </w:r>
      <w:r>
        <w:rPr>
          <w:spacing w:val="-3"/>
        </w:rPr>
        <w:t> </w:t>
      </w:r>
      <w:r>
        <w:rPr/>
        <w:t>side</w:t>
      </w:r>
      <w:r>
        <w:rPr>
          <w:spacing w:val="-2"/>
        </w:rPr>
        <w:t> </w:t>
      </w:r>
      <w:r>
        <w:rPr/>
        <w:t>of</w:t>
      </w:r>
      <w:r>
        <w:rPr>
          <w:spacing w:val="-2"/>
        </w:rPr>
        <w:t> </w:t>
      </w:r>
      <w:r>
        <w:rPr/>
        <w:t>the</w:t>
      </w:r>
      <w:r>
        <w:rPr>
          <w:spacing w:val="-2"/>
        </w:rPr>
        <w:t> </w:t>
      </w:r>
      <w:r>
        <w:rPr/>
        <w:t>market</w:t>
      </w:r>
      <w:r>
        <w:rPr>
          <w:spacing w:val="-3"/>
        </w:rPr>
        <w:t> </w:t>
      </w:r>
      <w:r>
        <w:rPr/>
        <w:t>at</w:t>
      </w:r>
      <w:r>
        <w:rPr>
          <w:spacing w:val="-2"/>
        </w:rPr>
        <w:t> </w:t>
      </w:r>
      <w:r>
        <w:rPr/>
        <w:t>points</w:t>
      </w:r>
      <w:r>
        <w:rPr>
          <w:spacing w:val="-2"/>
        </w:rPr>
        <w:t> </w:t>
      </w:r>
      <w:r>
        <w:rPr/>
        <w:t>in</w:t>
      </w:r>
      <w:r>
        <w:rPr>
          <w:spacing w:val="-2"/>
        </w:rPr>
        <w:t> </w:t>
      </w:r>
      <w:r>
        <w:rPr/>
        <w:t>the</w:t>
      </w:r>
      <w:r>
        <w:rPr>
          <w:spacing w:val="-2"/>
        </w:rPr>
        <w:t> </w:t>
      </w:r>
      <w:r>
        <w:rPr/>
        <w:t>chart that have the most significance.</w:t>
      </w:r>
    </w:p>
    <w:p>
      <w:pPr>
        <w:spacing w:after="0"/>
        <w:jc w:val="both"/>
        <w:sectPr>
          <w:headerReference w:type="even" r:id="rId330"/>
          <w:headerReference w:type="default" r:id="rId331"/>
          <w:footerReference w:type="even" r:id="rId332"/>
          <w:footerReference w:type="default" r:id="rId333"/>
          <w:pgSz w:w="8640" w:h="12960"/>
          <w:pgMar w:header="579" w:footer="994" w:top="760" w:bottom="1180" w:left="580" w:right="580"/>
          <w:pgNumType w:start="274"/>
        </w:sectPr>
      </w:pPr>
    </w:p>
    <w:p>
      <w:pPr>
        <w:pStyle w:val="BodyText"/>
        <w:rPr>
          <w:sz w:val="20"/>
        </w:rPr>
      </w:pPr>
    </w:p>
    <w:p>
      <w:pPr>
        <w:pStyle w:val="BodyText"/>
        <w:rPr>
          <w:sz w:val="20"/>
        </w:rPr>
      </w:pPr>
    </w:p>
    <w:p>
      <w:pPr>
        <w:pStyle w:val="BodyText"/>
        <w:rPr>
          <w:sz w:val="10"/>
        </w:rPr>
      </w:pPr>
    </w:p>
    <w:p>
      <w:pPr>
        <w:pStyle w:val="BodyText"/>
        <w:ind w:left="1027"/>
        <w:rPr>
          <w:sz w:val="20"/>
        </w:rPr>
      </w:pPr>
      <w:r>
        <w:rPr/>
        <w:pict>
          <v:shape style="position:absolute;margin-left:180.540009pt;margin-top:125.319977pt;width:46.7pt;height:39.25pt;mso-position-horizontal-relative:page;mso-position-vertical-relative:paragraph;z-index:15897088" id="docshape945" coordorigin="3611,2506" coordsize="934,785" path="m4544,3260l4469,3212,4465,3245,3929,3187,3923,3188,3920,3193,3922,3199,3928,3201,4464,3259,4460,3291,4541,3261,4544,3260xm4544,3144l4533,3133,4480,3082,4470,3112,3696,2869,3690,2870,3686,2874,3688,2880,3691,2883,4465,3127,4456,3158,4544,3144xm4544,3049l4529,3026,4495,2974,4479,3003,3622,2506,3616,2506,3612,2510,3611,2515,3614,2520,4471,3016,4454,3044,4544,3049xe" filled="true" fillcolor="#000000" stroked="false">
            <v:path arrowok="t"/>
            <v:fill type="solid"/>
            <w10:wrap type="none"/>
          </v:shape>
        </w:pict>
      </w:r>
      <w:r>
        <w:rPr>
          <w:sz w:val="20"/>
        </w:rPr>
        <w:pict>
          <v:group style="width:289.350pt;height:193.5pt;mso-position-horizontal-relative:char;mso-position-vertical-relative:line" id="docshapegroup946" coordorigin="0,0" coordsize="5787,3870">
            <v:shape style="position:absolute;left:7;top:7;width:5772;height:3855" id="docshape947" coordorigin="8,8" coordsize="5772,3855" path="m5777,8l8,8,8,3862,5777,3862,5777,8xm5780,15l21,15,21,539,5780,539,5780,15xe" filled="false" stroked="true" strokeweight=".75pt" strokecolor="#000000">
              <v:path arrowok="t"/>
              <v:stroke dashstyle="solid"/>
            </v:shape>
            <v:line style="position:absolute" from="4653,1356" to="4653,1437" stroked="true" strokeweight=".75pt" strokecolor="#000000">
              <v:stroke dashstyle="solid"/>
            </v:line>
            <v:rect style="position:absolute;left:4538;top:1436;width:226;height:869" id="docshape948" filled="false" stroked="true" strokeweight=".75pt" strokecolor="#000000">
              <v:stroke dashstyle="solid"/>
            </v:rect>
            <v:line style="position:absolute" from="3016,3365" to="5553,3365" stroked="true" strokeweight="2.25pt" strokecolor="#000000">
              <v:stroke dashstyle="solid"/>
            </v:line>
            <v:shape style="position:absolute;left:3015;top:3056;width:2531;height:2" id="docshape949" coordorigin="3016,3057" coordsize="2531,0" path="m3016,3057l3971,3057m4198,3057l5547,3057e" filled="false" stroked="true" strokeweight=".75pt" strokecolor="#000000">
              <v:path arrowok="t"/>
              <v:stroke dashstyle="solid"/>
            </v:shape>
            <v:shape style="position:absolute;left:3020;top:3160;width:2532;height:13" id="docshape950" coordorigin="3021,3161" coordsize="2532,13" path="m3021,3161l5553,3161m3021,3173l5553,3173e" filled="false" stroked="true" strokeweight=".385pt" strokecolor="#000000">
              <v:path arrowok="t"/>
              <v:stroke dashstyle="solid"/>
            </v:shape>
            <v:line style="position:absolute" from="3018,3260" to="5553,3260" stroked="true" strokeweight="1.75pt" strokecolor="#000000">
              <v:stroke dashstyle="solid"/>
            </v:line>
            <v:line style="position:absolute" from="3248,2471" to="3249,1900" stroked="true" strokeweight=".75pt" strokecolor="#000000">
              <v:stroke dashstyle="solid"/>
            </v:line>
            <v:rect style="position:absolute;left:3132;top:1842;width:226;height:569" id="docshape951" filled="true" fillcolor="#000000" stroked="false">
              <v:fill type="solid"/>
            </v:rect>
            <v:rect style="position:absolute;left:3132;top:1841;width:226;height:570" id="docshape952" filled="false" stroked="true" strokeweight=".75pt" strokecolor="#000000">
              <v:stroke dashstyle="solid"/>
            </v:rect>
            <v:line style="position:absolute" from="3522,3048" to="3524,2351" stroked="true" strokeweight=".75pt" strokecolor="#000000">
              <v:stroke dashstyle="solid"/>
            </v:line>
            <v:rect style="position:absolute;left:3407;top:2418;width:227;height:696" id="docshape953" filled="true" fillcolor="#000000" stroked="false">
              <v:fill type="solid"/>
            </v:rect>
            <v:rect style="position:absolute;left:3407;top:2417;width:226;height:696" id="docshape954" filled="false" stroked="true" strokeweight=".75pt" strokecolor="#000000">
              <v:stroke dashstyle="solid"/>
            </v:rect>
            <v:line style="position:absolute" from="4369,2837" to="4369,2915" stroked="true" strokeweight=".81pt" strokecolor="#000000">
              <v:stroke dashstyle="solid"/>
            </v:line>
            <v:rect style="position:absolute;left:4253;top:2217;width:226;height:620" id="docshape955" filled="false" stroked="true" strokeweight=".75pt" strokecolor="#000000">
              <v:stroke dashstyle="solid"/>
            </v:rect>
            <v:line style="position:absolute" from="4087,3165" to="4087,3347" stroked="true" strokeweight=".81pt" strokecolor="#000000">
              <v:stroke dashstyle="solid"/>
            </v:line>
            <v:rect style="position:absolute;left:3971;top:2825;width:226;height:340" id="docshape956" filled="false" stroked="true" strokeweight=".75pt" strokecolor="#000000">
              <v:stroke dashstyle="solid"/>
            </v:rect>
            <v:line style="position:absolute" from="3804,3418" to="3804,2875" stroked="true" strokeweight=".75pt" strokecolor="#000000">
              <v:stroke dashstyle="solid"/>
            </v:line>
            <v:rect style="position:absolute;left:3689;top:3122;width:227;height:71" id="docshape957" filled="true" fillcolor="#000000" stroked="false">
              <v:fill type="solid"/>
            </v:rect>
            <v:rect style="position:absolute;left:3689;top:3122;width:226;height:71" id="docshape958" filled="false" stroked="true" strokeweight=".75pt" strokecolor="#000000">
              <v:stroke dashstyle="solid"/>
            </v:rect>
            <v:shape style="position:absolute;left:2193;top:3374;width:743;height:111" id="docshape959" coordorigin="2194,3375" coordsize="743,111" path="m2856,3407l2201,3471,2195,3473,2194,3478,2196,3484,2202,3485,2858,3422,2856,3407xm2930,3405l2875,3405,2881,3407,2884,3412,2883,3417,2877,3420,2858,3422,2861,3454,2937,3407,2930,3405xm2875,3405l2856,3407,2858,3422,2877,3420,2883,3417,2884,3412,2881,3407,2875,3405xm2853,3375l2856,3407,2875,3405,2930,3405,2853,3375xe" filled="true" fillcolor="#000000" stroked="false">
              <v:path arrowok="t"/>
              <v:fill type="solid"/>
            </v:shape>
            <v:line style="position:absolute" from="4928,1446" to="4928,1525" stroked="true" strokeweight=".81pt" strokecolor="#000000">
              <v:stroke dashstyle="solid"/>
            </v:line>
            <v:rect style="position:absolute;left:4812;top:827;width:226;height:620" id="docshape960" filled="false" stroked="true" strokeweight=".75pt" strokecolor="#000000">
              <v:stroke dashstyle="solid"/>
            </v:rect>
            <v:shape style="position:absolute;left:0;top:0;width:5787;height:3870" type="#_x0000_t202" id="docshape961"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26"/>
                      </w:rPr>
                    </w:pPr>
                  </w:p>
                  <w:p>
                    <w:pPr>
                      <w:spacing w:line="326" w:lineRule="auto" w:before="0"/>
                      <w:ind w:left="176" w:right="3194" w:firstLine="6"/>
                      <w:jc w:val="left"/>
                      <w:rPr>
                        <w:rFonts w:ascii="Tahoma"/>
                        <w:sz w:val="20"/>
                      </w:rPr>
                    </w:pPr>
                    <w:r>
                      <w:rPr>
                        <w:rFonts w:ascii="Tahoma"/>
                        <w:sz w:val="20"/>
                      </w:rPr>
                      <w:t>Intraday Pivot (Day) Weekly Pivot (Swing) Monthly</w:t>
                    </w:r>
                    <w:r>
                      <w:rPr>
                        <w:rFonts w:ascii="Tahoma"/>
                        <w:spacing w:val="-16"/>
                        <w:sz w:val="20"/>
                      </w:rPr>
                      <w:t> </w:t>
                    </w:r>
                    <w:r>
                      <w:rPr>
                        <w:rFonts w:ascii="Tahoma"/>
                        <w:sz w:val="20"/>
                      </w:rPr>
                      <w:t>Pivot</w:t>
                    </w:r>
                    <w:r>
                      <w:rPr>
                        <w:rFonts w:ascii="Tahoma"/>
                        <w:spacing w:val="-16"/>
                        <w:sz w:val="20"/>
                      </w:rPr>
                      <w:t> </w:t>
                    </w:r>
                    <w:r>
                      <w:rPr>
                        <w:rFonts w:ascii="Tahoma"/>
                        <w:sz w:val="20"/>
                      </w:rPr>
                      <w:t>(Position) Yearly Pivot (Investor)</w:t>
                    </w:r>
                  </w:p>
                </w:txbxContent>
              </v:textbox>
              <w10:wrap type="none"/>
            </v:shape>
            <v:shape style="position:absolute;left:7;top:0;width:5780;height:547" type="#_x0000_t202" id="docshape962" filled="true" fillcolor="#000000" stroked="false">
              <v:textbox inset="0,0,0,0">
                <w:txbxContent>
                  <w:p>
                    <w:pPr>
                      <w:spacing w:before="93"/>
                      <w:ind w:left="1116" w:right="0" w:firstLine="0"/>
                      <w:jc w:val="left"/>
                      <w:rPr>
                        <w:rFonts w:ascii="Verdana"/>
                        <w:color w:val="000000"/>
                        <w:sz w:val="28"/>
                      </w:rPr>
                    </w:pPr>
                    <w:r>
                      <w:rPr>
                        <w:rFonts w:ascii="Verdana"/>
                        <w:color w:val="FFFFFF"/>
                        <w:sz w:val="28"/>
                      </w:rPr>
                      <w:t>MTZ</w:t>
                    </w:r>
                    <w:r>
                      <w:rPr>
                        <w:rFonts w:ascii="Verdana"/>
                        <w:color w:val="FFFFFF"/>
                        <w:spacing w:val="-10"/>
                        <w:sz w:val="28"/>
                      </w:rPr>
                      <w:t> </w:t>
                    </w:r>
                    <w:r>
                      <w:rPr>
                        <w:rFonts w:ascii="Verdana"/>
                        <w:color w:val="FFFFFF"/>
                        <w:sz w:val="28"/>
                      </w:rPr>
                      <w:t>Market</w:t>
                    </w:r>
                    <w:r>
                      <w:rPr>
                        <w:rFonts w:ascii="Verdana"/>
                        <w:color w:val="FFFFFF"/>
                        <w:spacing w:val="-9"/>
                        <w:sz w:val="28"/>
                      </w:rPr>
                      <w:t> </w:t>
                    </w:r>
                    <w:r>
                      <w:rPr>
                        <w:rFonts w:ascii="Verdana"/>
                        <w:color w:val="FFFFFF"/>
                        <w:spacing w:val="-2"/>
                        <w:sz w:val="28"/>
                      </w:rPr>
                      <w:t>Participation</w:t>
                    </w:r>
                  </w:p>
                </w:txbxContent>
              </v:textbox>
              <v:fill type="solid"/>
              <w10:wrap type="none"/>
            </v:shape>
          </v:group>
        </w:pict>
      </w:r>
      <w:r>
        <w:rPr>
          <w:sz w:val="20"/>
        </w:rPr>
      </w:r>
    </w:p>
    <w:p>
      <w:pPr>
        <w:spacing w:line="146" w:lineRule="exact" w:before="0"/>
        <w:ind w:left="348" w:right="616" w:firstLine="0"/>
        <w:jc w:val="center"/>
        <w:rPr>
          <w:sz w:val="16"/>
        </w:rPr>
      </w:pPr>
      <w:r>
        <w:rPr>
          <w:sz w:val="16"/>
        </w:rPr>
        <w:t>FIGURE 10.12:</w:t>
      </w:r>
      <w:r>
        <w:rPr>
          <w:spacing w:val="1"/>
          <w:sz w:val="16"/>
        </w:rPr>
        <w:t> </w:t>
      </w:r>
      <w:r>
        <w:rPr>
          <w:sz w:val="16"/>
        </w:rPr>
        <w:t>Illustrates</w:t>
      </w:r>
      <w:r>
        <w:rPr>
          <w:spacing w:val="1"/>
          <w:sz w:val="16"/>
        </w:rPr>
        <w:t> </w:t>
      </w:r>
      <w:r>
        <w:rPr>
          <w:sz w:val="16"/>
        </w:rPr>
        <w:t>the</w:t>
      </w:r>
      <w:r>
        <w:rPr>
          <w:spacing w:val="3"/>
          <w:sz w:val="16"/>
        </w:rPr>
        <w:t> </w:t>
      </w:r>
      <w:r>
        <w:rPr>
          <w:sz w:val="16"/>
        </w:rPr>
        <w:t>market participation</w:t>
      </w:r>
      <w:r>
        <w:rPr>
          <w:spacing w:val="1"/>
          <w:sz w:val="16"/>
        </w:rPr>
        <w:t> </w:t>
      </w:r>
      <w:r>
        <w:rPr>
          <w:sz w:val="16"/>
        </w:rPr>
        <w:t>at</w:t>
      </w:r>
      <w:r>
        <w:rPr>
          <w:spacing w:val="4"/>
          <w:sz w:val="16"/>
        </w:rPr>
        <w:t> </w:t>
      </w:r>
      <w:r>
        <w:rPr>
          <w:sz w:val="16"/>
        </w:rPr>
        <w:t>multiple</w:t>
      </w:r>
      <w:r>
        <w:rPr>
          <w:spacing w:val="1"/>
          <w:sz w:val="16"/>
        </w:rPr>
        <w:t> </w:t>
      </w:r>
      <w:r>
        <w:rPr>
          <w:sz w:val="16"/>
        </w:rPr>
        <w:t>timeframe </w:t>
      </w:r>
      <w:r>
        <w:rPr>
          <w:spacing w:val="-2"/>
          <w:sz w:val="16"/>
        </w:rPr>
        <w:t>pivots</w:t>
      </w:r>
    </w:p>
    <w:p>
      <w:pPr>
        <w:pStyle w:val="BodyText"/>
        <w:spacing w:before="1"/>
      </w:pPr>
    </w:p>
    <w:p>
      <w:pPr>
        <w:pStyle w:val="BodyText"/>
        <w:ind w:left="500" w:right="134" w:firstLine="432"/>
        <w:jc w:val="both"/>
      </w:pPr>
      <w:r>
        <w:rPr/>
        <w:t>Let’s take a closer look at the MTZ concept. Figure 10.13 shows a daily chart of the E-Mini Russell 2000 futures contract. The contract had been trending steadily lower through the first five weeks of 2010, but approached</w:t>
      </w:r>
      <w:r>
        <w:rPr>
          <w:spacing w:val="40"/>
        </w:rPr>
        <w:t> </w:t>
      </w:r>
      <w:r>
        <w:rPr/>
        <w:t>a major area of higher timeframe confluence in early February. The TF dropped right into this multiple timeframe hot zone, which contained yearly, monthly, and weekly pivots, and immediately began to show strength. Despite the five-week decline, it became quite clear that all major types of market participants had begun to see value at the current area of confluence and began to put money to work. This is evidenced by the fact that the TF formed a highly bullish wick reversal candlestick on the day that it touched all major timeframes of pivots, signaling a potential reversal ahead. When an exaggerated form of this particular candlestick forms in a daily or weekly chart, the potential for a reversal is magnified. There is no need to wait for a new closing high on the following bar. Instead, taking</w:t>
      </w:r>
      <w:r>
        <w:rPr>
          <w:spacing w:val="-1"/>
        </w:rPr>
        <w:t> </w:t>
      </w:r>
      <w:r>
        <w:rPr/>
        <w:t>an entry at the close of the wick candlestick, or at the open of the following bar, will usually prove highly profitable over the following five to ten days.</w:t>
      </w:r>
    </w:p>
    <w:p>
      <w:pPr>
        <w:pStyle w:val="BodyText"/>
        <w:ind w:left="500" w:right="136" w:firstLine="432"/>
        <w:jc w:val="both"/>
      </w:pPr>
      <w:r>
        <w:rPr/>
        <w:t>The herd mentality of the major market players sparked a huge advance in the TF that sent the contract soaring from the 580 low to the monthly R1 resistance level at 634, which is a big fifty-four point move worth $5,400 per contract. Again, anytime you have two different equations that mark the</w:t>
      </w:r>
      <w:r>
        <w:rPr>
          <w:spacing w:val="40"/>
        </w:rPr>
        <w:t> </w:t>
      </w:r>
      <w:r>
        <w:rPr/>
        <w:t>same area as support or resistance, you have to take notice. But in this case, two different equations </w:t>
      </w:r>
      <w:r>
        <w:rPr>
          <w:i/>
        </w:rPr>
        <w:t>and </w:t>
      </w:r>
      <w:r>
        <w:rPr/>
        <w:t>multiple timeframes all marked this band of support</w:t>
      </w:r>
      <w:r>
        <w:rPr>
          <w:spacing w:val="-1"/>
        </w:rPr>
        <w:t> </w:t>
      </w:r>
      <w:r>
        <w:rPr/>
        <w:t>as</w:t>
      </w:r>
      <w:r>
        <w:rPr>
          <w:spacing w:val="-1"/>
        </w:rPr>
        <w:t> </w:t>
      </w:r>
      <w:r>
        <w:rPr/>
        <w:t>a</w:t>
      </w:r>
      <w:r>
        <w:rPr>
          <w:spacing w:val="-1"/>
        </w:rPr>
        <w:t> </w:t>
      </w:r>
      <w:r>
        <w:rPr/>
        <w:t>significant</w:t>
      </w:r>
      <w:r>
        <w:rPr>
          <w:spacing w:val="-1"/>
        </w:rPr>
        <w:t> </w:t>
      </w:r>
      <w:r>
        <w:rPr/>
        <w:t>area</w:t>
      </w:r>
      <w:r>
        <w:rPr>
          <w:spacing w:val="-1"/>
        </w:rPr>
        <w:t> </w:t>
      </w:r>
      <w:r>
        <w:rPr/>
        <w:t>confluence, which</w:t>
      </w:r>
      <w:r>
        <w:rPr>
          <w:spacing w:val="-1"/>
        </w:rPr>
        <w:t> </w:t>
      </w:r>
      <w:r>
        <w:rPr/>
        <w:t>essentially</w:t>
      </w:r>
      <w:r>
        <w:rPr>
          <w:spacing w:val="-1"/>
        </w:rPr>
        <w:t> </w:t>
      </w:r>
      <w:r>
        <w:rPr/>
        <w:t>influenced</w:t>
      </w:r>
      <w:r>
        <w:rPr>
          <w:spacing w:val="-1"/>
        </w:rPr>
        <w:t> </w:t>
      </w:r>
      <w:r>
        <w:rPr/>
        <w:t>price</w:t>
      </w:r>
      <w:r>
        <w:rPr>
          <w:spacing w:val="-1"/>
        </w:rPr>
        <w:t> </w:t>
      </w:r>
      <w:r>
        <w:rPr/>
        <w:t>in</w:t>
      </w:r>
    </w:p>
    <w:p>
      <w:pPr>
        <w:pStyle w:val="BodyText"/>
        <w:tabs>
          <w:tab w:pos="7369" w:val="left" w:leader="none"/>
        </w:tabs>
        <w:ind w:left="470"/>
        <w:jc w:val="both"/>
      </w:pPr>
      <w:r>
        <w:rPr>
          <w:spacing w:val="-26"/>
          <w:u w:val="single"/>
        </w:rPr>
        <w:t> </w:t>
      </w:r>
      <w:r>
        <w:rPr>
          <w:u w:val="single"/>
        </w:rPr>
        <w:t>a</w:t>
      </w:r>
      <w:r>
        <w:rPr>
          <w:spacing w:val="-3"/>
          <w:u w:val="single"/>
        </w:rPr>
        <w:t> </w:t>
      </w:r>
      <w:r>
        <w:rPr>
          <w:u w:val="single"/>
        </w:rPr>
        <w:t>major</w:t>
      </w:r>
      <w:r>
        <w:rPr>
          <w:spacing w:val="-3"/>
          <w:u w:val="single"/>
        </w:rPr>
        <w:t> </w:t>
      </w:r>
      <w:r>
        <w:rPr>
          <w:spacing w:val="-4"/>
          <w:u w:val="single"/>
        </w:rPr>
        <w:t>way.</w:t>
      </w:r>
      <w:r>
        <w:rPr>
          <w:u w:val="single"/>
        </w:rPr>
        <w:tab/>
      </w:r>
    </w:p>
    <w:p>
      <w:pPr>
        <w:spacing w:after="0"/>
        <w:jc w:val="both"/>
        <w:sectPr>
          <w:pgSz w:w="8640" w:h="12960"/>
          <w:pgMar w:header="536" w:footer="990" w:top="720" w:bottom="1180" w:left="580" w:right="580"/>
        </w:sectPr>
      </w:pPr>
    </w:p>
    <w:p>
      <w:pPr>
        <w:pStyle w:val="BodyText"/>
        <w:rPr>
          <w:sz w:val="20"/>
        </w:rPr>
      </w:pPr>
    </w:p>
    <w:p>
      <w:pPr>
        <w:pStyle w:val="BodyText"/>
        <w:spacing w:before="4"/>
        <w:rPr>
          <w:sz w:val="26"/>
        </w:rPr>
      </w:pPr>
    </w:p>
    <w:p>
      <w:pPr>
        <w:pStyle w:val="BodyText"/>
        <w:ind w:left="140"/>
        <w:rPr>
          <w:sz w:val="20"/>
        </w:rPr>
      </w:pPr>
      <w:r>
        <w:rPr>
          <w:sz w:val="20"/>
        </w:rPr>
        <w:drawing>
          <wp:inline distT="0" distB="0" distL="0" distR="0">
            <wp:extent cx="4305217" cy="3077527"/>
            <wp:effectExtent l="0" t="0" r="0" b="0"/>
            <wp:docPr id="321" name="image167.png"/>
            <wp:cNvGraphicFramePr>
              <a:graphicFrameLocks noChangeAspect="1"/>
            </wp:cNvGraphicFramePr>
            <a:graphic>
              <a:graphicData uri="http://schemas.openxmlformats.org/drawingml/2006/picture">
                <pic:pic>
                  <pic:nvPicPr>
                    <pic:cNvPr id="322" name="image167.png"/>
                    <pic:cNvPicPr/>
                  </pic:nvPicPr>
                  <pic:blipFill>
                    <a:blip r:embed="rId334" cstate="print"/>
                    <a:stretch>
                      <a:fillRect/>
                    </a:stretch>
                  </pic:blipFill>
                  <pic:spPr>
                    <a:xfrm>
                      <a:off x="0" y="0"/>
                      <a:ext cx="4305217" cy="3077527"/>
                    </a:xfrm>
                    <a:prstGeom prst="rect">
                      <a:avLst/>
                    </a:prstGeom>
                  </pic:spPr>
                </pic:pic>
              </a:graphicData>
            </a:graphic>
          </wp:inline>
        </w:drawing>
      </w:r>
      <w:r>
        <w:rPr>
          <w:sz w:val="20"/>
        </w:rPr>
      </w:r>
    </w:p>
    <w:p>
      <w:pPr>
        <w:spacing w:before="48"/>
        <w:ind w:left="140" w:right="0" w:firstLine="0"/>
        <w:jc w:val="left"/>
        <w:rPr>
          <w:sz w:val="16"/>
        </w:rPr>
      </w:pPr>
      <w:r>
        <w:rPr>
          <w:sz w:val="16"/>
        </w:rPr>
        <w:t>FIGURE 10.13: Clear</w:t>
      </w:r>
      <w:r>
        <w:rPr>
          <w:spacing w:val="1"/>
          <w:sz w:val="16"/>
        </w:rPr>
        <w:t> </w:t>
      </w:r>
      <w:r>
        <w:rPr>
          <w:sz w:val="16"/>
        </w:rPr>
        <w:t>MTZ support sparks a two-week rally in</w:t>
      </w:r>
      <w:r>
        <w:rPr>
          <w:spacing w:val="1"/>
          <w:sz w:val="16"/>
        </w:rPr>
        <w:t> </w:t>
      </w:r>
      <w:r>
        <w:rPr>
          <w:sz w:val="16"/>
        </w:rPr>
        <w:t>the</w:t>
      </w:r>
      <w:r>
        <w:rPr>
          <w:spacing w:val="1"/>
          <w:sz w:val="16"/>
        </w:rPr>
        <w:t> </w:t>
      </w:r>
      <w:r>
        <w:rPr>
          <w:spacing w:val="-5"/>
          <w:sz w:val="16"/>
        </w:rPr>
        <w:t>TF</w:t>
      </w:r>
    </w:p>
    <w:p>
      <w:pPr>
        <w:pStyle w:val="BodyText"/>
        <w:spacing w:before="1"/>
      </w:pPr>
    </w:p>
    <w:p>
      <w:pPr>
        <w:pStyle w:val="BodyText"/>
        <w:spacing w:before="1"/>
        <w:ind w:left="139" w:right="495" w:firstLine="432"/>
        <w:jc w:val="both"/>
      </w:pPr>
      <w:r>
        <w:rPr/>
        <w:t>Let’s take a look at another example of multiple timeframe confluence. Figure 10.14 shows a sixty-minute chart of the Silver futures contract that shows the convergence of major pivot confluence and multiple signal generation. Silver rallied up toward the $19.50 level, but ran right into multiple timeframe pivot resistance, consisting of intraday, monthly, and yearly pivot levels. Add to this the fact that every major signal that I have shared throughout this book fired in a three-day window, and you have the makings of a major market reversal in this commodity.</w:t>
      </w:r>
    </w:p>
    <w:p>
      <w:pPr>
        <w:pStyle w:val="BodyText"/>
        <w:ind w:left="139" w:right="496" w:firstLine="432"/>
        <w:jc w:val="both"/>
      </w:pPr>
      <w:r>
        <w:rPr/>
        <w:t>The chart shows that all four bearish signals (the extreme, outside, doji, and wick reversal setups) fired within a few days of each other, as price</w:t>
      </w:r>
      <w:r>
        <w:rPr>
          <w:spacing w:val="40"/>
        </w:rPr>
        <w:t> </w:t>
      </w:r>
      <w:r>
        <w:rPr/>
        <w:t>tested this major band of pivot confluence. Basically, the market was beginning to see major resistance at the MTZ and price behavior, via candlesticks, began to sound the alarm bells, which ultimately led to a significant</w:t>
      </w:r>
      <w:r>
        <w:rPr>
          <w:spacing w:val="-1"/>
        </w:rPr>
        <w:t> </w:t>
      </w:r>
      <w:r>
        <w:rPr/>
        <w:t>drop</w:t>
      </w:r>
      <w:r>
        <w:rPr>
          <w:spacing w:val="-1"/>
        </w:rPr>
        <w:t> </w:t>
      </w:r>
      <w:r>
        <w:rPr/>
        <w:t>in</w:t>
      </w:r>
      <w:r>
        <w:rPr>
          <w:spacing w:val="-1"/>
        </w:rPr>
        <w:t> </w:t>
      </w:r>
      <w:r>
        <w:rPr/>
        <w:t>price</w:t>
      </w:r>
      <w:r>
        <w:rPr>
          <w:spacing w:val="-1"/>
        </w:rPr>
        <w:t> </w:t>
      </w:r>
      <w:r>
        <w:rPr/>
        <w:t>over</w:t>
      </w:r>
      <w:r>
        <w:rPr>
          <w:spacing w:val="-1"/>
        </w:rPr>
        <w:t> </w:t>
      </w:r>
      <w:r>
        <w:rPr/>
        <w:t>the</w:t>
      </w:r>
      <w:r>
        <w:rPr>
          <w:spacing w:val="-1"/>
        </w:rPr>
        <w:t> </w:t>
      </w:r>
      <w:r>
        <w:rPr/>
        <w:t>following</w:t>
      </w:r>
      <w:r>
        <w:rPr>
          <w:spacing w:val="-1"/>
        </w:rPr>
        <w:t> </w:t>
      </w:r>
      <w:r>
        <w:rPr/>
        <w:t>two</w:t>
      </w:r>
      <w:r>
        <w:rPr>
          <w:spacing w:val="-1"/>
        </w:rPr>
        <w:t> </w:t>
      </w:r>
      <w:r>
        <w:rPr/>
        <w:t>weeks.</w:t>
      </w:r>
      <w:r>
        <w:rPr>
          <w:spacing w:val="-1"/>
        </w:rPr>
        <w:t> </w:t>
      </w:r>
      <w:r>
        <w:rPr/>
        <w:t>A</w:t>
      </w:r>
      <w:r>
        <w:rPr>
          <w:spacing w:val="-1"/>
        </w:rPr>
        <w:t> </w:t>
      </w:r>
      <w:r>
        <w:rPr/>
        <w:t>price</w:t>
      </w:r>
      <w:r>
        <w:rPr>
          <w:spacing w:val="-1"/>
        </w:rPr>
        <w:t> </w:t>
      </w:r>
      <w:r>
        <w:rPr/>
        <w:t>drop</w:t>
      </w:r>
      <w:r>
        <w:rPr>
          <w:spacing w:val="-1"/>
        </w:rPr>
        <w:t> </w:t>
      </w:r>
      <w:r>
        <w:rPr/>
        <w:t>in</w:t>
      </w:r>
      <w:r>
        <w:rPr>
          <w:spacing w:val="-1"/>
        </w:rPr>
        <w:t> </w:t>
      </w:r>
      <w:r>
        <w:rPr/>
        <w:t>Silver futures from $19.50 to $17.00 is a major move, but what is more interesting</w:t>
      </w:r>
      <w:r>
        <w:rPr>
          <w:spacing w:val="40"/>
        </w:rPr>
        <w:t> </w:t>
      </w:r>
      <w:r>
        <w:rPr/>
        <w:t>is the fact that price dropped precisely to the next area of pivot confluence, which was a higher timeframe DPZ.</w:t>
      </w:r>
    </w:p>
    <w:p>
      <w:pPr>
        <w:spacing w:after="0"/>
        <w:jc w:val="both"/>
        <w:sectPr>
          <w:pgSz w:w="8640" w:h="12960"/>
          <w:pgMar w:header="579" w:footer="994" w:top="760" w:bottom="1260" w:left="580" w:right="580"/>
        </w:sectPr>
      </w:pPr>
    </w:p>
    <w:p>
      <w:pPr>
        <w:pStyle w:val="BodyText"/>
        <w:spacing w:after="1"/>
        <w:rPr>
          <w:sz w:val="28"/>
        </w:rPr>
      </w:pPr>
    </w:p>
    <w:p>
      <w:pPr>
        <w:pStyle w:val="BodyText"/>
        <w:ind w:left="500"/>
        <w:rPr>
          <w:sz w:val="20"/>
        </w:rPr>
      </w:pPr>
      <w:r>
        <w:rPr>
          <w:sz w:val="20"/>
        </w:rPr>
        <w:drawing>
          <wp:inline distT="0" distB="0" distL="0" distR="0">
            <wp:extent cx="4304161" cy="3077527"/>
            <wp:effectExtent l="0" t="0" r="0" b="0"/>
            <wp:docPr id="323" name="image168.png"/>
            <wp:cNvGraphicFramePr>
              <a:graphicFrameLocks noChangeAspect="1"/>
            </wp:cNvGraphicFramePr>
            <a:graphic>
              <a:graphicData uri="http://schemas.openxmlformats.org/drawingml/2006/picture">
                <pic:pic>
                  <pic:nvPicPr>
                    <pic:cNvPr id="324" name="image168.png"/>
                    <pic:cNvPicPr/>
                  </pic:nvPicPr>
                  <pic:blipFill>
                    <a:blip r:embed="rId339" cstate="print"/>
                    <a:stretch>
                      <a:fillRect/>
                    </a:stretch>
                  </pic:blipFill>
                  <pic:spPr>
                    <a:xfrm>
                      <a:off x="0" y="0"/>
                      <a:ext cx="4304161" cy="3077527"/>
                    </a:xfrm>
                    <a:prstGeom prst="rect">
                      <a:avLst/>
                    </a:prstGeom>
                  </pic:spPr>
                </pic:pic>
              </a:graphicData>
            </a:graphic>
          </wp:inline>
        </w:drawing>
      </w:r>
      <w:r>
        <w:rPr>
          <w:sz w:val="20"/>
        </w:rPr>
      </w:r>
    </w:p>
    <w:p>
      <w:pPr>
        <w:spacing w:before="49"/>
        <w:ind w:left="500" w:right="0" w:firstLine="0"/>
        <w:jc w:val="left"/>
        <w:rPr>
          <w:sz w:val="16"/>
        </w:rPr>
      </w:pPr>
      <w:r>
        <w:rPr>
          <w:sz w:val="16"/>
        </w:rPr>
        <w:t>FIGURE</w:t>
      </w:r>
      <w:r>
        <w:rPr>
          <w:spacing w:val="-1"/>
          <w:sz w:val="16"/>
        </w:rPr>
        <w:t> </w:t>
      </w:r>
      <w:r>
        <w:rPr>
          <w:sz w:val="16"/>
        </w:rPr>
        <w:t>10.14: The Silver futures contract</w:t>
      </w:r>
      <w:r>
        <w:rPr>
          <w:spacing w:val="-1"/>
          <w:sz w:val="16"/>
        </w:rPr>
        <w:t> </w:t>
      </w:r>
      <w:r>
        <w:rPr>
          <w:sz w:val="16"/>
        </w:rPr>
        <w:t>drops away</w:t>
      </w:r>
      <w:r>
        <w:rPr>
          <w:spacing w:val="1"/>
          <w:sz w:val="16"/>
        </w:rPr>
        <w:t> </w:t>
      </w:r>
      <w:r>
        <w:rPr>
          <w:sz w:val="16"/>
        </w:rPr>
        <w:t>from</w:t>
      </w:r>
      <w:r>
        <w:rPr>
          <w:spacing w:val="1"/>
          <w:sz w:val="16"/>
        </w:rPr>
        <w:t> </w:t>
      </w:r>
      <w:r>
        <w:rPr>
          <w:sz w:val="16"/>
        </w:rPr>
        <w:t>a</w:t>
      </w:r>
      <w:r>
        <w:rPr>
          <w:spacing w:val="3"/>
          <w:sz w:val="16"/>
        </w:rPr>
        <w:t> </w:t>
      </w:r>
      <w:r>
        <w:rPr>
          <w:sz w:val="16"/>
        </w:rPr>
        <w:t>major band of MTZ</w:t>
      </w:r>
      <w:r>
        <w:rPr>
          <w:spacing w:val="1"/>
          <w:sz w:val="16"/>
        </w:rPr>
        <w:t> </w:t>
      </w:r>
      <w:r>
        <w:rPr>
          <w:spacing w:val="-2"/>
          <w:sz w:val="16"/>
        </w:rPr>
        <w:t>resistance</w:t>
      </w:r>
    </w:p>
    <w:p>
      <w:pPr>
        <w:pStyle w:val="BodyText"/>
        <w:spacing w:before="2"/>
      </w:pPr>
    </w:p>
    <w:p>
      <w:pPr>
        <w:pStyle w:val="BodyText"/>
        <w:ind w:left="499" w:right="136" w:firstLine="432"/>
        <w:jc w:val="both"/>
      </w:pPr>
      <w:r>
        <w:rPr/>
        <w:t>The next chart I want to share shows a bearish test at a MTZ resistance band that sparks a two-day drop in the E-Mini S&amp;P 500 futures contract. Figure 10.15 shows the ES formed a bearish outside reversal pattern in the sixty-minute</w:t>
      </w:r>
      <w:r>
        <w:rPr>
          <w:spacing w:val="-2"/>
        </w:rPr>
        <w:t> </w:t>
      </w:r>
      <w:r>
        <w:rPr/>
        <w:t>chart</w:t>
      </w:r>
      <w:r>
        <w:rPr>
          <w:spacing w:val="-2"/>
        </w:rPr>
        <w:t> </w:t>
      </w:r>
      <w:r>
        <w:rPr/>
        <w:t>in</w:t>
      </w:r>
      <w:r>
        <w:rPr>
          <w:spacing w:val="-2"/>
        </w:rPr>
        <w:t> </w:t>
      </w:r>
      <w:r>
        <w:rPr/>
        <w:t>late</w:t>
      </w:r>
      <w:r>
        <w:rPr>
          <w:spacing w:val="-2"/>
        </w:rPr>
        <w:t> </w:t>
      </w:r>
      <w:r>
        <w:rPr/>
        <w:t>January</w:t>
      </w:r>
      <w:r>
        <w:rPr>
          <w:spacing w:val="-2"/>
        </w:rPr>
        <w:t> </w:t>
      </w:r>
      <w:r>
        <w:rPr/>
        <w:t>2010.</w:t>
      </w:r>
      <w:r>
        <w:rPr>
          <w:spacing w:val="-2"/>
        </w:rPr>
        <w:t> </w:t>
      </w:r>
      <w:r>
        <w:rPr/>
        <w:t>This</w:t>
      </w:r>
      <w:r>
        <w:rPr>
          <w:spacing w:val="-2"/>
        </w:rPr>
        <w:t> </w:t>
      </w:r>
      <w:r>
        <w:rPr/>
        <w:t>bearish</w:t>
      </w:r>
      <w:r>
        <w:rPr>
          <w:spacing w:val="-2"/>
        </w:rPr>
        <w:t> </w:t>
      </w:r>
      <w:r>
        <w:rPr/>
        <w:t>signal</w:t>
      </w:r>
      <w:r>
        <w:rPr>
          <w:spacing w:val="-2"/>
        </w:rPr>
        <w:t> </w:t>
      </w:r>
      <w:r>
        <w:rPr/>
        <w:t>was</w:t>
      </w:r>
      <w:r>
        <w:rPr>
          <w:spacing w:val="-2"/>
        </w:rPr>
        <w:t> </w:t>
      </w:r>
      <w:r>
        <w:rPr/>
        <w:t>accompanied by intraday, weekly, and monthly pivot resistance from both the Floor Pivot indicator and Camarilla Equation. This bearish mix of factors led to a steady decline of fifty points over the next two sessions, which is quite a move for the ES. Of course, price halted its decline after reaching a higher timeframe DPZ, consisting of monthly S1 and L4 support, which made for a perfectly fine target.</w:t>
      </w:r>
    </w:p>
    <w:p>
      <w:pPr>
        <w:spacing w:after="0"/>
        <w:jc w:val="both"/>
        <w:sectPr>
          <w:headerReference w:type="default" r:id="rId335"/>
          <w:headerReference w:type="even" r:id="rId336"/>
          <w:footerReference w:type="default" r:id="rId337"/>
          <w:footerReference w:type="even" r:id="rId338"/>
          <w:pgSz w:w="8640" w:h="12960"/>
          <w:pgMar w:header="536" w:footer="1060" w:top="720" w:bottom="1260" w:left="580" w:right="580"/>
          <w:pgNumType w:start="277"/>
        </w:sectPr>
      </w:pPr>
    </w:p>
    <w:p>
      <w:pPr>
        <w:pStyle w:val="BodyText"/>
        <w:spacing w:before="3"/>
        <w:rPr>
          <w:sz w:val="24"/>
        </w:rPr>
      </w:pPr>
    </w:p>
    <w:p>
      <w:pPr>
        <w:pStyle w:val="BodyText"/>
        <w:ind w:left="140"/>
        <w:rPr>
          <w:sz w:val="20"/>
        </w:rPr>
      </w:pPr>
      <w:r>
        <w:rPr>
          <w:sz w:val="20"/>
        </w:rPr>
        <w:drawing>
          <wp:inline distT="0" distB="0" distL="0" distR="0">
            <wp:extent cx="4304849" cy="3068954"/>
            <wp:effectExtent l="0" t="0" r="0" b="0"/>
            <wp:docPr id="325" name="image169.png"/>
            <wp:cNvGraphicFramePr>
              <a:graphicFrameLocks noChangeAspect="1"/>
            </wp:cNvGraphicFramePr>
            <a:graphic>
              <a:graphicData uri="http://schemas.openxmlformats.org/drawingml/2006/picture">
                <pic:pic>
                  <pic:nvPicPr>
                    <pic:cNvPr id="326" name="image169.png"/>
                    <pic:cNvPicPr/>
                  </pic:nvPicPr>
                  <pic:blipFill>
                    <a:blip r:embed="rId340" cstate="print"/>
                    <a:stretch>
                      <a:fillRect/>
                    </a:stretch>
                  </pic:blipFill>
                  <pic:spPr>
                    <a:xfrm>
                      <a:off x="0" y="0"/>
                      <a:ext cx="4304849" cy="3068954"/>
                    </a:xfrm>
                    <a:prstGeom prst="rect">
                      <a:avLst/>
                    </a:prstGeom>
                  </pic:spPr>
                </pic:pic>
              </a:graphicData>
            </a:graphic>
          </wp:inline>
        </w:drawing>
      </w:r>
      <w:r>
        <w:rPr>
          <w:sz w:val="20"/>
        </w:rPr>
      </w:r>
    </w:p>
    <w:p>
      <w:pPr>
        <w:spacing w:before="49"/>
        <w:ind w:left="140" w:right="0" w:firstLine="0"/>
        <w:jc w:val="both"/>
        <w:rPr>
          <w:sz w:val="16"/>
        </w:rPr>
      </w:pPr>
      <w:r>
        <w:rPr>
          <w:sz w:val="16"/>
        </w:rPr>
        <w:t>FIGURE</w:t>
      </w:r>
      <w:r>
        <w:rPr>
          <w:spacing w:val="3"/>
          <w:sz w:val="16"/>
        </w:rPr>
        <w:t> </w:t>
      </w:r>
      <w:r>
        <w:rPr>
          <w:sz w:val="16"/>
        </w:rPr>
        <w:t>10.15:</w:t>
      </w:r>
      <w:r>
        <w:rPr>
          <w:spacing w:val="3"/>
          <w:sz w:val="16"/>
        </w:rPr>
        <w:t> </w:t>
      </w:r>
      <w:r>
        <w:rPr>
          <w:sz w:val="16"/>
        </w:rPr>
        <w:t>The</w:t>
      </w:r>
      <w:r>
        <w:rPr>
          <w:spacing w:val="3"/>
          <w:sz w:val="16"/>
        </w:rPr>
        <w:t> </w:t>
      </w:r>
      <w:r>
        <w:rPr>
          <w:sz w:val="16"/>
        </w:rPr>
        <w:t>ES</w:t>
      </w:r>
      <w:r>
        <w:rPr>
          <w:spacing w:val="4"/>
          <w:sz w:val="16"/>
        </w:rPr>
        <w:t> </w:t>
      </w:r>
      <w:r>
        <w:rPr>
          <w:sz w:val="16"/>
        </w:rPr>
        <w:t>turns</w:t>
      </w:r>
      <w:r>
        <w:rPr>
          <w:spacing w:val="3"/>
          <w:sz w:val="16"/>
        </w:rPr>
        <w:t> </w:t>
      </w:r>
      <w:r>
        <w:rPr>
          <w:sz w:val="16"/>
        </w:rPr>
        <w:t>down</w:t>
      </w:r>
      <w:r>
        <w:rPr>
          <w:spacing w:val="4"/>
          <w:sz w:val="16"/>
        </w:rPr>
        <w:t> </w:t>
      </w:r>
      <w:r>
        <w:rPr>
          <w:sz w:val="16"/>
        </w:rPr>
        <w:t>off</w:t>
      </w:r>
      <w:r>
        <w:rPr>
          <w:spacing w:val="4"/>
          <w:sz w:val="16"/>
        </w:rPr>
        <w:t> </w:t>
      </w:r>
      <w:r>
        <w:rPr>
          <w:sz w:val="16"/>
        </w:rPr>
        <w:t>MTZ</w:t>
      </w:r>
      <w:r>
        <w:rPr>
          <w:spacing w:val="4"/>
          <w:sz w:val="16"/>
        </w:rPr>
        <w:t> </w:t>
      </w:r>
      <w:r>
        <w:rPr>
          <w:spacing w:val="-2"/>
          <w:sz w:val="16"/>
        </w:rPr>
        <w:t>resistance</w:t>
      </w:r>
    </w:p>
    <w:p>
      <w:pPr>
        <w:pStyle w:val="BodyText"/>
        <w:spacing w:before="1"/>
      </w:pPr>
    </w:p>
    <w:p>
      <w:pPr>
        <w:pStyle w:val="BodyText"/>
        <w:ind w:left="139"/>
        <w:jc w:val="both"/>
      </w:pPr>
      <w:r>
        <w:rPr/>
        <w:t>BOSS</w:t>
      </w:r>
      <w:r>
        <w:rPr>
          <w:spacing w:val="-5"/>
        </w:rPr>
        <w:t> </w:t>
      </w:r>
      <w:r>
        <w:rPr/>
        <w:t>IN</w:t>
      </w:r>
      <w:r>
        <w:rPr>
          <w:spacing w:val="-5"/>
        </w:rPr>
        <w:t> </w:t>
      </w:r>
      <w:r>
        <w:rPr>
          <w:spacing w:val="-2"/>
        </w:rPr>
        <w:t>ACTION</w:t>
      </w:r>
    </w:p>
    <w:p>
      <w:pPr>
        <w:pStyle w:val="BodyText"/>
        <w:spacing w:before="1"/>
      </w:pPr>
    </w:p>
    <w:p>
      <w:pPr>
        <w:pStyle w:val="BodyText"/>
        <w:ind w:left="139" w:right="494" w:firstLine="432"/>
        <w:jc w:val="both"/>
      </w:pPr>
      <w:r>
        <w:rPr/>
        <w:t>Finding and trading multiple timeframe hot zones can be difficult at</w:t>
      </w:r>
      <w:r>
        <w:rPr>
          <w:spacing w:val="40"/>
        </w:rPr>
        <w:t> </w:t>
      </w:r>
      <w:r>
        <w:rPr/>
        <w:t>first. Actually, the task can be quite overwhelming. For those that are new to pivot-based trading, I usually suggest trading based off one set of pivots and one timeframe until you become comfortable with sorting through all the information that is presented in the charts. I do not like to clutter my charts, so I definitely do not plot every pivot-based indicator with every possible timeframe on my charts. Instead, my trading platform allows me to keep indicator templates where I can store various combinations of indicators, systems, and even chart styles. When the mood strikes,</w:t>
      </w:r>
      <w:r>
        <w:rPr/>
        <w:t> I simply flip to</w:t>
      </w:r>
      <w:r>
        <w:rPr>
          <w:spacing w:val="40"/>
        </w:rPr>
        <w:t> </w:t>
      </w:r>
      <w:r>
        <w:rPr/>
        <w:t>certain templates to see how price is responding to various pivot combinations across timeframes. It’s actually an efficient process.</w:t>
      </w:r>
    </w:p>
    <w:p>
      <w:pPr>
        <w:pStyle w:val="BodyText"/>
        <w:ind w:left="139" w:right="497" w:firstLine="432"/>
        <w:jc w:val="both"/>
      </w:pPr>
      <w:r>
        <w:rPr/>
        <w:t>I also have a routine that I follow at the conclusion of each trading session whereby I analyze each of the major instruments that I follow. I will look for major bands of confluence, study pivot relationships, and even identify key chart patterns in the chart, among other things. Therefore, when Apple, Inc. was approaching a monthly GPZ, I knew that a potential bounce could be seen off this MTZ (seen in Figure 10.16). Apple opened the session with</w:t>
      </w:r>
      <w:r>
        <w:rPr>
          <w:spacing w:val="33"/>
        </w:rPr>
        <w:t> </w:t>
      </w:r>
      <w:r>
        <w:rPr/>
        <w:t>early</w:t>
      </w:r>
      <w:r>
        <w:rPr>
          <w:spacing w:val="34"/>
        </w:rPr>
        <w:t> </w:t>
      </w:r>
      <w:r>
        <w:rPr/>
        <w:t>weakness</w:t>
      </w:r>
      <w:r>
        <w:rPr>
          <w:spacing w:val="34"/>
        </w:rPr>
        <w:t> </w:t>
      </w:r>
      <w:r>
        <w:rPr/>
        <w:t>and</w:t>
      </w:r>
      <w:r>
        <w:rPr>
          <w:spacing w:val="34"/>
        </w:rPr>
        <w:t> </w:t>
      </w:r>
      <w:r>
        <w:rPr/>
        <w:t>dropped</w:t>
      </w:r>
      <w:r>
        <w:rPr>
          <w:spacing w:val="33"/>
        </w:rPr>
        <w:t> </w:t>
      </w:r>
      <w:r>
        <w:rPr/>
        <w:t>precisely</w:t>
      </w:r>
      <w:r>
        <w:rPr>
          <w:spacing w:val="34"/>
        </w:rPr>
        <w:t> </w:t>
      </w:r>
      <w:r>
        <w:rPr/>
        <w:t>to</w:t>
      </w:r>
      <w:r>
        <w:rPr>
          <w:spacing w:val="33"/>
        </w:rPr>
        <w:t> </w:t>
      </w:r>
      <w:r>
        <w:rPr/>
        <w:t>monthly</w:t>
      </w:r>
      <w:r>
        <w:rPr>
          <w:spacing w:val="34"/>
        </w:rPr>
        <w:t> </w:t>
      </w:r>
      <w:r>
        <w:rPr/>
        <w:t>and</w:t>
      </w:r>
      <w:r>
        <w:rPr>
          <w:spacing w:val="34"/>
        </w:rPr>
        <w:t> </w:t>
      </w:r>
      <w:r>
        <w:rPr/>
        <w:t>intraday</w:t>
      </w:r>
      <w:r>
        <w:rPr>
          <w:spacing w:val="33"/>
        </w:rPr>
        <w:t> </w:t>
      </w:r>
      <w:r>
        <w:rPr>
          <w:spacing w:val="-2"/>
        </w:rPr>
        <w:t>pivot</w:t>
      </w:r>
    </w:p>
    <w:p>
      <w:pPr>
        <w:pStyle w:val="BodyText"/>
        <w:ind w:left="110"/>
        <w:jc w:val="both"/>
      </w:pPr>
      <w:r>
        <w:rPr>
          <w:spacing w:val="-26"/>
          <w:u w:val="single"/>
        </w:rPr>
        <w:t> </w:t>
      </w:r>
      <w:r>
        <w:rPr>
          <w:u w:val="single"/>
        </w:rPr>
        <w:t>support,</w:t>
      </w:r>
      <w:r>
        <w:rPr>
          <w:spacing w:val="47"/>
          <w:u w:val="single"/>
        </w:rPr>
        <w:t> </w:t>
      </w:r>
      <w:r>
        <w:rPr>
          <w:u w:val="single"/>
        </w:rPr>
        <w:t>consisting</w:t>
      </w:r>
      <w:r>
        <w:rPr>
          <w:spacing w:val="50"/>
          <w:u w:val="single"/>
        </w:rPr>
        <w:t> </w:t>
      </w:r>
      <w:r>
        <w:rPr>
          <w:u w:val="single"/>
        </w:rPr>
        <w:t>of</w:t>
      </w:r>
      <w:r>
        <w:rPr>
          <w:spacing w:val="50"/>
          <w:u w:val="single"/>
        </w:rPr>
        <w:t> </w:t>
      </w:r>
      <w:r>
        <w:rPr>
          <w:u w:val="single"/>
        </w:rPr>
        <w:t>four</w:t>
      </w:r>
      <w:r>
        <w:rPr>
          <w:spacing w:val="49"/>
          <w:u w:val="single"/>
        </w:rPr>
        <w:t> </w:t>
      </w:r>
      <w:r>
        <w:rPr>
          <w:u w:val="single"/>
        </w:rPr>
        <w:t>levels</w:t>
      </w:r>
      <w:r>
        <w:rPr>
          <w:spacing w:val="51"/>
          <w:u w:val="single"/>
        </w:rPr>
        <w:t> </w:t>
      </w:r>
      <w:r>
        <w:rPr>
          <w:u w:val="single"/>
        </w:rPr>
        <w:t>of</w:t>
      </w:r>
      <w:r>
        <w:rPr>
          <w:spacing w:val="50"/>
          <w:u w:val="single"/>
        </w:rPr>
        <w:t> </w:t>
      </w:r>
      <w:r>
        <w:rPr>
          <w:u w:val="single"/>
        </w:rPr>
        <w:t>pivot</w:t>
      </w:r>
      <w:r>
        <w:rPr>
          <w:spacing w:val="50"/>
          <w:u w:val="single"/>
        </w:rPr>
        <w:t> </w:t>
      </w:r>
      <w:r>
        <w:rPr>
          <w:u w:val="single"/>
        </w:rPr>
        <w:t>confluence.</w:t>
      </w:r>
      <w:r>
        <w:rPr>
          <w:spacing w:val="49"/>
          <w:u w:val="single"/>
        </w:rPr>
        <w:t> </w:t>
      </w:r>
      <w:r>
        <w:rPr>
          <w:u w:val="single"/>
        </w:rPr>
        <w:t>Since</w:t>
      </w:r>
      <w:r>
        <w:rPr>
          <w:spacing w:val="51"/>
          <w:u w:val="single"/>
        </w:rPr>
        <w:t> </w:t>
      </w:r>
      <w:r>
        <w:rPr>
          <w:u w:val="single"/>
        </w:rPr>
        <w:t>I</w:t>
      </w:r>
      <w:r>
        <w:rPr>
          <w:spacing w:val="51"/>
          <w:u w:val="single"/>
        </w:rPr>
        <w:t> </w:t>
      </w:r>
      <w:r>
        <w:rPr>
          <w:u w:val="single"/>
        </w:rPr>
        <w:t>knew</w:t>
      </w:r>
      <w:r>
        <w:rPr>
          <w:spacing w:val="50"/>
          <w:u w:val="single"/>
        </w:rPr>
        <w:t> </w:t>
      </w:r>
      <w:r>
        <w:rPr>
          <w:spacing w:val="-5"/>
          <w:u w:val="single"/>
        </w:rPr>
        <w:t>the</w:t>
      </w:r>
    </w:p>
    <w:p>
      <w:pPr>
        <w:spacing w:after="0"/>
        <w:jc w:val="both"/>
        <w:sectPr>
          <w:pgSz w:w="8640" w:h="12960"/>
          <w:pgMar w:header="579" w:footer="985" w:top="760" w:bottom="1180" w:left="580" w:right="580"/>
        </w:sectPr>
      </w:pPr>
    </w:p>
    <w:p>
      <w:pPr>
        <w:pStyle w:val="BodyText"/>
        <w:spacing w:before="3"/>
      </w:pPr>
    </w:p>
    <w:p>
      <w:pPr>
        <w:pStyle w:val="BodyText"/>
        <w:spacing w:before="64"/>
        <w:ind w:left="500" w:right="136"/>
        <w:jc w:val="both"/>
      </w:pPr>
      <w:r>
        <w:rPr/>
        <w:t>monthly</w:t>
      </w:r>
      <w:r>
        <w:rPr>
          <w:spacing w:val="-1"/>
        </w:rPr>
        <w:t> </w:t>
      </w:r>
      <w:r>
        <w:rPr/>
        <w:t>GPZ</w:t>
      </w:r>
      <w:r>
        <w:rPr>
          <w:spacing w:val="-1"/>
        </w:rPr>
        <w:t> </w:t>
      </w:r>
      <w:r>
        <w:rPr/>
        <w:t>was</w:t>
      </w:r>
      <w:r>
        <w:rPr>
          <w:spacing w:val="-1"/>
        </w:rPr>
        <w:t> </w:t>
      </w:r>
      <w:r>
        <w:rPr/>
        <w:t>likely</w:t>
      </w:r>
      <w:r>
        <w:rPr>
          <w:spacing w:val="-1"/>
        </w:rPr>
        <w:t> </w:t>
      </w:r>
      <w:r>
        <w:rPr/>
        <w:t>to</w:t>
      </w:r>
      <w:r>
        <w:rPr>
          <w:spacing w:val="-1"/>
        </w:rPr>
        <w:t> </w:t>
      </w:r>
      <w:r>
        <w:rPr/>
        <w:t>reject</w:t>
      </w:r>
      <w:r>
        <w:rPr>
          <w:spacing w:val="-1"/>
        </w:rPr>
        <w:t> </w:t>
      </w:r>
      <w:r>
        <w:rPr/>
        <w:t>a</w:t>
      </w:r>
      <w:r>
        <w:rPr>
          <w:spacing w:val="-1"/>
        </w:rPr>
        <w:t> </w:t>
      </w:r>
      <w:r>
        <w:rPr/>
        <w:t>bearish</w:t>
      </w:r>
      <w:r>
        <w:rPr>
          <w:spacing w:val="-1"/>
        </w:rPr>
        <w:t> </w:t>
      </w:r>
      <w:r>
        <w:rPr/>
        <w:t>continuation,</w:t>
      </w:r>
      <w:r>
        <w:rPr>
          <w:spacing w:val="-1"/>
        </w:rPr>
        <w:t> </w:t>
      </w:r>
      <w:r>
        <w:rPr/>
        <w:t>I</w:t>
      </w:r>
      <w:r>
        <w:rPr>
          <w:spacing w:val="-1"/>
        </w:rPr>
        <w:t> </w:t>
      </w:r>
      <w:r>
        <w:rPr/>
        <w:t>waited</w:t>
      </w:r>
      <w:r>
        <w:rPr>
          <w:spacing w:val="-1"/>
        </w:rPr>
        <w:t> </w:t>
      </w:r>
      <w:r>
        <w:rPr/>
        <w:t>for</w:t>
      </w:r>
      <w:r>
        <w:rPr>
          <w:spacing w:val="-1"/>
        </w:rPr>
        <w:t> </w:t>
      </w:r>
      <w:r>
        <w:rPr/>
        <w:t>signs</w:t>
      </w:r>
      <w:r>
        <w:rPr>
          <w:spacing w:val="-1"/>
        </w:rPr>
        <w:t> </w:t>
      </w:r>
      <w:r>
        <w:rPr/>
        <w:t>of a reversal via any of the key candlestick setups that I have covered. Seventy- five minutes into the trading session, AAPL formed a bullish wick reversal candlestick</w:t>
      </w:r>
      <w:r>
        <w:rPr>
          <w:spacing w:val="33"/>
        </w:rPr>
        <w:t> </w:t>
      </w:r>
      <w:r>
        <w:rPr/>
        <w:t>and</w:t>
      </w:r>
      <w:r>
        <w:rPr>
          <w:spacing w:val="33"/>
        </w:rPr>
        <w:t> </w:t>
      </w:r>
      <w:r>
        <w:rPr/>
        <w:t>a</w:t>
      </w:r>
      <w:r>
        <w:rPr>
          <w:spacing w:val="33"/>
        </w:rPr>
        <w:t> </w:t>
      </w:r>
      <w:r>
        <w:rPr/>
        <w:t>bullish</w:t>
      </w:r>
      <w:r>
        <w:rPr>
          <w:spacing w:val="31"/>
        </w:rPr>
        <w:t> </w:t>
      </w:r>
      <w:r>
        <w:rPr/>
        <w:t>doji</w:t>
      </w:r>
      <w:r>
        <w:rPr>
          <w:spacing w:val="33"/>
        </w:rPr>
        <w:t> </w:t>
      </w:r>
      <w:r>
        <w:rPr/>
        <w:t>reversal,</w:t>
      </w:r>
      <w:r>
        <w:rPr>
          <w:spacing w:val="32"/>
        </w:rPr>
        <w:t> </w:t>
      </w:r>
      <w:r>
        <w:rPr/>
        <w:t>which</w:t>
      </w:r>
      <w:r>
        <w:rPr>
          <w:spacing w:val="32"/>
        </w:rPr>
        <w:t> </w:t>
      </w:r>
      <w:r>
        <w:rPr/>
        <w:t>easily</w:t>
      </w:r>
      <w:r>
        <w:rPr>
          <w:spacing w:val="32"/>
        </w:rPr>
        <w:t> </w:t>
      </w:r>
      <w:r>
        <w:rPr/>
        <w:t>triggered</w:t>
      </w:r>
      <w:r>
        <w:rPr>
          <w:spacing w:val="33"/>
        </w:rPr>
        <w:t> </w:t>
      </w:r>
      <w:r>
        <w:rPr/>
        <w:t>my</w:t>
      </w:r>
      <w:r>
        <w:rPr>
          <w:spacing w:val="33"/>
        </w:rPr>
        <w:t> </w:t>
      </w:r>
      <w:r>
        <w:rPr/>
        <w:t>entry</w:t>
      </w:r>
      <w:r>
        <w:rPr>
          <w:spacing w:val="33"/>
        </w:rPr>
        <w:t> </w:t>
      </w:r>
      <w:r>
        <w:rPr/>
        <w:t>at</w:t>
      </w:r>
    </w:p>
    <w:p>
      <w:pPr>
        <w:pStyle w:val="BodyText"/>
        <w:ind w:left="500" w:right="136"/>
        <w:jc w:val="both"/>
      </w:pPr>
      <w:r>
        <w:rPr/>
        <w:t>$205.10. My initial target became double pivot resistance at $209.50, which was reached, but I also kept a trailing profit stop, since there was quite a bit</w:t>
      </w:r>
      <w:r>
        <w:rPr>
          <w:spacing w:val="40"/>
        </w:rPr>
        <w:t> </w:t>
      </w:r>
      <w:r>
        <w:rPr/>
        <w:t>of</w:t>
      </w:r>
      <w:r>
        <w:rPr>
          <w:spacing w:val="26"/>
        </w:rPr>
        <w:t> </w:t>
      </w:r>
      <w:r>
        <w:rPr/>
        <w:t>distance</w:t>
      </w:r>
      <w:r>
        <w:rPr>
          <w:spacing w:val="27"/>
        </w:rPr>
        <w:t> </w:t>
      </w:r>
      <w:r>
        <w:rPr/>
        <w:t>to</w:t>
      </w:r>
      <w:r>
        <w:rPr>
          <w:spacing w:val="26"/>
        </w:rPr>
        <w:t> </w:t>
      </w:r>
      <w:r>
        <w:rPr/>
        <w:t>cover</w:t>
      </w:r>
      <w:r>
        <w:rPr>
          <w:spacing w:val="27"/>
        </w:rPr>
        <w:t> </w:t>
      </w:r>
      <w:r>
        <w:rPr/>
        <w:t>in</w:t>
      </w:r>
      <w:r>
        <w:rPr>
          <w:spacing w:val="27"/>
        </w:rPr>
        <w:t> </w:t>
      </w:r>
      <w:r>
        <w:rPr/>
        <w:t>this</w:t>
      </w:r>
      <w:r>
        <w:rPr>
          <w:spacing w:val="26"/>
        </w:rPr>
        <w:t> </w:t>
      </w:r>
      <w:r>
        <w:rPr/>
        <w:t>trade.</w:t>
      </w:r>
      <w:r>
        <w:rPr>
          <w:spacing w:val="27"/>
        </w:rPr>
        <w:t> </w:t>
      </w:r>
      <w:r>
        <w:rPr/>
        <w:t>Ultimately,</w:t>
      </w:r>
      <w:r>
        <w:rPr>
          <w:spacing w:val="27"/>
        </w:rPr>
        <w:t> </w:t>
      </w:r>
      <w:r>
        <w:rPr/>
        <w:t>the</w:t>
      </w:r>
      <w:r>
        <w:rPr>
          <w:spacing w:val="26"/>
        </w:rPr>
        <w:t> </w:t>
      </w:r>
      <w:r>
        <w:rPr/>
        <w:t>trade</w:t>
      </w:r>
      <w:r>
        <w:rPr>
          <w:spacing w:val="27"/>
        </w:rPr>
        <w:t> </w:t>
      </w:r>
      <w:r>
        <w:rPr/>
        <w:t>delivered</w:t>
      </w:r>
      <w:r>
        <w:rPr>
          <w:spacing w:val="27"/>
        </w:rPr>
        <w:t> </w:t>
      </w:r>
      <w:r>
        <w:rPr/>
        <w:t>a</w:t>
      </w:r>
      <w:r>
        <w:rPr>
          <w:spacing w:val="27"/>
        </w:rPr>
        <w:t> </w:t>
      </w:r>
      <w:r>
        <w:rPr/>
        <w:t>gain</w:t>
      </w:r>
      <w:r>
        <w:rPr>
          <w:spacing w:val="27"/>
        </w:rPr>
        <w:t> </w:t>
      </w:r>
      <w:r>
        <w:rPr>
          <w:spacing w:val="-5"/>
        </w:rPr>
        <w:t>of</w:t>
      </w:r>
    </w:p>
    <w:p>
      <w:pPr>
        <w:pStyle w:val="BodyText"/>
        <w:ind w:left="500"/>
        <w:jc w:val="both"/>
      </w:pPr>
      <w:r>
        <w:rPr/>
        <w:t>$4.40</w:t>
      </w:r>
      <w:r>
        <w:rPr>
          <w:spacing w:val="-6"/>
        </w:rPr>
        <w:t> </w:t>
      </w:r>
      <w:r>
        <w:rPr/>
        <w:t>off</w:t>
      </w:r>
      <w:r>
        <w:rPr>
          <w:spacing w:val="-5"/>
        </w:rPr>
        <w:t> </w:t>
      </w:r>
      <w:r>
        <w:rPr/>
        <w:t>this</w:t>
      </w:r>
      <w:r>
        <w:rPr>
          <w:spacing w:val="-5"/>
        </w:rPr>
        <w:t> </w:t>
      </w:r>
      <w:r>
        <w:rPr/>
        <w:t>powerful</w:t>
      </w:r>
      <w:r>
        <w:rPr>
          <w:spacing w:val="-5"/>
        </w:rPr>
        <w:t> </w:t>
      </w:r>
      <w:r>
        <w:rPr/>
        <w:t>band</w:t>
      </w:r>
      <w:r>
        <w:rPr>
          <w:spacing w:val="-5"/>
        </w:rPr>
        <w:t> </w:t>
      </w:r>
      <w:r>
        <w:rPr/>
        <w:t>of</w:t>
      </w:r>
      <w:r>
        <w:rPr>
          <w:spacing w:val="-5"/>
        </w:rPr>
        <w:t> </w:t>
      </w:r>
      <w:r>
        <w:rPr/>
        <w:t>multiple</w:t>
      </w:r>
      <w:r>
        <w:rPr>
          <w:spacing w:val="-5"/>
        </w:rPr>
        <w:t> </w:t>
      </w:r>
      <w:r>
        <w:rPr/>
        <w:t>timeframe</w:t>
      </w:r>
      <w:r>
        <w:rPr>
          <w:spacing w:val="-5"/>
        </w:rPr>
        <w:t> </w:t>
      </w:r>
      <w:r>
        <w:rPr>
          <w:spacing w:val="-2"/>
        </w:rPr>
        <w:t>confluence.</w:t>
      </w:r>
    </w:p>
    <w:p>
      <w:pPr>
        <w:pStyle w:val="BodyText"/>
        <w:spacing w:before="1"/>
        <w:rPr>
          <w:sz w:val="20"/>
        </w:rPr>
      </w:pPr>
      <w:r>
        <w:rPr/>
        <w:drawing>
          <wp:anchor distT="0" distB="0" distL="0" distR="0" allowOverlap="1" layoutInCell="1" locked="0" behindDoc="0" simplePos="0" relativeHeight="330">
            <wp:simplePos x="0" y="0"/>
            <wp:positionH relativeFrom="page">
              <wp:posOffset>685800</wp:posOffset>
            </wp:positionH>
            <wp:positionV relativeFrom="paragraph">
              <wp:posOffset>162229</wp:posOffset>
            </wp:positionV>
            <wp:extent cx="4342239" cy="3111722"/>
            <wp:effectExtent l="0" t="0" r="0" b="0"/>
            <wp:wrapTopAndBottom/>
            <wp:docPr id="327" name="image170.png"/>
            <wp:cNvGraphicFramePr>
              <a:graphicFrameLocks noChangeAspect="1"/>
            </wp:cNvGraphicFramePr>
            <a:graphic>
              <a:graphicData uri="http://schemas.openxmlformats.org/drawingml/2006/picture">
                <pic:pic>
                  <pic:nvPicPr>
                    <pic:cNvPr id="328" name="image170.png"/>
                    <pic:cNvPicPr/>
                  </pic:nvPicPr>
                  <pic:blipFill>
                    <a:blip r:embed="rId341" cstate="print"/>
                    <a:stretch>
                      <a:fillRect/>
                    </a:stretch>
                  </pic:blipFill>
                  <pic:spPr>
                    <a:xfrm>
                      <a:off x="0" y="0"/>
                      <a:ext cx="4342239" cy="3111722"/>
                    </a:xfrm>
                    <a:prstGeom prst="rect">
                      <a:avLst/>
                    </a:prstGeom>
                  </pic:spPr>
                </pic:pic>
              </a:graphicData>
            </a:graphic>
          </wp:anchor>
        </w:drawing>
      </w:r>
    </w:p>
    <w:p>
      <w:pPr>
        <w:spacing w:before="0"/>
        <w:ind w:left="500" w:right="0" w:firstLine="0"/>
        <w:jc w:val="both"/>
        <w:rPr>
          <w:sz w:val="16"/>
        </w:rPr>
      </w:pPr>
      <w:r>
        <w:rPr>
          <w:sz w:val="16"/>
        </w:rPr>
        <w:t>FIGURE 10.16:</w:t>
      </w:r>
      <w:r>
        <w:rPr>
          <w:spacing w:val="1"/>
          <w:sz w:val="16"/>
        </w:rPr>
        <w:t> </w:t>
      </w:r>
      <w:r>
        <w:rPr>
          <w:sz w:val="16"/>
        </w:rPr>
        <w:t>Bullish</w:t>
      </w:r>
      <w:r>
        <w:rPr>
          <w:spacing w:val="1"/>
          <w:sz w:val="16"/>
        </w:rPr>
        <w:t> </w:t>
      </w:r>
      <w:r>
        <w:rPr>
          <w:sz w:val="16"/>
        </w:rPr>
        <w:t>intraday</w:t>
      </w:r>
      <w:r>
        <w:rPr>
          <w:spacing w:val="1"/>
          <w:sz w:val="16"/>
        </w:rPr>
        <w:t> </w:t>
      </w:r>
      <w:r>
        <w:rPr>
          <w:sz w:val="16"/>
        </w:rPr>
        <w:t>response</w:t>
      </w:r>
      <w:r>
        <w:rPr>
          <w:spacing w:val="1"/>
          <w:sz w:val="16"/>
        </w:rPr>
        <w:t> </w:t>
      </w:r>
      <w:r>
        <w:rPr>
          <w:sz w:val="16"/>
        </w:rPr>
        <w:t>to a</w:t>
      </w:r>
      <w:r>
        <w:rPr>
          <w:spacing w:val="1"/>
          <w:sz w:val="16"/>
        </w:rPr>
        <w:t> </w:t>
      </w:r>
      <w:r>
        <w:rPr>
          <w:sz w:val="16"/>
        </w:rPr>
        <w:t>clear</w:t>
      </w:r>
      <w:r>
        <w:rPr>
          <w:spacing w:val="2"/>
          <w:sz w:val="16"/>
        </w:rPr>
        <w:t> </w:t>
      </w:r>
      <w:r>
        <w:rPr>
          <w:sz w:val="16"/>
        </w:rPr>
        <w:t>area</w:t>
      </w:r>
      <w:r>
        <w:rPr>
          <w:spacing w:val="2"/>
          <w:sz w:val="16"/>
        </w:rPr>
        <w:t> </w:t>
      </w:r>
      <w:r>
        <w:rPr>
          <w:sz w:val="16"/>
        </w:rPr>
        <w:t>of</w:t>
      </w:r>
      <w:r>
        <w:rPr>
          <w:spacing w:val="1"/>
          <w:sz w:val="16"/>
        </w:rPr>
        <w:t> </w:t>
      </w:r>
      <w:r>
        <w:rPr>
          <w:sz w:val="16"/>
        </w:rPr>
        <w:t>MTZ</w:t>
      </w:r>
      <w:r>
        <w:rPr>
          <w:spacing w:val="1"/>
          <w:sz w:val="16"/>
        </w:rPr>
        <w:t> </w:t>
      </w:r>
      <w:r>
        <w:rPr>
          <w:spacing w:val="-2"/>
          <w:sz w:val="16"/>
        </w:rPr>
        <w:t>support</w:t>
      </w:r>
    </w:p>
    <w:p>
      <w:pPr>
        <w:pStyle w:val="BodyText"/>
        <w:spacing w:before="8"/>
        <w:rPr>
          <w:sz w:val="21"/>
        </w:rPr>
      </w:pPr>
    </w:p>
    <w:p>
      <w:pPr>
        <w:pStyle w:val="Heading3"/>
        <w:ind w:left="500"/>
        <w:jc w:val="both"/>
      </w:pPr>
      <w:r>
        <w:rPr/>
        <w:pict>
          <v:shape style="position:absolute;margin-left:54.779999pt;margin-top:18.290308pt;width:341pt;height:.1pt;mso-position-horizontal-relative:page;mso-position-vertical-relative:paragraph;z-index:-15559168;mso-wrap-distance-left:0;mso-wrap-distance-right:0" id="docshape968" coordorigin="1096,366" coordsize="6820,0" path="m1096,366l7915,366e" filled="false" stroked="true" strokeweight=".75pt" strokecolor="#000000">
            <v:path arrowok="t"/>
            <v:stroke dashstyle="solid"/>
            <w10:wrap type="topAndBottom"/>
          </v:shape>
        </w:pict>
      </w:r>
      <w:bookmarkStart w:name="_TOC_250008" w:id="83"/>
      <w:r>
        <w:rPr>
          <w:smallCaps/>
        </w:rPr>
        <w:t>Engaging</w:t>
      </w:r>
      <w:r>
        <w:rPr>
          <w:smallCaps/>
          <w:spacing w:val="-11"/>
        </w:rPr>
        <w:t> </w:t>
      </w:r>
      <w:r>
        <w:rPr>
          <w:smallCaps/>
        </w:rPr>
        <w:t>Hot</w:t>
      </w:r>
      <w:r>
        <w:rPr>
          <w:smallCaps/>
          <w:spacing w:val="-13"/>
        </w:rPr>
        <w:t> </w:t>
      </w:r>
      <w:bookmarkEnd w:id="83"/>
      <w:r>
        <w:rPr>
          <w:smallCaps/>
          <w:spacing w:val="-4"/>
        </w:rPr>
        <w:t>Zones</w:t>
      </w:r>
    </w:p>
    <w:p>
      <w:pPr>
        <w:pStyle w:val="BodyText"/>
        <w:spacing w:before="202"/>
        <w:ind w:left="500" w:right="135" w:firstLine="432"/>
        <w:jc w:val="both"/>
      </w:pPr>
      <w:r>
        <w:rPr/>
        <w:t>Multiple pivot confluence levels carry an amazing ability to influence price.</w:t>
      </w:r>
      <w:r>
        <w:rPr/>
        <w:t> This is due to the fact that they command the attention of multiple types of market players. While trading based off of intraday pivot levels can certainly light the path to profits, combining multiple pivot confluence levels with higher timeframe pivot analysis can easily take your trading to another level of trading success.</w:t>
      </w:r>
    </w:p>
    <w:p>
      <w:pPr>
        <w:pStyle w:val="BodyText"/>
        <w:ind w:left="500" w:right="136" w:firstLine="432"/>
        <w:jc w:val="both"/>
      </w:pPr>
      <w:r>
        <w:rPr/>
        <w:t>The key to trading successfully trading with multiple pivot</w:t>
      </w:r>
      <w:r>
        <w:rPr>
          <w:spacing w:val="40"/>
        </w:rPr>
        <w:t> </w:t>
      </w:r>
      <w:r>
        <w:rPr/>
        <w:t>confirmation, however, lies within the ability to filter out the “noise.” While all</w:t>
      </w:r>
      <w:r>
        <w:rPr>
          <w:spacing w:val="31"/>
        </w:rPr>
        <w:t> </w:t>
      </w:r>
      <w:r>
        <w:rPr/>
        <w:t>pivots</w:t>
      </w:r>
      <w:r>
        <w:rPr>
          <w:spacing w:val="31"/>
        </w:rPr>
        <w:t> </w:t>
      </w:r>
      <w:r>
        <w:rPr/>
        <w:t>have</w:t>
      </w:r>
      <w:r>
        <w:rPr>
          <w:spacing w:val="31"/>
        </w:rPr>
        <w:t> </w:t>
      </w:r>
      <w:r>
        <w:rPr/>
        <w:t>a</w:t>
      </w:r>
      <w:r>
        <w:rPr>
          <w:spacing w:val="31"/>
        </w:rPr>
        <w:t> </w:t>
      </w:r>
      <w:r>
        <w:rPr/>
        <w:t>certain</w:t>
      </w:r>
      <w:r>
        <w:rPr>
          <w:spacing w:val="31"/>
        </w:rPr>
        <w:t> </w:t>
      </w:r>
      <w:r>
        <w:rPr/>
        <w:t>amount</w:t>
      </w:r>
      <w:r>
        <w:rPr>
          <w:spacing w:val="31"/>
        </w:rPr>
        <w:t> </w:t>
      </w:r>
      <w:r>
        <w:rPr/>
        <w:t>of</w:t>
      </w:r>
      <w:r>
        <w:rPr>
          <w:spacing w:val="31"/>
        </w:rPr>
        <w:t> </w:t>
      </w:r>
      <w:r>
        <w:rPr/>
        <w:t>significance,</w:t>
      </w:r>
      <w:r>
        <w:rPr>
          <w:spacing w:val="31"/>
        </w:rPr>
        <w:t> </w:t>
      </w:r>
      <w:r>
        <w:rPr/>
        <w:t>not</w:t>
      </w:r>
      <w:r>
        <w:rPr>
          <w:spacing w:val="31"/>
        </w:rPr>
        <w:t> </w:t>
      </w:r>
      <w:r>
        <w:rPr/>
        <w:t>all</w:t>
      </w:r>
      <w:r>
        <w:rPr>
          <w:spacing w:val="31"/>
        </w:rPr>
        <w:t> </w:t>
      </w:r>
      <w:r>
        <w:rPr/>
        <w:t>pivots</w:t>
      </w:r>
      <w:r>
        <w:rPr>
          <w:spacing w:val="30"/>
        </w:rPr>
        <w:t> </w:t>
      </w:r>
      <w:r>
        <w:rPr/>
        <w:t>are</w:t>
      </w:r>
      <w:r>
        <w:rPr>
          <w:spacing w:val="31"/>
        </w:rPr>
        <w:t> </w:t>
      </w:r>
      <w:r>
        <w:rPr/>
        <w:t>created</w:t>
      </w:r>
    </w:p>
    <w:p>
      <w:pPr>
        <w:spacing w:after="0"/>
        <w:jc w:val="both"/>
        <w:sectPr>
          <w:pgSz w:w="8640" w:h="12960"/>
          <w:pgMar w:header="536" w:footer="1060" w:top="720" w:bottom="1260" w:left="580" w:right="580"/>
        </w:sectPr>
      </w:pPr>
    </w:p>
    <w:p>
      <w:pPr>
        <w:pStyle w:val="BodyText"/>
        <w:spacing w:before="5"/>
        <w:rPr>
          <w:sz w:val="18"/>
        </w:rPr>
      </w:pPr>
    </w:p>
    <w:p>
      <w:pPr>
        <w:pStyle w:val="BodyText"/>
        <w:spacing w:before="64"/>
        <w:ind w:left="140" w:right="496"/>
        <w:jc w:val="both"/>
      </w:pPr>
      <w:r>
        <w:rPr/>
        <w:t>equal. Understanding that the market has been in an uptrend should immediately turn your focus away from any pivot level below S1 support when using the Floor Pivot indicator. Likewise, noticing that L3 support lies within the central pivot range should automatically turn your attention to potential buying opportunities off this highly bullish GPZ. Of course, this</w:t>
      </w:r>
      <w:r>
        <w:rPr>
          <w:spacing w:val="40"/>
        </w:rPr>
        <w:t> </w:t>
      </w:r>
      <w:r>
        <w:rPr/>
        <w:t>will come with practice and patience. The more you engage the information, the</w:t>
      </w:r>
      <w:r>
        <w:rPr>
          <w:spacing w:val="30"/>
        </w:rPr>
        <w:t> </w:t>
      </w:r>
      <w:r>
        <w:rPr/>
        <w:t>more</w:t>
      </w:r>
      <w:r>
        <w:rPr>
          <w:spacing w:val="30"/>
        </w:rPr>
        <w:t> </w:t>
      </w:r>
      <w:r>
        <w:rPr/>
        <w:t>knowledgeable</w:t>
      </w:r>
      <w:r>
        <w:rPr>
          <w:spacing w:val="30"/>
        </w:rPr>
        <w:t> </w:t>
      </w:r>
      <w:r>
        <w:rPr/>
        <w:t>you</w:t>
      </w:r>
      <w:r>
        <w:rPr>
          <w:spacing w:val="29"/>
        </w:rPr>
        <w:t> </w:t>
      </w:r>
      <w:r>
        <w:rPr/>
        <w:t>will</w:t>
      </w:r>
      <w:r>
        <w:rPr>
          <w:spacing w:val="29"/>
        </w:rPr>
        <w:t> </w:t>
      </w:r>
      <w:r>
        <w:rPr/>
        <w:t>become.</w:t>
      </w:r>
      <w:r>
        <w:rPr>
          <w:spacing w:val="29"/>
        </w:rPr>
        <w:t> </w:t>
      </w:r>
      <w:r>
        <w:rPr/>
        <w:t>With</w:t>
      </w:r>
      <w:r>
        <w:rPr>
          <w:spacing w:val="29"/>
        </w:rPr>
        <w:t> </w:t>
      </w:r>
      <w:r>
        <w:rPr/>
        <w:t>knowledge</w:t>
      </w:r>
      <w:r>
        <w:rPr>
          <w:spacing w:val="29"/>
        </w:rPr>
        <w:t> </w:t>
      </w:r>
      <w:r>
        <w:rPr/>
        <w:t>comes</w:t>
      </w:r>
      <w:r>
        <w:rPr>
          <w:spacing w:val="30"/>
        </w:rPr>
        <w:t> </w:t>
      </w:r>
      <w:r>
        <w:rPr/>
        <w:t>power.</w:t>
      </w:r>
    </w:p>
    <w:p>
      <w:pPr>
        <w:spacing w:after="0"/>
        <w:jc w:val="both"/>
        <w:sectPr>
          <w:headerReference w:type="even" r:id="rId342"/>
          <w:footerReference w:type="even" r:id="rId343"/>
          <w:footerReference w:type="default" r:id="rId344"/>
          <w:pgSz w:w="8640" w:h="12960"/>
          <w:pgMar w:header="579" w:footer="1060" w:top="760" w:bottom="1260" w:left="580" w:right="580"/>
          <w:pgNumType w:star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pStyle w:val="Heading2"/>
        <w:spacing w:before="183"/>
        <w:ind w:left="1947"/>
        <w:rPr>
          <w:sz w:val="180"/>
        </w:rPr>
      </w:pPr>
      <w:r>
        <w:rPr/>
        <w:pict>
          <v:line style="position:absolute;mso-position-horizontal-relative:page;mso-position-vertical-relative:paragraph;z-index:-19516928" from="55.560001pt,103.374321pt" to="390.000001pt,103.374321pt" stroked="true" strokeweight=".75pt" strokecolor="#000000">
            <v:stroke dashstyle="solid"/>
            <w10:wrap type="none"/>
          </v:line>
        </w:pict>
      </w:r>
      <w:bookmarkStart w:name="_TOC_250007" w:id="84"/>
      <w:r>
        <w:rPr>
          <w:w w:val="105"/>
        </w:rPr>
        <w:t>C H A P T E R</w:t>
      </w:r>
      <w:r>
        <w:rPr>
          <w:spacing w:val="-1"/>
          <w:w w:val="105"/>
        </w:rPr>
        <w:t> </w:t>
      </w:r>
      <w:bookmarkEnd w:id="84"/>
      <w:r>
        <w:rPr>
          <w:spacing w:val="-5"/>
          <w:w w:val="105"/>
          <w:sz w:val="180"/>
        </w:rPr>
        <w:t>11</w:t>
      </w:r>
    </w:p>
    <w:p>
      <w:pPr>
        <w:pStyle w:val="Heading1"/>
        <w:spacing w:line="276" w:lineRule="auto"/>
        <w:ind w:left="3720" w:firstLine="850"/>
      </w:pPr>
      <w:bookmarkStart w:name="_TOC_250006" w:id="85"/>
      <w:r>
        <w:rPr>
          <w:smallCaps/>
          <w:spacing w:val="-2"/>
          <w:w w:val="90"/>
        </w:rPr>
        <w:t>Planning </w:t>
      </w:r>
      <w:r>
        <w:rPr>
          <w:smallCaps/>
          <w:w w:val="90"/>
        </w:rPr>
        <w:t>For</w:t>
      </w:r>
      <w:r>
        <w:rPr>
          <w:smallCaps/>
          <w:spacing w:val="15"/>
        </w:rPr>
        <w:t> </w:t>
      </w:r>
      <w:bookmarkEnd w:id="85"/>
      <w:r>
        <w:rPr>
          <w:smallCaps/>
          <w:spacing w:val="-2"/>
          <w:w w:val="90"/>
        </w:rPr>
        <w:t>Success</w:t>
      </w:r>
    </w:p>
    <w:p>
      <w:pPr>
        <w:spacing w:line="276" w:lineRule="auto" w:before="290"/>
        <w:ind w:left="1219" w:right="0" w:firstLine="0"/>
        <w:jc w:val="left"/>
        <w:rPr>
          <w:i/>
          <w:sz w:val="22"/>
        </w:rPr>
      </w:pPr>
      <w:r>
        <w:rPr>
          <w:i/>
          <w:sz w:val="22"/>
        </w:rPr>
        <w:t>“The courage in a speculator is merely the confidence to act on the</w:t>
      </w:r>
      <w:r>
        <w:rPr>
          <w:i/>
          <w:sz w:val="22"/>
        </w:rPr>
        <w:t> decision of his mind.”</w:t>
      </w:r>
    </w:p>
    <w:p>
      <w:pPr>
        <w:pStyle w:val="BodyText"/>
        <w:ind w:right="138"/>
        <w:jc w:val="right"/>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spacing w:before="151"/>
        <w:ind w:left="499" w:right="136" w:firstLine="432"/>
        <w:jc w:val="both"/>
      </w:pPr>
      <w:r>
        <w:rPr/>
        <w:t>The prior chapters have unlocked the door to a world of pivots that only professionals knew existed. This world illuminates the underlying support and resistance levels professionals have been using for decades in every market and timeframe. Now, traders from all backgrounds and levels of experience</w:t>
      </w:r>
      <w:r>
        <w:rPr>
          <w:spacing w:val="30"/>
        </w:rPr>
        <w:t> </w:t>
      </w:r>
      <w:r>
        <w:rPr/>
        <w:t>can</w:t>
      </w:r>
      <w:r>
        <w:rPr>
          <w:spacing w:val="30"/>
        </w:rPr>
        <w:t> </w:t>
      </w:r>
      <w:r>
        <w:rPr/>
        <w:t>enjoy</w:t>
      </w:r>
      <w:r>
        <w:rPr>
          <w:spacing w:val="30"/>
        </w:rPr>
        <w:t> </w:t>
      </w:r>
      <w:r>
        <w:rPr/>
        <w:t>the</w:t>
      </w:r>
      <w:r>
        <w:rPr>
          <w:spacing w:val="30"/>
        </w:rPr>
        <w:t> </w:t>
      </w:r>
      <w:r>
        <w:rPr/>
        <w:t>power</w:t>
      </w:r>
      <w:r>
        <w:rPr>
          <w:spacing w:val="30"/>
        </w:rPr>
        <w:t> </w:t>
      </w:r>
      <w:r>
        <w:rPr/>
        <w:t>of</w:t>
      </w:r>
      <w:r>
        <w:rPr>
          <w:spacing w:val="30"/>
        </w:rPr>
        <w:t> </w:t>
      </w:r>
      <w:r>
        <w:rPr/>
        <w:t>pivots</w:t>
      </w:r>
      <w:r>
        <w:rPr>
          <w:spacing w:val="30"/>
        </w:rPr>
        <w:t> </w:t>
      </w:r>
      <w:r>
        <w:rPr/>
        <w:t>and</w:t>
      </w:r>
      <w:r>
        <w:rPr>
          <w:spacing w:val="30"/>
        </w:rPr>
        <w:t> </w:t>
      </w:r>
      <w:r>
        <w:rPr/>
        <w:t>the</w:t>
      </w:r>
      <w:r>
        <w:rPr>
          <w:spacing w:val="29"/>
        </w:rPr>
        <w:t> </w:t>
      </w:r>
      <w:r>
        <w:rPr/>
        <w:t>many</w:t>
      </w:r>
      <w:r>
        <w:rPr>
          <w:spacing w:val="30"/>
        </w:rPr>
        <w:t> </w:t>
      </w:r>
      <w:r>
        <w:rPr/>
        <w:t>layers</w:t>
      </w:r>
      <w:r>
        <w:rPr>
          <w:spacing w:val="29"/>
        </w:rPr>
        <w:t> </w:t>
      </w:r>
      <w:r>
        <w:rPr/>
        <w:t>of</w:t>
      </w:r>
      <w:r>
        <w:rPr>
          <w:spacing w:val="30"/>
        </w:rPr>
        <w:t> </w:t>
      </w:r>
      <w:r>
        <w:rPr/>
        <w:t>analysis</w:t>
      </w:r>
    </w:p>
    <w:p>
      <w:pPr>
        <w:spacing w:after="0"/>
        <w:jc w:val="both"/>
        <w:sectPr>
          <w:headerReference w:type="default" r:id="rId345"/>
          <w:pgSz w:w="8640" w:h="12960"/>
          <w:pgMar w:header="0" w:footer="1032" w:top="1480" w:bottom="1220" w:left="580" w:right="580"/>
        </w:sectPr>
      </w:pPr>
    </w:p>
    <w:p>
      <w:pPr>
        <w:pStyle w:val="BodyText"/>
        <w:spacing w:before="5"/>
        <w:rPr>
          <w:sz w:val="18"/>
        </w:rPr>
      </w:pPr>
    </w:p>
    <w:p>
      <w:pPr>
        <w:pStyle w:val="BodyText"/>
        <w:spacing w:before="64"/>
        <w:ind w:left="140" w:right="497"/>
        <w:jc w:val="both"/>
      </w:pPr>
      <w:r>
        <w:rPr/>
        <w:t>and triggers they offer. I have literally spilled more than a decade of knowledge into the pages of this book and I strongly believe that the content herein will help you achieve a higher level of trading.</w:t>
      </w:r>
    </w:p>
    <w:p>
      <w:pPr>
        <w:pStyle w:val="BodyText"/>
        <w:spacing w:before="1"/>
        <w:ind w:left="140" w:right="496" w:firstLine="432"/>
        <w:jc w:val="both"/>
      </w:pPr>
      <w:r>
        <w:rPr/>
        <w:t>While I strongly believe the trading edge the pivots offer is one of the best ways to approach the market in terms of analysis, trade triggers, and trade management, I will not tell you that every chart or every day will offer picture-perfect trading opportunities. Illiquid and irrational markets will not adhere to the pivots in a manner consistent with profitable trading. When a market is not responding to the pivots in a predictable and fluid manner, simply exclude that particular market from your watch list. If you make it a habit to trade only the charts that have a history of responding to the pivots, you will put yourself in a position to consistently profit in the markets.</w:t>
      </w:r>
    </w:p>
    <w:p>
      <w:pPr>
        <w:pStyle w:val="BodyText"/>
        <w:ind w:left="140" w:right="496" w:firstLine="432"/>
        <w:jc w:val="both"/>
      </w:pPr>
      <w:r>
        <w:rPr/>
        <w:t>Oddly enough, while trading profitably is difficult enough to accomplish, it is only a part of what makes a successful trader. The most successful traders are highly prepared and have a planned course of action</w:t>
      </w:r>
      <w:r>
        <w:rPr>
          <w:spacing w:val="80"/>
        </w:rPr>
        <w:t> </w:t>
      </w:r>
      <w:r>
        <w:rPr/>
        <w:t>for every aspect of trading, from selecting setups to deciding which markets to trade. It is this type of preparation that speeds up the learning curve and helps traders progress to the next level of trading success. In the following section, I will walk you through one of the most important routines of my trading regimen, which any aspiring trader should consider adopting.</w:t>
      </w:r>
    </w:p>
    <w:p>
      <w:pPr>
        <w:pStyle w:val="BodyText"/>
        <w:spacing w:before="9"/>
        <w:rPr>
          <w:sz w:val="21"/>
        </w:rPr>
      </w:pPr>
    </w:p>
    <w:p>
      <w:pPr>
        <w:pStyle w:val="Heading3"/>
        <w:spacing w:before="1"/>
        <w:jc w:val="both"/>
      </w:pPr>
      <w:r>
        <w:rPr/>
        <w:pict>
          <v:shape style="position:absolute;margin-left:36.779999pt;margin-top:18.340309pt;width:341pt;height:.1pt;mso-position-horizontal-relative:page;mso-position-vertical-relative:paragraph;z-index:-15558144;mso-wrap-distance-left:0;mso-wrap-distance-right:0" id="docshape980" coordorigin="736,367" coordsize="6820,0" path="m736,367l7555,367e" filled="false" stroked="true" strokeweight=".75pt" strokecolor="#000000">
            <v:path arrowok="t"/>
            <v:stroke dashstyle="solid"/>
            <w10:wrap type="topAndBottom"/>
          </v:shape>
        </w:pict>
      </w:r>
      <w:bookmarkStart w:name="_TOC_250005" w:id="86"/>
      <w:r>
        <w:rPr>
          <w:smallCaps/>
        </w:rPr>
        <w:t>The</w:t>
      </w:r>
      <w:r>
        <w:rPr>
          <w:smallCaps/>
          <w:spacing w:val="-7"/>
        </w:rPr>
        <w:t> </w:t>
      </w:r>
      <w:r>
        <w:rPr>
          <w:smallCaps/>
        </w:rPr>
        <w:t>Flight</w:t>
      </w:r>
      <w:r>
        <w:rPr>
          <w:smallCaps/>
          <w:spacing w:val="-10"/>
        </w:rPr>
        <w:t> </w:t>
      </w:r>
      <w:bookmarkEnd w:id="86"/>
      <w:r>
        <w:rPr>
          <w:smallCaps/>
          <w:spacing w:val="-4"/>
        </w:rPr>
        <w:t>Plan</w:t>
      </w:r>
    </w:p>
    <w:p>
      <w:pPr>
        <w:pStyle w:val="BodyText"/>
        <w:spacing w:before="202"/>
        <w:ind w:left="139" w:right="495" w:firstLine="432"/>
        <w:jc w:val="both"/>
      </w:pPr>
      <w:r>
        <w:rPr/>
        <w:t>If you study the common traits of the most successful traders, you will find they are all highly prepared. They diagnose the current state of the market and create expectations for potential</w:t>
      </w:r>
      <w:r>
        <w:rPr/>
        <w:t> market behavior. They have visualized</w:t>
      </w:r>
      <w:r>
        <w:rPr>
          <w:spacing w:val="-3"/>
        </w:rPr>
        <w:t> </w:t>
      </w:r>
      <w:r>
        <w:rPr/>
        <w:t>what</w:t>
      </w:r>
      <w:r>
        <w:rPr>
          <w:spacing w:val="-4"/>
        </w:rPr>
        <w:t> </w:t>
      </w:r>
      <w:r>
        <w:rPr/>
        <w:t>the</w:t>
      </w:r>
      <w:r>
        <w:rPr>
          <w:spacing w:val="-2"/>
        </w:rPr>
        <w:t> </w:t>
      </w:r>
      <w:r>
        <w:rPr/>
        <w:t>market</w:t>
      </w:r>
      <w:r>
        <w:rPr>
          <w:spacing w:val="-2"/>
        </w:rPr>
        <w:t> </w:t>
      </w:r>
      <w:r>
        <w:rPr/>
        <w:t>is</w:t>
      </w:r>
      <w:r>
        <w:rPr>
          <w:spacing w:val="-3"/>
        </w:rPr>
        <w:t> </w:t>
      </w:r>
      <w:r>
        <w:rPr/>
        <w:t>likely</w:t>
      </w:r>
      <w:r>
        <w:rPr>
          <w:spacing w:val="-3"/>
        </w:rPr>
        <w:t> </w:t>
      </w:r>
      <w:r>
        <w:rPr/>
        <w:t>to</w:t>
      </w:r>
      <w:r>
        <w:rPr>
          <w:spacing w:val="-5"/>
        </w:rPr>
        <w:t> </w:t>
      </w:r>
      <w:r>
        <w:rPr/>
        <w:t>do,</w:t>
      </w:r>
      <w:r>
        <w:rPr>
          <w:spacing w:val="-4"/>
        </w:rPr>
        <w:t> </w:t>
      </w:r>
      <w:r>
        <w:rPr/>
        <w:t>and</w:t>
      </w:r>
      <w:r>
        <w:rPr>
          <w:spacing w:val="-3"/>
        </w:rPr>
        <w:t> </w:t>
      </w:r>
      <w:r>
        <w:rPr/>
        <w:t>can</w:t>
      </w:r>
      <w:r>
        <w:rPr>
          <w:spacing w:val="-3"/>
        </w:rPr>
        <w:t> </w:t>
      </w:r>
      <w:r>
        <w:rPr/>
        <w:t>immediately</w:t>
      </w:r>
      <w:r>
        <w:rPr>
          <w:spacing w:val="-3"/>
        </w:rPr>
        <w:t> </w:t>
      </w:r>
      <w:r>
        <w:rPr/>
        <w:t>identify</w:t>
      </w:r>
      <w:r>
        <w:rPr>
          <w:spacing w:val="-4"/>
        </w:rPr>
        <w:t> </w:t>
      </w:r>
      <w:r>
        <w:rPr/>
        <w:t>when the market has diverged from the anticipated course of action. They prepare for certain types of outcomes and are ready for the expected, and the </w:t>
      </w:r>
      <w:r>
        <w:rPr>
          <w:spacing w:val="-2"/>
        </w:rPr>
        <w:t>unexpected.</w:t>
      </w:r>
    </w:p>
    <w:p>
      <w:pPr>
        <w:pStyle w:val="BodyText"/>
        <w:ind w:left="139" w:right="497" w:firstLine="432"/>
        <w:jc w:val="right"/>
      </w:pPr>
      <w:r>
        <w:rPr/>
        <w:t>Many</w:t>
      </w:r>
      <w:r>
        <w:rPr>
          <w:spacing w:val="-2"/>
        </w:rPr>
        <w:t> </w:t>
      </w:r>
      <w:r>
        <w:rPr/>
        <w:t>of</w:t>
      </w:r>
      <w:r>
        <w:rPr>
          <w:spacing w:val="-1"/>
        </w:rPr>
        <w:t> </w:t>
      </w:r>
      <w:r>
        <w:rPr/>
        <w:t>the</w:t>
      </w:r>
      <w:r>
        <w:rPr>
          <w:spacing w:val="-2"/>
        </w:rPr>
        <w:t> </w:t>
      </w:r>
      <w:r>
        <w:rPr/>
        <w:t>most</w:t>
      </w:r>
      <w:r>
        <w:rPr>
          <w:spacing w:val="-1"/>
        </w:rPr>
        <w:t> </w:t>
      </w:r>
      <w:r>
        <w:rPr/>
        <w:t>successful</w:t>
      </w:r>
      <w:r>
        <w:rPr>
          <w:spacing w:val="-1"/>
        </w:rPr>
        <w:t> </w:t>
      </w:r>
      <w:r>
        <w:rPr/>
        <w:t>traders</w:t>
      </w:r>
      <w:r>
        <w:rPr>
          <w:spacing w:val="-1"/>
        </w:rPr>
        <w:t> </w:t>
      </w:r>
      <w:r>
        <w:rPr/>
        <w:t>use</w:t>
      </w:r>
      <w:r>
        <w:rPr>
          <w:spacing w:val="-1"/>
        </w:rPr>
        <w:t> </w:t>
      </w:r>
      <w:r>
        <w:rPr/>
        <w:t>what</w:t>
      </w:r>
      <w:r>
        <w:rPr>
          <w:spacing w:val="-1"/>
        </w:rPr>
        <w:t> </w:t>
      </w:r>
      <w:r>
        <w:rPr/>
        <w:t>I</w:t>
      </w:r>
      <w:r>
        <w:rPr>
          <w:spacing w:val="-1"/>
        </w:rPr>
        <w:t> </w:t>
      </w:r>
      <w:r>
        <w:rPr/>
        <w:t>call</w:t>
      </w:r>
      <w:r>
        <w:rPr>
          <w:spacing w:val="-1"/>
        </w:rPr>
        <w:t> </w:t>
      </w:r>
      <w:r>
        <w:rPr/>
        <w:t>a</w:t>
      </w:r>
      <w:r>
        <w:rPr>
          <w:spacing w:val="-2"/>
        </w:rPr>
        <w:t> </w:t>
      </w:r>
      <w:r>
        <w:rPr>
          <w:i/>
        </w:rPr>
        <w:t>Flight</w:t>
      </w:r>
      <w:r>
        <w:rPr>
          <w:i/>
          <w:spacing w:val="-1"/>
        </w:rPr>
        <w:t> </w:t>
      </w:r>
      <w:r>
        <w:rPr>
          <w:i/>
        </w:rPr>
        <w:t>Plan</w:t>
      </w:r>
      <w:r>
        <w:rPr>
          <w:i/>
          <w:spacing w:val="-3"/>
        </w:rPr>
        <w:t> </w:t>
      </w:r>
      <w:r>
        <w:rPr/>
        <w:t>to</w:t>
      </w:r>
      <w:r>
        <w:rPr>
          <w:spacing w:val="-1"/>
        </w:rPr>
        <w:t> </w:t>
      </w:r>
      <w:r>
        <w:rPr/>
        <w:t>help guide them in the market. In aviation, pilots are generally required to file a</w:t>
      </w:r>
      <w:r>
        <w:rPr>
          <w:spacing w:val="40"/>
        </w:rPr>
        <w:t> </w:t>
      </w:r>
      <w:r>
        <w:rPr/>
        <w:t>flight</w:t>
      </w:r>
      <w:r>
        <w:rPr>
          <w:spacing w:val="80"/>
        </w:rPr>
        <w:t> </w:t>
      </w:r>
      <w:r>
        <w:rPr/>
        <w:t>plan</w:t>
      </w:r>
      <w:r>
        <w:rPr>
          <w:spacing w:val="80"/>
        </w:rPr>
        <w:t> </w:t>
      </w:r>
      <w:r>
        <w:rPr/>
        <w:t>before</w:t>
      </w:r>
      <w:r>
        <w:rPr>
          <w:spacing w:val="80"/>
        </w:rPr>
        <w:t> </w:t>
      </w:r>
      <w:r>
        <w:rPr/>
        <w:t>departure.</w:t>
      </w:r>
      <w:r>
        <w:rPr>
          <w:spacing w:val="80"/>
        </w:rPr>
        <w:t> </w:t>
      </w:r>
      <w:r>
        <w:rPr/>
        <w:t>Flight</w:t>
      </w:r>
      <w:r>
        <w:rPr>
          <w:spacing w:val="80"/>
        </w:rPr>
        <w:t> </w:t>
      </w:r>
      <w:r>
        <w:rPr/>
        <w:t>plans</w:t>
      </w:r>
      <w:r>
        <w:rPr>
          <w:spacing w:val="80"/>
        </w:rPr>
        <w:t> </w:t>
      </w:r>
      <w:r>
        <w:rPr/>
        <w:t>include</w:t>
      </w:r>
      <w:r>
        <w:rPr>
          <w:spacing w:val="80"/>
        </w:rPr>
        <w:t> </w:t>
      </w:r>
      <w:r>
        <w:rPr/>
        <w:t>information</w:t>
      </w:r>
      <w:r>
        <w:rPr>
          <w:spacing w:val="80"/>
        </w:rPr>
        <w:t> </w:t>
      </w:r>
      <w:r>
        <w:rPr/>
        <w:t>such</w:t>
      </w:r>
      <w:r>
        <w:rPr>
          <w:spacing w:val="80"/>
        </w:rPr>
        <w:t> </w:t>
      </w:r>
      <w:r>
        <w:rPr/>
        <w:t>as departure and arrival points, estimated time en route, the amount of fuel on board, the number of people on board, and alternate airports in case of bad</w:t>
      </w:r>
      <w:r>
        <w:rPr>
          <w:spacing w:val="40"/>
        </w:rPr>
        <w:t> </w:t>
      </w:r>
      <w:r>
        <w:rPr/>
        <w:t>weather</w:t>
      </w:r>
      <w:r>
        <w:rPr>
          <w:spacing w:val="35"/>
        </w:rPr>
        <w:t> </w:t>
      </w:r>
      <w:r>
        <w:rPr/>
        <w:t>or</w:t>
      </w:r>
      <w:r>
        <w:rPr>
          <w:spacing w:val="35"/>
        </w:rPr>
        <w:t> </w:t>
      </w:r>
      <w:r>
        <w:rPr/>
        <w:t>an</w:t>
      </w:r>
      <w:r>
        <w:rPr>
          <w:spacing w:val="35"/>
        </w:rPr>
        <w:t> </w:t>
      </w:r>
      <w:r>
        <w:rPr/>
        <w:t>emergency.</w:t>
      </w:r>
      <w:r>
        <w:rPr>
          <w:spacing w:val="34"/>
        </w:rPr>
        <w:t> </w:t>
      </w:r>
      <w:r>
        <w:rPr/>
        <w:t>In</w:t>
      </w:r>
      <w:r>
        <w:rPr>
          <w:spacing w:val="35"/>
        </w:rPr>
        <w:t> </w:t>
      </w:r>
      <w:r>
        <w:rPr/>
        <w:t>essence,</w:t>
      </w:r>
      <w:r>
        <w:rPr>
          <w:spacing w:val="35"/>
        </w:rPr>
        <w:t> </w:t>
      </w:r>
      <w:r>
        <w:rPr/>
        <w:t>flight</w:t>
      </w:r>
      <w:r>
        <w:rPr>
          <w:spacing w:val="34"/>
        </w:rPr>
        <w:t> </w:t>
      </w:r>
      <w:r>
        <w:rPr/>
        <w:t>plans</w:t>
      </w:r>
      <w:r>
        <w:rPr>
          <w:spacing w:val="34"/>
        </w:rPr>
        <w:t> </w:t>
      </w:r>
      <w:r>
        <w:rPr/>
        <w:t>help</w:t>
      </w:r>
      <w:r>
        <w:rPr>
          <w:spacing w:val="35"/>
        </w:rPr>
        <w:t> </w:t>
      </w:r>
      <w:r>
        <w:rPr/>
        <w:t>guide</w:t>
      </w:r>
      <w:r>
        <w:rPr>
          <w:spacing w:val="35"/>
        </w:rPr>
        <w:t> </w:t>
      </w:r>
      <w:r>
        <w:rPr/>
        <w:t>pilots</w:t>
      </w:r>
      <w:r>
        <w:rPr>
          <w:spacing w:val="35"/>
        </w:rPr>
        <w:t> </w:t>
      </w:r>
      <w:r>
        <w:rPr/>
        <w:t>under good</w:t>
      </w:r>
      <w:r>
        <w:rPr>
          <w:spacing w:val="-4"/>
        </w:rPr>
        <w:t> </w:t>
      </w:r>
      <w:r>
        <w:rPr/>
        <w:t>conditions</w:t>
      </w:r>
      <w:r>
        <w:rPr>
          <w:spacing w:val="-2"/>
        </w:rPr>
        <w:t> </w:t>
      </w:r>
      <w:r>
        <w:rPr/>
        <w:t>and</w:t>
      </w:r>
      <w:r>
        <w:rPr>
          <w:spacing w:val="-2"/>
        </w:rPr>
        <w:t> </w:t>
      </w:r>
      <w:r>
        <w:rPr/>
        <w:t>bad,</w:t>
      </w:r>
      <w:r>
        <w:rPr>
          <w:spacing w:val="-2"/>
        </w:rPr>
        <w:t> </w:t>
      </w:r>
      <w:r>
        <w:rPr/>
        <w:t>setting</w:t>
      </w:r>
      <w:r>
        <w:rPr>
          <w:spacing w:val="-2"/>
        </w:rPr>
        <w:t> </w:t>
      </w:r>
      <w:r>
        <w:rPr/>
        <w:t>a</w:t>
      </w:r>
      <w:r>
        <w:rPr>
          <w:spacing w:val="-2"/>
        </w:rPr>
        <w:t> </w:t>
      </w:r>
      <w:r>
        <w:rPr/>
        <w:t>course</w:t>
      </w:r>
      <w:r>
        <w:rPr>
          <w:spacing w:val="-2"/>
        </w:rPr>
        <w:t> </w:t>
      </w:r>
      <w:r>
        <w:rPr/>
        <w:t>of</w:t>
      </w:r>
      <w:r>
        <w:rPr>
          <w:spacing w:val="-2"/>
        </w:rPr>
        <w:t> </w:t>
      </w:r>
      <w:r>
        <w:rPr/>
        <w:t>action</w:t>
      </w:r>
      <w:r>
        <w:rPr>
          <w:spacing w:val="-2"/>
        </w:rPr>
        <w:t> </w:t>
      </w:r>
      <w:r>
        <w:rPr/>
        <w:t>under</w:t>
      </w:r>
      <w:r>
        <w:rPr>
          <w:spacing w:val="-2"/>
        </w:rPr>
        <w:t> </w:t>
      </w:r>
      <w:r>
        <w:rPr/>
        <w:t>both</w:t>
      </w:r>
      <w:r>
        <w:rPr>
          <w:spacing w:val="-2"/>
        </w:rPr>
        <w:t> </w:t>
      </w:r>
      <w:r>
        <w:rPr/>
        <w:t>circumstances. Like</w:t>
      </w:r>
      <w:r>
        <w:rPr>
          <w:spacing w:val="25"/>
        </w:rPr>
        <w:t> </w:t>
      </w:r>
      <w:r>
        <w:rPr/>
        <w:t>pilots,</w:t>
      </w:r>
      <w:r>
        <w:rPr>
          <w:spacing w:val="25"/>
        </w:rPr>
        <w:t> </w:t>
      </w:r>
      <w:r>
        <w:rPr/>
        <w:t>the</w:t>
      </w:r>
      <w:r>
        <w:rPr>
          <w:spacing w:val="26"/>
        </w:rPr>
        <w:t> </w:t>
      </w:r>
      <w:r>
        <w:rPr/>
        <w:t>most</w:t>
      </w:r>
      <w:r>
        <w:rPr>
          <w:spacing w:val="26"/>
        </w:rPr>
        <w:t> </w:t>
      </w:r>
      <w:r>
        <w:rPr/>
        <w:t>successful</w:t>
      </w:r>
      <w:r>
        <w:rPr>
          <w:spacing w:val="25"/>
        </w:rPr>
        <w:t> </w:t>
      </w:r>
      <w:r>
        <w:rPr/>
        <w:t>traders</w:t>
      </w:r>
      <w:r>
        <w:rPr>
          <w:spacing w:val="26"/>
        </w:rPr>
        <w:t> </w:t>
      </w:r>
      <w:r>
        <w:rPr/>
        <w:t>create</w:t>
      </w:r>
      <w:r>
        <w:rPr>
          <w:spacing w:val="25"/>
        </w:rPr>
        <w:t> </w:t>
      </w:r>
      <w:r>
        <w:rPr/>
        <w:t>daily</w:t>
      </w:r>
      <w:r>
        <w:rPr>
          <w:spacing w:val="25"/>
        </w:rPr>
        <w:t> </w:t>
      </w:r>
      <w:r>
        <w:rPr/>
        <w:t>flight</w:t>
      </w:r>
      <w:r>
        <w:rPr>
          <w:spacing w:val="25"/>
        </w:rPr>
        <w:t> </w:t>
      </w:r>
      <w:r>
        <w:rPr/>
        <w:t>plans</w:t>
      </w:r>
      <w:r>
        <w:rPr>
          <w:spacing w:val="25"/>
        </w:rPr>
        <w:t> </w:t>
      </w:r>
      <w:r>
        <w:rPr/>
        <w:t>prior</w:t>
      </w:r>
      <w:r>
        <w:rPr>
          <w:spacing w:val="25"/>
        </w:rPr>
        <w:t> </w:t>
      </w:r>
      <w:r>
        <w:rPr/>
        <w:t>to</w:t>
      </w:r>
      <w:r>
        <w:rPr/>
        <w:t> each</w:t>
      </w:r>
      <w:r>
        <w:rPr>
          <w:spacing w:val="40"/>
        </w:rPr>
        <w:t> </w:t>
      </w:r>
      <w:r>
        <w:rPr/>
        <w:t>market</w:t>
      </w:r>
      <w:r>
        <w:rPr>
          <w:spacing w:val="39"/>
        </w:rPr>
        <w:t> </w:t>
      </w:r>
      <w:r>
        <w:rPr/>
        <w:t>day</w:t>
      </w:r>
      <w:r>
        <w:rPr>
          <w:spacing w:val="37"/>
        </w:rPr>
        <w:t> </w:t>
      </w:r>
      <w:r>
        <w:rPr/>
        <w:t>to</w:t>
      </w:r>
      <w:r>
        <w:rPr>
          <w:spacing w:val="39"/>
        </w:rPr>
        <w:t> </w:t>
      </w:r>
      <w:r>
        <w:rPr/>
        <w:t>help</w:t>
      </w:r>
      <w:r>
        <w:rPr>
          <w:spacing w:val="36"/>
        </w:rPr>
        <w:t> </w:t>
      </w:r>
      <w:r>
        <w:rPr/>
        <w:t>guide</w:t>
      </w:r>
      <w:r>
        <w:rPr>
          <w:spacing w:val="39"/>
        </w:rPr>
        <w:t> </w:t>
      </w:r>
      <w:r>
        <w:rPr/>
        <w:t>them</w:t>
      </w:r>
      <w:r>
        <w:rPr>
          <w:spacing w:val="39"/>
        </w:rPr>
        <w:t> </w:t>
      </w:r>
      <w:r>
        <w:rPr/>
        <w:t>in</w:t>
      </w:r>
      <w:r>
        <w:rPr>
          <w:spacing w:val="39"/>
        </w:rPr>
        <w:t> </w:t>
      </w:r>
      <w:r>
        <w:rPr/>
        <w:t>the</w:t>
      </w:r>
      <w:r>
        <w:rPr>
          <w:spacing w:val="39"/>
        </w:rPr>
        <w:t> </w:t>
      </w:r>
      <w:r>
        <w:rPr/>
        <w:t>upcoming</w:t>
      </w:r>
      <w:r>
        <w:rPr>
          <w:spacing w:val="39"/>
        </w:rPr>
        <w:t> </w:t>
      </w:r>
      <w:r>
        <w:rPr/>
        <w:t>trading</w:t>
      </w:r>
      <w:r>
        <w:rPr>
          <w:spacing w:val="39"/>
        </w:rPr>
        <w:t> </w:t>
      </w:r>
      <w:r>
        <w:rPr/>
        <w:t>session.</w:t>
      </w:r>
      <w:r>
        <w:rPr>
          <w:spacing w:val="38"/>
        </w:rPr>
        <w:t> </w:t>
      </w:r>
      <w:r>
        <w:rPr/>
        <w:t>Of course,</w:t>
      </w:r>
      <w:r>
        <w:rPr>
          <w:spacing w:val="40"/>
        </w:rPr>
        <w:t> </w:t>
      </w:r>
      <w:r>
        <w:rPr/>
        <w:t>each</w:t>
      </w:r>
      <w:r>
        <w:rPr>
          <w:spacing w:val="40"/>
        </w:rPr>
        <w:t> </w:t>
      </w:r>
      <w:r>
        <w:rPr/>
        <w:t>trader</w:t>
      </w:r>
      <w:r>
        <w:rPr>
          <w:spacing w:val="40"/>
        </w:rPr>
        <w:t> </w:t>
      </w:r>
      <w:r>
        <w:rPr/>
        <w:t>is</w:t>
      </w:r>
      <w:r>
        <w:rPr>
          <w:spacing w:val="40"/>
        </w:rPr>
        <w:t> </w:t>
      </w:r>
      <w:r>
        <w:rPr/>
        <w:t>different,</w:t>
      </w:r>
      <w:r>
        <w:rPr>
          <w:spacing w:val="40"/>
        </w:rPr>
        <w:t> </w:t>
      </w:r>
      <w:r>
        <w:rPr/>
        <w:t>so</w:t>
      </w:r>
      <w:r>
        <w:rPr>
          <w:spacing w:val="40"/>
        </w:rPr>
        <w:t> </w:t>
      </w:r>
      <w:r>
        <w:rPr/>
        <w:t>plans</w:t>
      </w:r>
      <w:r>
        <w:rPr>
          <w:spacing w:val="40"/>
        </w:rPr>
        <w:t> </w:t>
      </w:r>
      <w:r>
        <w:rPr/>
        <w:t>can</w:t>
      </w:r>
      <w:r>
        <w:rPr>
          <w:spacing w:val="40"/>
        </w:rPr>
        <w:t> </w:t>
      </w:r>
      <w:r>
        <w:rPr/>
        <w:t>differ</w:t>
      </w:r>
      <w:r>
        <w:rPr>
          <w:spacing w:val="40"/>
        </w:rPr>
        <w:t> </w:t>
      </w:r>
      <w:r>
        <w:rPr/>
        <w:t>vastly</w:t>
      </w:r>
      <w:r>
        <w:rPr>
          <w:spacing w:val="40"/>
        </w:rPr>
        <w:t> </w:t>
      </w:r>
      <w:r>
        <w:rPr/>
        <w:t>depending</w:t>
      </w:r>
      <w:r>
        <w:rPr>
          <w:spacing w:val="40"/>
        </w:rPr>
        <w:t> </w:t>
      </w:r>
      <w:r>
        <w:rPr/>
        <w:t>on whose</w:t>
      </w:r>
      <w:r>
        <w:rPr>
          <w:spacing w:val="10"/>
        </w:rPr>
        <w:t> </w:t>
      </w:r>
      <w:r>
        <w:rPr/>
        <w:t>you</w:t>
      </w:r>
      <w:r>
        <w:rPr>
          <w:spacing w:val="11"/>
        </w:rPr>
        <w:t> </w:t>
      </w:r>
      <w:r>
        <w:rPr/>
        <w:t>read.</w:t>
      </w:r>
      <w:r>
        <w:rPr>
          <w:spacing w:val="11"/>
        </w:rPr>
        <w:t> </w:t>
      </w:r>
      <w:r>
        <w:rPr/>
        <w:t>If</w:t>
      </w:r>
      <w:r>
        <w:rPr>
          <w:spacing w:val="10"/>
        </w:rPr>
        <w:t> </w:t>
      </w:r>
      <w:r>
        <w:rPr/>
        <w:t>you</w:t>
      </w:r>
      <w:r>
        <w:rPr>
          <w:spacing w:val="10"/>
        </w:rPr>
        <w:t> </w:t>
      </w:r>
      <w:r>
        <w:rPr/>
        <w:t>have</w:t>
      </w:r>
      <w:r>
        <w:rPr>
          <w:spacing w:val="11"/>
        </w:rPr>
        <w:t> </w:t>
      </w:r>
      <w:r>
        <w:rPr/>
        <w:t>never</w:t>
      </w:r>
      <w:r>
        <w:rPr>
          <w:spacing w:val="11"/>
        </w:rPr>
        <w:t> </w:t>
      </w:r>
      <w:r>
        <w:rPr/>
        <w:t>created</w:t>
      </w:r>
      <w:r>
        <w:rPr>
          <w:spacing w:val="11"/>
        </w:rPr>
        <w:t> </w:t>
      </w:r>
      <w:r>
        <w:rPr/>
        <w:t>a</w:t>
      </w:r>
      <w:r>
        <w:rPr>
          <w:spacing w:val="11"/>
        </w:rPr>
        <w:t> </w:t>
      </w:r>
      <w:r>
        <w:rPr/>
        <w:t>flight</w:t>
      </w:r>
      <w:r>
        <w:rPr>
          <w:spacing w:val="11"/>
        </w:rPr>
        <w:t> </w:t>
      </w:r>
      <w:r>
        <w:rPr/>
        <w:t>plan,</w:t>
      </w:r>
      <w:r>
        <w:rPr>
          <w:spacing w:val="11"/>
        </w:rPr>
        <w:t> </w:t>
      </w:r>
      <w:r>
        <w:rPr/>
        <w:t>it</w:t>
      </w:r>
      <w:r>
        <w:rPr>
          <w:spacing w:val="11"/>
        </w:rPr>
        <w:t> </w:t>
      </w:r>
      <w:r>
        <w:rPr/>
        <w:t>is</w:t>
      </w:r>
      <w:r>
        <w:rPr>
          <w:spacing w:val="11"/>
        </w:rPr>
        <w:t> </w:t>
      </w:r>
      <w:r>
        <w:rPr/>
        <w:t>usually</w:t>
      </w:r>
      <w:r>
        <w:rPr>
          <w:spacing w:val="10"/>
        </w:rPr>
        <w:t> </w:t>
      </w:r>
      <w:r>
        <w:rPr/>
        <w:t>best</w:t>
      </w:r>
      <w:r>
        <w:rPr>
          <w:spacing w:val="10"/>
        </w:rPr>
        <w:t> </w:t>
      </w:r>
      <w:r>
        <w:rPr>
          <w:spacing w:val="-5"/>
        </w:rPr>
        <w:t>to</w:t>
      </w:r>
    </w:p>
    <w:p>
      <w:pPr>
        <w:spacing w:after="0"/>
        <w:jc w:val="right"/>
        <w:sectPr>
          <w:headerReference w:type="even" r:id="rId346"/>
          <w:headerReference w:type="default" r:id="rId347"/>
          <w:footerReference w:type="even" r:id="rId348"/>
          <w:footerReference w:type="default" r:id="rId349"/>
          <w:pgSz w:w="8640" w:h="12960"/>
          <w:pgMar w:header="579" w:footer="1060" w:top="760" w:bottom="1260" w:left="580" w:right="580"/>
          <w:pgNumType w:start="282"/>
        </w:sectPr>
      </w:pPr>
    </w:p>
    <w:p>
      <w:pPr>
        <w:pStyle w:val="BodyText"/>
        <w:spacing w:before="3"/>
      </w:pPr>
    </w:p>
    <w:p>
      <w:pPr>
        <w:pStyle w:val="BodyText"/>
        <w:spacing w:before="64"/>
        <w:ind w:left="500" w:right="136"/>
        <w:jc w:val="both"/>
      </w:pPr>
      <w:r>
        <w:rPr/>
        <w:t>view how other traders have formulated their plans in order to incorporate what works best for your particular trading style. I’ve seen flight plans that make me dizzy trying to decipher what I’m supposed to do for the upcoming session. Many pivot traders will list every single pivot point from many different pivot equations for various markets onto a single sheet of paper, which thoroughly confuses me and exhausts me at the same time. The point of</w:t>
      </w:r>
      <w:r>
        <w:rPr>
          <w:spacing w:val="-1"/>
        </w:rPr>
        <w:t> </w:t>
      </w:r>
      <w:r>
        <w:rPr/>
        <w:t>a</w:t>
      </w:r>
      <w:r>
        <w:rPr>
          <w:spacing w:val="-1"/>
        </w:rPr>
        <w:t> </w:t>
      </w:r>
      <w:r>
        <w:rPr/>
        <w:t>flight</w:t>
      </w:r>
      <w:r>
        <w:rPr>
          <w:spacing w:val="-1"/>
        </w:rPr>
        <w:t> </w:t>
      </w:r>
      <w:r>
        <w:rPr/>
        <w:t>plan</w:t>
      </w:r>
      <w:r>
        <w:rPr>
          <w:spacing w:val="-1"/>
        </w:rPr>
        <w:t> </w:t>
      </w:r>
      <w:r>
        <w:rPr/>
        <w:t>is</w:t>
      </w:r>
      <w:r>
        <w:rPr>
          <w:spacing w:val="-1"/>
        </w:rPr>
        <w:t> </w:t>
      </w:r>
      <w:r>
        <w:rPr/>
        <w:t>not</w:t>
      </w:r>
      <w:r>
        <w:rPr>
          <w:spacing w:val="-1"/>
        </w:rPr>
        <w:t> </w:t>
      </w:r>
      <w:r>
        <w:rPr/>
        <w:t>to</w:t>
      </w:r>
      <w:r>
        <w:rPr>
          <w:spacing w:val="-1"/>
        </w:rPr>
        <w:t> </w:t>
      </w:r>
      <w:r>
        <w:rPr/>
        <w:t>see how much</w:t>
      </w:r>
      <w:r>
        <w:rPr>
          <w:spacing w:val="-1"/>
        </w:rPr>
        <w:t> </w:t>
      </w:r>
      <w:r>
        <w:rPr/>
        <w:t>information</w:t>
      </w:r>
      <w:r>
        <w:rPr>
          <w:spacing w:val="-1"/>
        </w:rPr>
        <w:t> </w:t>
      </w:r>
      <w:r>
        <w:rPr/>
        <w:t>you</w:t>
      </w:r>
      <w:r>
        <w:rPr>
          <w:spacing w:val="-1"/>
        </w:rPr>
        <w:t> </w:t>
      </w:r>
      <w:r>
        <w:rPr/>
        <w:t>can</w:t>
      </w:r>
      <w:r>
        <w:rPr>
          <w:spacing w:val="-1"/>
        </w:rPr>
        <w:t> </w:t>
      </w:r>
      <w:r>
        <w:rPr/>
        <w:t>fit</w:t>
      </w:r>
      <w:r>
        <w:rPr>
          <w:spacing w:val="-1"/>
        </w:rPr>
        <w:t> </w:t>
      </w:r>
      <w:r>
        <w:rPr/>
        <w:t>onto</w:t>
      </w:r>
      <w:r>
        <w:rPr>
          <w:spacing w:val="-2"/>
        </w:rPr>
        <w:t> </w:t>
      </w:r>
      <w:r>
        <w:rPr/>
        <w:t>a</w:t>
      </w:r>
      <w:r>
        <w:rPr>
          <w:spacing w:val="-1"/>
        </w:rPr>
        <w:t> </w:t>
      </w:r>
      <w:r>
        <w:rPr/>
        <w:t>sheet of paper. Instead, a flight plan is meant to bring the most pertinent information to your attention to guide you in the upcoming session.</w:t>
      </w:r>
    </w:p>
    <w:p>
      <w:pPr>
        <w:pStyle w:val="BodyText"/>
        <w:ind w:left="500" w:right="136" w:firstLine="432"/>
        <w:jc w:val="both"/>
      </w:pPr>
      <w:r>
        <w:rPr/>
        <w:t>I have provided a snippet of a recent flight plan that I created for April 16, 2010, seen in Figure 11.1. You’ll notice that I do not include every single pivot point from every indicator for each timeframe. Instead, I include the most pertinent pivots from each of the three indicators that I have discussed in the book. Moreover, instead of just knowing where the pivots will be for the following session, I also want to know important two-day pivot relationships, pivot width characteristics, and their implications for the upcoming day. I also include any virgin Money Zone levels that have yet to be closed and any hot zones that are worth noting. Each piece of information is interrelated and provides me with a game plan for the following session.</w:t>
      </w:r>
    </w:p>
    <w:p>
      <w:pPr>
        <w:pStyle w:val="BodyText"/>
        <w:spacing w:before="1"/>
        <w:ind w:left="500" w:right="135" w:firstLine="432"/>
        <w:jc w:val="both"/>
      </w:pPr>
      <w:r>
        <w:rPr/>
        <w:t>Given the vast amount of information that can be gleaned from pivot point analysis, however, there are many ways to organize the information</w:t>
      </w:r>
      <w:r>
        <w:rPr>
          <w:spacing w:val="40"/>
        </w:rPr>
        <w:t> </w:t>
      </w:r>
      <w:r>
        <w:rPr/>
        <w:t>that you will want to view for the upcoming day. For example, position traders or long-term investors may want to include monthly and yearly pivot relationships in their flight plan, while swing traders may want to include daily and weekly relationships. Flight plans are meant to be tailored to your specific trading style so you can flush out the right opportunities for your approach.</w:t>
      </w:r>
      <w:r>
        <w:rPr>
          <w:spacing w:val="-1"/>
        </w:rPr>
        <w:t> </w:t>
      </w:r>
      <w:r>
        <w:rPr/>
        <w:t>The</w:t>
      </w:r>
      <w:r>
        <w:rPr>
          <w:spacing w:val="-1"/>
        </w:rPr>
        <w:t> </w:t>
      </w:r>
      <w:r>
        <w:rPr/>
        <w:t>flight</w:t>
      </w:r>
      <w:r>
        <w:rPr>
          <w:spacing w:val="-1"/>
        </w:rPr>
        <w:t> </w:t>
      </w:r>
      <w:r>
        <w:rPr/>
        <w:t>plan</w:t>
      </w:r>
      <w:r>
        <w:rPr>
          <w:spacing w:val="-1"/>
        </w:rPr>
        <w:t> </w:t>
      </w:r>
      <w:r>
        <w:rPr/>
        <w:t>I</w:t>
      </w:r>
      <w:r>
        <w:rPr>
          <w:spacing w:val="-1"/>
        </w:rPr>
        <w:t> </w:t>
      </w:r>
      <w:r>
        <w:rPr/>
        <w:t>have</w:t>
      </w:r>
      <w:r>
        <w:rPr>
          <w:spacing w:val="-1"/>
        </w:rPr>
        <w:t> </w:t>
      </w:r>
      <w:r>
        <w:rPr/>
        <w:t>provided</w:t>
      </w:r>
      <w:r>
        <w:rPr>
          <w:spacing w:val="-1"/>
        </w:rPr>
        <w:t> </w:t>
      </w:r>
      <w:r>
        <w:rPr/>
        <w:t>shows</w:t>
      </w:r>
      <w:r>
        <w:rPr>
          <w:spacing w:val="-1"/>
        </w:rPr>
        <w:t> </w:t>
      </w:r>
      <w:r>
        <w:rPr/>
        <w:t>the</w:t>
      </w:r>
      <w:r>
        <w:rPr>
          <w:spacing w:val="-1"/>
        </w:rPr>
        <w:t> </w:t>
      </w:r>
      <w:r>
        <w:rPr/>
        <w:t>information</w:t>
      </w:r>
      <w:r>
        <w:rPr>
          <w:spacing w:val="-1"/>
        </w:rPr>
        <w:t> </w:t>
      </w:r>
      <w:r>
        <w:rPr/>
        <w:t>that</w:t>
      </w:r>
      <w:r>
        <w:rPr>
          <w:spacing w:val="-1"/>
        </w:rPr>
        <w:t> </w:t>
      </w:r>
      <w:r>
        <w:rPr/>
        <w:t>I</w:t>
      </w:r>
      <w:r>
        <w:rPr>
          <w:spacing w:val="-1"/>
        </w:rPr>
        <w:t> </w:t>
      </w:r>
      <w:r>
        <w:rPr/>
        <w:t>like</w:t>
      </w:r>
      <w:r>
        <w:rPr>
          <w:spacing w:val="-1"/>
        </w:rPr>
        <w:t> </w:t>
      </w:r>
      <w:r>
        <w:rPr/>
        <w:t>to include for intraday trading purposes.</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266632" cy="6346221"/>
            <wp:effectExtent l="0" t="0" r="0" b="0"/>
            <wp:docPr id="329" name="image171.png"/>
            <wp:cNvGraphicFramePr>
              <a:graphicFrameLocks noChangeAspect="1"/>
            </wp:cNvGraphicFramePr>
            <a:graphic>
              <a:graphicData uri="http://schemas.openxmlformats.org/drawingml/2006/picture">
                <pic:pic>
                  <pic:nvPicPr>
                    <pic:cNvPr id="330" name="image171.png"/>
                    <pic:cNvPicPr/>
                  </pic:nvPicPr>
                  <pic:blipFill>
                    <a:blip r:embed="rId350" cstate="print"/>
                    <a:stretch>
                      <a:fillRect/>
                    </a:stretch>
                  </pic:blipFill>
                  <pic:spPr>
                    <a:xfrm>
                      <a:off x="0" y="0"/>
                      <a:ext cx="4266632" cy="6346221"/>
                    </a:xfrm>
                    <a:prstGeom prst="rect">
                      <a:avLst/>
                    </a:prstGeom>
                  </pic:spPr>
                </pic:pic>
              </a:graphicData>
            </a:graphic>
          </wp:inline>
        </w:drawing>
      </w:r>
      <w:r>
        <w:rPr>
          <w:sz w:val="20"/>
        </w:rPr>
      </w:r>
    </w:p>
    <w:p>
      <w:pPr>
        <w:spacing w:before="96"/>
        <w:ind w:left="140" w:right="0" w:firstLine="0"/>
        <w:jc w:val="left"/>
        <w:rPr>
          <w:sz w:val="16"/>
        </w:rPr>
      </w:pPr>
      <w:r>
        <w:rPr>
          <w:sz w:val="16"/>
        </w:rPr>
        <w:t>FIGURE</w:t>
      </w:r>
      <w:r>
        <w:rPr>
          <w:spacing w:val="3"/>
          <w:sz w:val="16"/>
        </w:rPr>
        <w:t> </w:t>
      </w:r>
      <w:r>
        <w:rPr>
          <w:sz w:val="16"/>
        </w:rPr>
        <w:t>11.1:</w:t>
      </w:r>
      <w:r>
        <w:rPr>
          <w:spacing w:val="3"/>
          <w:sz w:val="16"/>
        </w:rPr>
        <w:t> </w:t>
      </w:r>
      <w:r>
        <w:rPr>
          <w:sz w:val="16"/>
        </w:rPr>
        <w:t>The</w:t>
      </w:r>
      <w:r>
        <w:rPr>
          <w:spacing w:val="3"/>
          <w:sz w:val="16"/>
        </w:rPr>
        <w:t> </w:t>
      </w:r>
      <w:r>
        <w:rPr>
          <w:sz w:val="16"/>
        </w:rPr>
        <w:t>flight</w:t>
      </w:r>
      <w:r>
        <w:rPr>
          <w:spacing w:val="4"/>
          <w:sz w:val="16"/>
        </w:rPr>
        <w:t> </w:t>
      </w:r>
      <w:r>
        <w:rPr>
          <w:sz w:val="16"/>
        </w:rPr>
        <w:t>plan</w:t>
      </w:r>
      <w:r>
        <w:rPr>
          <w:spacing w:val="3"/>
          <w:sz w:val="16"/>
        </w:rPr>
        <w:t> </w:t>
      </w:r>
      <w:r>
        <w:rPr>
          <w:sz w:val="16"/>
        </w:rPr>
        <w:t>for</w:t>
      </w:r>
      <w:r>
        <w:rPr>
          <w:spacing w:val="3"/>
          <w:sz w:val="16"/>
        </w:rPr>
        <w:t> </w:t>
      </w:r>
      <w:r>
        <w:rPr>
          <w:sz w:val="16"/>
        </w:rPr>
        <w:t>April</w:t>
      </w:r>
      <w:r>
        <w:rPr>
          <w:spacing w:val="4"/>
          <w:sz w:val="16"/>
        </w:rPr>
        <w:t> </w:t>
      </w:r>
      <w:r>
        <w:rPr>
          <w:sz w:val="16"/>
        </w:rPr>
        <w:t>16,</w:t>
      </w:r>
      <w:r>
        <w:rPr>
          <w:spacing w:val="3"/>
          <w:sz w:val="16"/>
        </w:rPr>
        <w:t> </w:t>
      </w:r>
      <w:r>
        <w:rPr>
          <w:spacing w:val="-4"/>
          <w:sz w:val="16"/>
        </w:rPr>
        <w:t>2010</w:t>
      </w:r>
    </w:p>
    <w:p>
      <w:pPr>
        <w:spacing w:after="0"/>
        <w:jc w:val="left"/>
        <w:rPr>
          <w:sz w:val="16"/>
        </w:rPr>
        <w:sectPr>
          <w:pgSz w:w="8640" w:h="12960"/>
          <w:pgMar w:header="579" w:footer="1060" w:top="760" w:bottom="1260" w:left="580" w:right="580"/>
        </w:sectPr>
      </w:pPr>
    </w:p>
    <w:p>
      <w:pPr>
        <w:pStyle w:val="BodyText"/>
        <w:spacing w:before="3"/>
      </w:pPr>
    </w:p>
    <w:p>
      <w:pPr>
        <w:pStyle w:val="BodyText"/>
        <w:spacing w:before="64"/>
        <w:ind w:left="500" w:right="136" w:firstLine="432"/>
        <w:jc w:val="both"/>
      </w:pPr>
      <w:r>
        <w:rPr/>
        <w:t>Let’s take a closer look at the flight plan for April 16 and walk through how it</w:t>
      </w:r>
      <w:r>
        <w:rPr>
          <w:spacing w:val="-1"/>
        </w:rPr>
        <w:t> </w:t>
      </w:r>
      <w:r>
        <w:rPr/>
        <w:t>would</w:t>
      </w:r>
      <w:r>
        <w:rPr>
          <w:spacing w:val="-1"/>
        </w:rPr>
        <w:t> </w:t>
      </w:r>
      <w:r>
        <w:rPr/>
        <w:t>have helped</w:t>
      </w:r>
      <w:r>
        <w:rPr>
          <w:spacing w:val="-1"/>
        </w:rPr>
        <w:t> </w:t>
      </w:r>
      <w:r>
        <w:rPr/>
        <w:t>us in</w:t>
      </w:r>
      <w:r>
        <w:rPr>
          <w:spacing w:val="-1"/>
        </w:rPr>
        <w:t> </w:t>
      </w:r>
      <w:r>
        <w:rPr/>
        <w:t>our trading.</w:t>
      </w:r>
      <w:r>
        <w:rPr>
          <w:spacing w:val="-1"/>
        </w:rPr>
        <w:t> </w:t>
      </w:r>
      <w:r>
        <w:rPr/>
        <w:t>When I</w:t>
      </w:r>
      <w:r>
        <w:rPr>
          <w:spacing w:val="-1"/>
        </w:rPr>
        <w:t> </w:t>
      </w:r>
      <w:r>
        <w:rPr/>
        <w:t>glaze over</w:t>
      </w:r>
      <w:r>
        <w:rPr>
          <w:spacing w:val="-1"/>
        </w:rPr>
        <w:t> </w:t>
      </w:r>
      <w:r>
        <w:rPr/>
        <w:t>a flight</w:t>
      </w:r>
      <w:r>
        <w:rPr>
          <w:spacing w:val="-1"/>
        </w:rPr>
        <w:t> </w:t>
      </w:r>
      <w:r>
        <w:rPr/>
        <w:t>plan, I first want to know if any important two-day pivot relationships are present. Relationships like Higher Value, Overlapping Higher Value, Lower Value, and Overlapping Lower Value relationships give you important directional bias for the upcoming session. This bias should steer you in the direction of the current trend, but will also alert you to a change in bias if the opening print doesn’t confirm the forecast. Relationships like Inside Value, Outside Value, and Unchanged Value forecast potential trending or sideways scenarios. I also want to know if the market has developed unusually wide or narrow pivots, because these relationships can lead to highly predictable</w:t>
      </w:r>
      <w:r>
        <w:rPr>
          <w:spacing w:val="40"/>
        </w:rPr>
        <w:t> </w:t>
      </w:r>
      <w:r>
        <w:rPr/>
        <w:t>price behavior in the market. When several of these relationships line up perfectly, the market could be on the verge of anticipated price behavior.</w:t>
      </w:r>
    </w:p>
    <w:p>
      <w:pPr>
        <w:pStyle w:val="BodyText"/>
        <w:ind w:left="500" w:right="135" w:firstLine="432"/>
        <w:jc w:val="both"/>
      </w:pPr>
      <w:r>
        <w:rPr/>
        <w:t>Looking over the flight plan for April 16, I notice the E-Mini S&amp;P 400 futures contract has developed potentially explosive pivot relationships, which could lead to a Trend Day scenario—one of my favorite days in the market.</w:t>
      </w:r>
      <w:r>
        <w:rPr/>
        <w:t> The Camarilla Equation has formed a two-day Inside Value relationship, while each of the indicators has formed unusually narrow pivots for the upcoming session. These pivot characteristics are highly indicative of a potential breakout opportunity for the following day. Keep in mind, however, that you must confirm your forecast with actual price behavior the next morning. In this case, an opening print beyond the prior day’s price range will confirm breakout behavior, which could progress into a Trend</w:t>
      </w:r>
      <w:r>
        <w:rPr>
          <w:spacing w:val="40"/>
        </w:rPr>
        <w:t> </w:t>
      </w:r>
      <w:r>
        <w:rPr/>
        <w:t>Day.</w:t>
      </w:r>
      <w:r>
        <w:rPr>
          <w:spacing w:val="12"/>
        </w:rPr>
        <w:t> </w:t>
      </w:r>
      <w:r>
        <w:rPr/>
        <w:t>Therefore,</w:t>
      </w:r>
      <w:r>
        <w:rPr>
          <w:spacing w:val="13"/>
        </w:rPr>
        <w:t> </w:t>
      </w:r>
      <w:r>
        <w:rPr/>
        <w:t>we</w:t>
      </w:r>
      <w:r>
        <w:rPr>
          <w:spacing w:val="14"/>
        </w:rPr>
        <w:t> </w:t>
      </w:r>
      <w:r>
        <w:rPr/>
        <w:t>would</w:t>
      </w:r>
      <w:r>
        <w:rPr>
          <w:spacing w:val="12"/>
        </w:rPr>
        <w:t> </w:t>
      </w:r>
      <w:r>
        <w:rPr/>
        <w:t>like</w:t>
      </w:r>
      <w:r>
        <w:rPr>
          <w:spacing w:val="13"/>
        </w:rPr>
        <w:t> </w:t>
      </w:r>
      <w:r>
        <w:rPr/>
        <w:t>to</w:t>
      </w:r>
      <w:r>
        <w:rPr>
          <w:spacing w:val="13"/>
        </w:rPr>
        <w:t> </w:t>
      </w:r>
      <w:r>
        <w:rPr/>
        <w:t>see</w:t>
      </w:r>
      <w:r>
        <w:rPr>
          <w:spacing w:val="13"/>
        </w:rPr>
        <w:t> </w:t>
      </w:r>
      <w:r>
        <w:rPr/>
        <w:t>the</w:t>
      </w:r>
      <w:r>
        <w:rPr>
          <w:spacing w:val="12"/>
        </w:rPr>
        <w:t> </w:t>
      </w:r>
      <w:r>
        <w:rPr/>
        <w:t>MC</w:t>
      </w:r>
      <w:r>
        <w:rPr>
          <w:spacing w:val="14"/>
        </w:rPr>
        <w:t> </w:t>
      </w:r>
      <w:r>
        <w:rPr/>
        <w:t>open</w:t>
      </w:r>
      <w:r>
        <w:rPr>
          <w:spacing w:val="13"/>
        </w:rPr>
        <w:t> </w:t>
      </w:r>
      <w:r>
        <w:rPr/>
        <w:t>the</w:t>
      </w:r>
      <w:r>
        <w:rPr>
          <w:spacing w:val="12"/>
        </w:rPr>
        <w:t> </w:t>
      </w:r>
      <w:r>
        <w:rPr/>
        <w:t>session</w:t>
      </w:r>
      <w:r>
        <w:rPr>
          <w:spacing w:val="13"/>
        </w:rPr>
        <w:t> </w:t>
      </w:r>
      <w:r>
        <w:rPr/>
        <w:t>either</w:t>
      </w:r>
      <w:r>
        <w:rPr>
          <w:spacing w:val="13"/>
        </w:rPr>
        <w:t> </w:t>
      </w:r>
      <w:r>
        <w:rPr>
          <w:spacing w:val="-2"/>
        </w:rPr>
        <w:t>above</w:t>
      </w:r>
    </w:p>
    <w:p>
      <w:pPr>
        <w:pStyle w:val="BodyText"/>
        <w:spacing w:line="252" w:lineRule="exact"/>
        <w:ind w:left="500"/>
        <w:jc w:val="both"/>
      </w:pPr>
      <w:r>
        <w:rPr/>
        <w:t>832.60</w:t>
      </w:r>
      <w:r>
        <w:rPr>
          <w:spacing w:val="-5"/>
        </w:rPr>
        <w:t> </w:t>
      </w:r>
      <w:r>
        <w:rPr/>
        <w:t>or</w:t>
      </w:r>
      <w:r>
        <w:rPr>
          <w:spacing w:val="-6"/>
        </w:rPr>
        <w:t> </w:t>
      </w:r>
      <w:r>
        <w:rPr/>
        <w:t>below</w:t>
      </w:r>
      <w:r>
        <w:rPr>
          <w:spacing w:val="-5"/>
        </w:rPr>
        <w:t> </w:t>
      </w:r>
      <w:r>
        <w:rPr/>
        <w:t>827.10</w:t>
      </w:r>
      <w:r>
        <w:rPr>
          <w:spacing w:val="-4"/>
        </w:rPr>
        <w:t> </w:t>
      </w:r>
      <w:r>
        <w:rPr/>
        <w:t>in</w:t>
      </w:r>
      <w:r>
        <w:rPr>
          <w:spacing w:val="-6"/>
        </w:rPr>
        <w:t> </w:t>
      </w:r>
      <w:r>
        <w:rPr/>
        <w:t>order</w:t>
      </w:r>
      <w:r>
        <w:rPr>
          <w:spacing w:val="-5"/>
        </w:rPr>
        <w:t> </w:t>
      </w:r>
      <w:r>
        <w:rPr/>
        <w:t>to</w:t>
      </w:r>
      <w:r>
        <w:rPr>
          <w:spacing w:val="-4"/>
        </w:rPr>
        <w:t> </w:t>
      </w:r>
      <w:r>
        <w:rPr/>
        <w:t>prove</w:t>
      </w:r>
      <w:r>
        <w:rPr>
          <w:spacing w:val="-4"/>
        </w:rPr>
        <w:t> </w:t>
      </w:r>
      <w:r>
        <w:rPr/>
        <w:t>our</w:t>
      </w:r>
      <w:r>
        <w:rPr>
          <w:spacing w:val="-5"/>
        </w:rPr>
        <w:t> </w:t>
      </w:r>
      <w:r>
        <w:rPr/>
        <w:t>breakout</w:t>
      </w:r>
      <w:r>
        <w:rPr>
          <w:spacing w:val="-4"/>
        </w:rPr>
        <w:t> </w:t>
      </w:r>
      <w:r>
        <w:rPr>
          <w:spacing w:val="-2"/>
        </w:rPr>
        <w:t>theory.</w:t>
      </w:r>
    </w:p>
    <w:p>
      <w:pPr>
        <w:pStyle w:val="BodyText"/>
        <w:ind w:left="500" w:right="134" w:firstLine="432"/>
        <w:jc w:val="both"/>
      </w:pPr>
      <w:r>
        <w:rPr/>
        <w:t>Let’s take a look at Figure 11.2 to see how the E-Mini S&amp;P 400 fared</w:t>
      </w:r>
      <w:r>
        <w:rPr>
          <w:spacing w:val="40"/>
        </w:rPr>
        <w:t> </w:t>
      </w:r>
      <w:r>
        <w:rPr/>
        <w:t>the following</w:t>
      </w:r>
      <w:r>
        <w:rPr>
          <w:spacing w:val="-1"/>
        </w:rPr>
        <w:t> </w:t>
      </w:r>
      <w:r>
        <w:rPr/>
        <w:t>session. The MC opened the session with a gap below the prior day’s low price of 827.10, which is our first indication of key weakness. The MC then formed a bearish wick reversal candlestick upon testing the L3</w:t>
      </w:r>
      <w:r>
        <w:rPr>
          <w:spacing w:val="40"/>
        </w:rPr>
        <w:t> </w:t>
      </w:r>
      <w:r>
        <w:rPr/>
        <w:t>pivot level from underneath, which essentially confirmed a short entry in this contract. The MC proceeded to drop the rest of the morning and eventually filled three of the four virgin Money Zone levels that were noted in the day’s flight plan. Depending on how you managed the trade, you would have pocketed anywhere from $500 to $1000 for each contract traded, which is nice incentive to do your homework.</w:t>
      </w:r>
    </w:p>
    <w:p>
      <w:pPr>
        <w:spacing w:after="0"/>
        <w:jc w:val="both"/>
        <w:sectPr>
          <w:pgSz w:w="8640" w:h="12960"/>
          <w:pgMar w:header="536" w:footer="1060" w:top="720" w:bottom="1260" w:left="580" w:right="580"/>
        </w:sectPr>
      </w:pPr>
    </w:p>
    <w:p>
      <w:pPr>
        <w:pStyle w:val="BodyText"/>
        <w:spacing w:before="3"/>
        <w:rPr>
          <w:sz w:val="24"/>
        </w:rPr>
      </w:pPr>
    </w:p>
    <w:p>
      <w:pPr>
        <w:pStyle w:val="BodyText"/>
        <w:ind w:left="140"/>
        <w:rPr>
          <w:sz w:val="20"/>
        </w:rPr>
      </w:pPr>
      <w:r>
        <w:rPr>
          <w:sz w:val="20"/>
        </w:rPr>
        <w:drawing>
          <wp:inline distT="0" distB="0" distL="0" distR="0">
            <wp:extent cx="4304849" cy="3068954"/>
            <wp:effectExtent l="0" t="0" r="0" b="0"/>
            <wp:docPr id="331" name="image172.png"/>
            <wp:cNvGraphicFramePr>
              <a:graphicFrameLocks noChangeAspect="1"/>
            </wp:cNvGraphicFramePr>
            <a:graphic>
              <a:graphicData uri="http://schemas.openxmlformats.org/drawingml/2006/picture">
                <pic:pic>
                  <pic:nvPicPr>
                    <pic:cNvPr id="332" name="image172.png"/>
                    <pic:cNvPicPr/>
                  </pic:nvPicPr>
                  <pic:blipFill>
                    <a:blip r:embed="rId351" cstate="print"/>
                    <a:stretch>
                      <a:fillRect/>
                    </a:stretch>
                  </pic:blipFill>
                  <pic:spPr>
                    <a:xfrm>
                      <a:off x="0" y="0"/>
                      <a:ext cx="4304849" cy="3068954"/>
                    </a:xfrm>
                    <a:prstGeom prst="rect">
                      <a:avLst/>
                    </a:prstGeom>
                  </pic:spPr>
                </pic:pic>
              </a:graphicData>
            </a:graphic>
          </wp:inline>
        </w:drawing>
      </w:r>
      <w:r>
        <w:rPr>
          <w:sz w:val="20"/>
        </w:rPr>
      </w:r>
    </w:p>
    <w:p>
      <w:pPr>
        <w:spacing w:before="49"/>
        <w:ind w:left="140" w:right="0" w:firstLine="0"/>
        <w:jc w:val="left"/>
        <w:rPr>
          <w:sz w:val="16"/>
        </w:rPr>
      </w:pPr>
      <w:r>
        <w:rPr>
          <w:sz w:val="16"/>
        </w:rPr>
        <w:t>FIGURE</w:t>
      </w:r>
      <w:r>
        <w:rPr>
          <w:spacing w:val="1"/>
          <w:sz w:val="16"/>
        </w:rPr>
        <w:t> </w:t>
      </w:r>
      <w:r>
        <w:rPr>
          <w:sz w:val="16"/>
        </w:rPr>
        <w:t>11.2:</w:t>
      </w:r>
      <w:r>
        <w:rPr>
          <w:spacing w:val="1"/>
          <w:sz w:val="16"/>
        </w:rPr>
        <w:t> </w:t>
      </w:r>
      <w:r>
        <w:rPr>
          <w:sz w:val="16"/>
        </w:rPr>
        <w:t>The</w:t>
      </w:r>
      <w:r>
        <w:rPr>
          <w:spacing w:val="1"/>
          <w:sz w:val="16"/>
        </w:rPr>
        <w:t> </w:t>
      </w:r>
      <w:r>
        <w:rPr>
          <w:sz w:val="16"/>
        </w:rPr>
        <w:t>flight</w:t>
      </w:r>
      <w:r>
        <w:rPr>
          <w:spacing w:val="1"/>
          <w:sz w:val="16"/>
        </w:rPr>
        <w:t> </w:t>
      </w:r>
      <w:r>
        <w:rPr>
          <w:sz w:val="16"/>
        </w:rPr>
        <w:t>plan</w:t>
      </w:r>
      <w:r>
        <w:rPr>
          <w:spacing w:val="1"/>
          <w:sz w:val="16"/>
        </w:rPr>
        <w:t> </w:t>
      </w:r>
      <w:r>
        <w:rPr>
          <w:sz w:val="16"/>
        </w:rPr>
        <w:t>helped</w:t>
      </w:r>
      <w:r>
        <w:rPr>
          <w:spacing w:val="1"/>
          <w:sz w:val="16"/>
        </w:rPr>
        <w:t> </w:t>
      </w:r>
      <w:r>
        <w:rPr>
          <w:sz w:val="16"/>
        </w:rPr>
        <w:t>us</w:t>
      </w:r>
      <w:r>
        <w:rPr>
          <w:spacing w:val="1"/>
          <w:sz w:val="16"/>
        </w:rPr>
        <w:t> </w:t>
      </w:r>
      <w:r>
        <w:rPr>
          <w:sz w:val="16"/>
        </w:rPr>
        <w:t>prepare</w:t>
      </w:r>
      <w:r>
        <w:rPr>
          <w:spacing w:val="2"/>
          <w:sz w:val="16"/>
        </w:rPr>
        <w:t> </w:t>
      </w:r>
      <w:r>
        <w:rPr>
          <w:sz w:val="16"/>
        </w:rPr>
        <w:t>for</w:t>
      </w:r>
      <w:r>
        <w:rPr>
          <w:spacing w:val="1"/>
          <w:sz w:val="16"/>
        </w:rPr>
        <w:t> </w:t>
      </w:r>
      <w:r>
        <w:rPr>
          <w:sz w:val="16"/>
        </w:rPr>
        <w:t>this</w:t>
      </w:r>
      <w:r>
        <w:rPr>
          <w:spacing w:val="1"/>
          <w:sz w:val="16"/>
        </w:rPr>
        <w:t> </w:t>
      </w:r>
      <w:r>
        <w:rPr>
          <w:sz w:val="16"/>
        </w:rPr>
        <w:t>day</w:t>
      </w:r>
      <w:r>
        <w:rPr>
          <w:spacing w:val="1"/>
          <w:sz w:val="16"/>
        </w:rPr>
        <w:t> </w:t>
      </w:r>
      <w:r>
        <w:rPr>
          <w:sz w:val="16"/>
        </w:rPr>
        <w:t>of</w:t>
      </w:r>
      <w:r>
        <w:rPr>
          <w:spacing w:val="1"/>
          <w:sz w:val="16"/>
        </w:rPr>
        <w:t> </w:t>
      </w:r>
      <w:r>
        <w:rPr>
          <w:spacing w:val="-2"/>
          <w:sz w:val="16"/>
        </w:rPr>
        <w:t>trading.</w:t>
      </w:r>
    </w:p>
    <w:p>
      <w:pPr>
        <w:pStyle w:val="BodyText"/>
        <w:spacing w:before="1"/>
      </w:pPr>
    </w:p>
    <w:p>
      <w:pPr>
        <w:pStyle w:val="BodyText"/>
        <w:ind w:left="140" w:right="498" w:firstLine="432"/>
        <w:jc w:val="both"/>
      </w:pPr>
      <w:r>
        <w:rPr/>
        <w:t>I have found it to be extremely beneficial to update my flight plan daily. While it can seem tedious at first, simple spreadsheet calculations can easily streamline the process, which is well worth the effort. And don’t forget to tailor</w:t>
      </w:r>
      <w:r>
        <w:rPr>
          <w:spacing w:val="-3"/>
        </w:rPr>
        <w:t> </w:t>
      </w:r>
      <w:r>
        <w:rPr/>
        <w:t>your</w:t>
      </w:r>
      <w:r>
        <w:rPr>
          <w:spacing w:val="-3"/>
        </w:rPr>
        <w:t> </w:t>
      </w:r>
      <w:r>
        <w:rPr/>
        <w:t>flight</w:t>
      </w:r>
      <w:r>
        <w:rPr>
          <w:spacing w:val="-3"/>
        </w:rPr>
        <w:t> </w:t>
      </w:r>
      <w:r>
        <w:rPr/>
        <w:t>plan</w:t>
      </w:r>
      <w:r>
        <w:rPr>
          <w:spacing w:val="-3"/>
        </w:rPr>
        <w:t> </w:t>
      </w:r>
      <w:r>
        <w:rPr/>
        <w:t>to</w:t>
      </w:r>
      <w:r>
        <w:rPr>
          <w:spacing w:val="-3"/>
        </w:rPr>
        <w:t> </w:t>
      </w:r>
      <w:r>
        <w:rPr/>
        <w:t>suit</w:t>
      </w:r>
      <w:r>
        <w:rPr>
          <w:spacing w:val="-3"/>
        </w:rPr>
        <w:t> </w:t>
      </w:r>
      <w:r>
        <w:rPr/>
        <w:t>your</w:t>
      </w:r>
      <w:r>
        <w:rPr>
          <w:spacing w:val="-3"/>
        </w:rPr>
        <w:t> </w:t>
      </w:r>
      <w:r>
        <w:rPr/>
        <w:t>trading</w:t>
      </w:r>
      <w:r>
        <w:rPr>
          <w:spacing w:val="-3"/>
        </w:rPr>
        <w:t> </w:t>
      </w:r>
      <w:r>
        <w:rPr/>
        <w:t>style.</w:t>
      </w:r>
      <w:r>
        <w:rPr>
          <w:spacing w:val="-4"/>
        </w:rPr>
        <w:t> </w:t>
      </w:r>
      <w:r>
        <w:rPr/>
        <w:t>I’ve</w:t>
      </w:r>
      <w:r>
        <w:rPr>
          <w:spacing w:val="-3"/>
        </w:rPr>
        <w:t> </w:t>
      </w:r>
      <w:r>
        <w:rPr/>
        <w:t>covered</w:t>
      </w:r>
      <w:r>
        <w:rPr>
          <w:spacing w:val="-3"/>
        </w:rPr>
        <w:t> </w:t>
      </w:r>
      <w:r>
        <w:rPr/>
        <w:t>so</w:t>
      </w:r>
      <w:r>
        <w:rPr>
          <w:spacing w:val="-4"/>
        </w:rPr>
        <w:t> </w:t>
      </w:r>
      <w:r>
        <w:rPr/>
        <w:t>many</w:t>
      </w:r>
      <w:r>
        <w:rPr>
          <w:spacing w:val="-3"/>
        </w:rPr>
        <w:t> </w:t>
      </w:r>
      <w:r>
        <w:rPr/>
        <w:t>ways</w:t>
      </w:r>
      <w:r>
        <w:rPr>
          <w:spacing w:val="-4"/>
        </w:rPr>
        <w:t> </w:t>
      </w:r>
      <w:r>
        <w:rPr/>
        <w:t>to profit with pivots that every trader will gravitate toward different setups and relationships. Finding your niche will be crucial to your success with these </w:t>
      </w:r>
      <w:r>
        <w:rPr>
          <w:spacing w:val="-2"/>
        </w:rPr>
        <w:t>concepts.</w:t>
      </w:r>
    </w:p>
    <w:p>
      <w:pPr>
        <w:pStyle w:val="BodyText"/>
      </w:pPr>
    </w:p>
    <w:p>
      <w:pPr>
        <w:pStyle w:val="Heading3"/>
      </w:pPr>
      <w:r>
        <w:rPr/>
        <w:pict>
          <v:shape style="position:absolute;margin-left:36.779999pt;margin-top:18.290316pt;width:341pt;height:.1pt;mso-position-horizontal-relative:page;mso-position-vertical-relative:paragraph;z-index:-15557632;mso-wrap-distance-left:0;mso-wrap-distance-right:0" id="docshape981" coordorigin="736,366" coordsize="6820,0" path="m736,366l7555,366e" filled="false" stroked="true" strokeweight=".75pt" strokecolor="#000000">
            <v:path arrowok="t"/>
            <v:stroke dashstyle="solid"/>
            <w10:wrap type="topAndBottom"/>
          </v:shape>
        </w:pict>
      </w:r>
      <w:bookmarkStart w:name="_TOC_250004" w:id="87"/>
      <w:r>
        <w:rPr>
          <w:smallCaps/>
          <w:spacing w:val="-4"/>
        </w:rPr>
        <w:t>Preparation</w:t>
      </w:r>
      <w:r>
        <w:rPr>
          <w:smallCaps/>
          <w:spacing w:val="1"/>
        </w:rPr>
        <w:t> </w:t>
      </w:r>
      <w:r>
        <w:rPr>
          <w:smallCaps/>
          <w:spacing w:val="-4"/>
        </w:rPr>
        <w:t>Breeds</w:t>
      </w:r>
      <w:r>
        <w:rPr>
          <w:smallCaps/>
        </w:rPr>
        <w:t> </w:t>
      </w:r>
      <w:bookmarkEnd w:id="87"/>
      <w:r>
        <w:rPr>
          <w:smallCaps/>
          <w:spacing w:val="-4"/>
        </w:rPr>
        <w:t>Confidence</w:t>
      </w:r>
    </w:p>
    <w:p>
      <w:pPr>
        <w:pStyle w:val="BodyText"/>
        <w:spacing w:before="202"/>
        <w:ind w:left="140" w:right="495" w:firstLine="432"/>
        <w:jc w:val="both"/>
      </w:pPr>
      <w:r>
        <w:rPr/>
        <w:t>You have embarked on a journey that can truly revolutionize the way you trade. But you must have the confidence to pull the trigger and the fortitude to stick with your plan. A great many failures can be traced back to the times that traders strayed from their game plan. A trader thinks most clearly </w:t>
      </w:r>
      <w:r>
        <w:rPr>
          <w:i/>
        </w:rPr>
        <w:t>before </w:t>
      </w:r>
      <w:r>
        <w:rPr/>
        <w:t>a trade is placed. Know your entry, target, and stop loss </w:t>
      </w:r>
      <w:r>
        <w:rPr>
          <w:i/>
        </w:rPr>
        <w:t>before</w:t>
      </w:r>
      <w:r>
        <w:rPr>
          <w:i/>
        </w:rPr>
        <w:t> </w:t>
      </w:r>
      <w:r>
        <w:rPr/>
        <w:t>you enter a trade. You must have confidence in your analysis and act quickly upon reaching a conclusion derived from your analysis.</w:t>
      </w:r>
    </w:p>
    <w:p>
      <w:pPr>
        <w:pStyle w:val="BodyText"/>
        <w:ind w:left="140" w:right="498" w:firstLine="432"/>
        <w:jc w:val="both"/>
      </w:pPr>
      <w:r>
        <w:rPr/>
        <w:t>The setups in this book are some of my favorite money-making ideas. These, along with the key pivot behaviors that I have explained, are fabulous methods</w:t>
      </w:r>
      <w:r>
        <w:rPr>
          <w:spacing w:val="61"/>
          <w:w w:val="150"/>
        </w:rPr>
        <w:t> </w:t>
      </w:r>
      <w:r>
        <w:rPr/>
        <w:t>for</w:t>
      </w:r>
      <w:r>
        <w:rPr>
          <w:spacing w:val="61"/>
          <w:w w:val="150"/>
        </w:rPr>
        <w:t> </w:t>
      </w:r>
      <w:r>
        <w:rPr/>
        <w:t>picking</w:t>
      </w:r>
      <w:r>
        <w:rPr>
          <w:spacing w:val="61"/>
          <w:w w:val="150"/>
        </w:rPr>
        <w:t> </w:t>
      </w:r>
      <w:r>
        <w:rPr/>
        <w:t>off</w:t>
      </w:r>
      <w:r>
        <w:rPr>
          <w:spacing w:val="61"/>
          <w:w w:val="150"/>
        </w:rPr>
        <w:t> </w:t>
      </w:r>
      <w:r>
        <w:rPr/>
        <w:t>winners</w:t>
      </w:r>
      <w:r>
        <w:rPr>
          <w:spacing w:val="61"/>
          <w:w w:val="150"/>
        </w:rPr>
        <w:t> </w:t>
      </w:r>
      <w:r>
        <w:rPr/>
        <w:t>in</w:t>
      </w:r>
      <w:r>
        <w:rPr>
          <w:spacing w:val="61"/>
          <w:w w:val="150"/>
        </w:rPr>
        <w:t> </w:t>
      </w:r>
      <w:r>
        <w:rPr/>
        <w:t>the</w:t>
      </w:r>
      <w:r>
        <w:rPr>
          <w:spacing w:val="64"/>
          <w:w w:val="150"/>
        </w:rPr>
        <w:t> </w:t>
      </w:r>
      <w:r>
        <w:rPr/>
        <w:t>market.</w:t>
      </w:r>
      <w:r>
        <w:rPr>
          <w:spacing w:val="61"/>
          <w:w w:val="150"/>
        </w:rPr>
        <w:t> </w:t>
      </w:r>
      <w:r>
        <w:rPr/>
        <w:t>However,</w:t>
      </w:r>
      <w:r>
        <w:rPr>
          <w:spacing w:val="62"/>
          <w:w w:val="150"/>
        </w:rPr>
        <w:t> </w:t>
      </w:r>
      <w:r>
        <w:rPr/>
        <w:t>given</w:t>
      </w:r>
      <w:r>
        <w:rPr>
          <w:spacing w:val="61"/>
          <w:w w:val="150"/>
        </w:rPr>
        <w:t> </w:t>
      </w:r>
      <w:r>
        <w:rPr>
          <w:spacing w:val="-5"/>
        </w:rPr>
        <w:t>the</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6"/>
        <w:jc w:val="both"/>
      </w:pPr>
      <w:r>
        <w:rPr/>
        <w:t>abundance of trading ideas in this book, it is best that you pick and choose a few that you are comfortable trading. After all, even the best money-making ideas will make you zilch if you are not comfortable with the concept. As a matter of fact, being uncomfortable with a trading approach can usually turn</w:t>
      </w:r>
      <w:r>
        <w:rPr>
          <w:spacing w:val="40"/>
        </w:rPr>
        <w:t> </w:t>
      </w:r>
      <w:r>
        <w:rPr/>
        <w:t>a great system into a pitiful loser. Become a master of a few setups, instead</w:t>
      </w:r>
      <w:r>
        <w:rPr>
          <w:spacing w:val="40"/>
        </w:rPr>
        <w:t> </w:t>
      </w:r>
      <w:r>
        <w:rPr/>
        <w:t>of a casual fan of many. Expanding into new setups after mastering a few is usually a prudent approach.</w:t>
      </w:r>
    </w:p>
    <w:p>
      <w:pPr>
        <w:pStyle w:val="BodyText"/>
        <w:ind w:left="500" w:right="133" w:firstLine="432"/>
        <w:jc w:val="both"/>
      </w:pPr>
      <w:r>
        <w:rPr/>
        <w:t>Trading is an endeavor that requires consistent learning. After many years of trading with the pivots, I continue to learn new and interesting techniques to profit in the market using these incredible indicators. Even writing this book allowed me to grow as a trader and as a connoisseur of</w:t>
      </w:r>
      <w:r>
        <w:rPr>
          <w:spacing w:val="40"/>
        </w:rPr>
        <w:t> </w:t>
      </w:r>
      <w:r>
        <w:rPr/>
        <w:t>these fabulous price-based indicators. Trading is about finding an edge in the market. As long as you continue to keep an open mind toward your trading education, you will allow yourself to continue to grow as a trader. The day a trader believes he knows everything about the market is the day that he stops growing and allows the competition to surpass him. This can be one of the most fatal errs in trading.</w:t>
      </w:r>
    </w:p>
    <w:p>
      <w:pPr>
        <w:pStyle w:val="BodyText"/>
        <w:ind w:left="500" w:right="133" w:firstLine="432"/>
        <w:jc w:val="both"/>
      </w:pPr>
      <w:r>
        <w:rPr/>
        <w:t>Continue to polish your use of the concepts and techniques in this book. Over time, I hope that you will continue to draw beneficial nuggets away from these pages. With great pleasure and gratitude, I would like to express my genuine appreciation for reading </w:t>
      </w:r>
      <w:r>
        <w:rPr>
          <w:i/>
        </w:rPr>
        <w:t>Secrets of a Pivot Boss</w:t>
      </w:r>
      <w:r>
        <w:rPr/>
        <w:t>. It is my sincere hope that this book will be of service to you on your path to trading success.</w:t>
      </w:r>
    </w:p>
    <w:p>
      <w:pPr>
        <w:pStyle w:val="BodyText"/>
      </w:pPr>
    </w:p>
    <w:p>
      <w:pPr>
        <w:pStyle w:val="BodyText"/>
        <w:ind w:left="931" w:right="3102"/>
      </w:pPr>
      <w:r>
        <w:rPr/>
        <w:t>Good</w:t>
      </w:r>
      <w:r>
        <w:rPr>
          <w:spacing w:val="-8"/>
        </w:rPr>
        <w:t> </w:t>
      </w:r>
      <w:r>
        <w:rPr/>
        <w:t>luck</w:t>
      </w:r>
      <w:r>
        <w:rPr>
          <w:spacing w:val="-7"/>
        </w:rPr>
        <w:t> </w:t>
      </w:r>
      <w:r>
        <w:rPr/>
        <w:t>in</w:t>
      </w:r>
      <w:r>
        <w:rPr>
          <w:spacing w:val="-9"/>
        </w:rPr>
        <w:t> </w:t>
      </w:r>
      <w:r>
        <w:rPr/>
        <w:t>your</w:t>
      </w:r>
      <w:r>
        <w:rPr>
          <w:spacing w:val="-7"/>
        </w:rPr>
        <w:t> </w:t>
      </w:r>
      <w:r>
        <w:rPr/>
        <w:t>trading</w:t>
      </w:r>
      <w:r>
        <w:rPr>
          <w:spacing w:val="-9"/>
        </w:rPr>
        <w:t> </w:t>
      </w:r>
      <w:r>
        <w:rPr/>
        <w:t>endeavors, Franklin O. Ochoa, Jr.</w:t>
      </w:r>
    </w:p>
    <w:p>
      <w:pPr>
        <w:spacing w:after="0"/>
        <w:sectPr>
          <w:pgSz w:w="8640" w:h="12960"/>
          <w:pgMar w:header="536" w:footer="1060" w:top="720" w:bottom="1260" w:left="580" w:right="580"/>
        </w:sectPr>
      </w:pPr>
    </w:p>
    <w:p>
      <w:pPr>
        <w:pStyle w:val="BodyText"/>
        <w:spacing w:before="4"/>
        <w:rPr>
          <w:sz w:val="17"/>
        </w:rPr>
      </w:pPr>
    </w:p>
    <w:p>
      <w:pPr>
        <w:spacing w:after="0"/>
        <w:rPr>
          <w:sz w:val="17"/>
        </w:rPr>
        <w:sectPr>
          <w:headerReference w:type="even" r:id="rId352"/>
          <w:footerReference w:type="even" r:id="rId353"/>
          <w:pgSz w:w="8640" w:h="12960"/>
          <w:pgMar w:header="0" w:footer="0" w:top="14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337"/>
        <w:ind w:left="2174"/>
        <w:rPr>
          <w:sz w:val="180"/>
        </w:rPr>
      </w:pPr>
      <w:r>
        <w:rPr/>
        <w:pict>
          <v:line style="position:absolute;mso-position-horizontal-relative:page;mso-position-vertical-relative:paragraph;z-index:-19515392" from="60.060001pt,110.953445pt" to="394.500001pt,110.953445pt" stroked="true" strokeweight=".75pt" strokecolor="#000000">
            <v:stroke dashstyle="solid"/>
            <w10:wrap type="none"/>
          </v:line>
        </w:pict>
      </w:r>
      <w:bookmarkStart w:name="_TOC_250003" w:id="88"/>
      <w:r>
        <w:rPr>
          <w:w w:val="105"/>
        </w:rPr>
        <w:t>A</w:t>
      </w:r>
      <w:r>
        <w:rPr>
          <w:spacing w:val="-11"/>
          <w:w w:val="105"/>
        </w:rPr>
        <w:t> </w:t>
      </w:r>
      <w:r>
        <w:rPr>
          <w:w w:val="105"/>
        </w:rPr>
        <w:t>P</w:t>
      </w:r>
      <w:r>
        <w:rPr>
          <w:spacing w:val="-9"/>
          <w:w w:val="105"/>
        </w:rPr>
        <w:t> </w:t>
      </w:r>
      <w:r>
        <w:rPr>
          <w:w w:val="105"/>
        </w:rPr>
        <w:t>P</w:t>
      </w:r>
      <w:r>
        <w:rPr>
          <w:spacing w:val="-10"/>
          <w:w w:val="105"/>
        </w:rPr>
        <w:t> </w:t>
      </w:r>
      <w:r>
        <w:rPr>
          <w:w w:val="105"/>
        </w:rPr>
        <w:t>E</w:t>
      </w:r>
      <w:r>
        <w:rPr>
          <w:spacing w:val="-10"/>
          <w:w w:val="105"/>
        </w:rPr>
        <w:t> </w:t>
      </w:r>
      <w:r>
        <w:rPr>
          <w:w w:val="105"/>
        </w:rPr>
        <w:t>N</w:t>
      </w:r>
      <w:r>
        <w:rPr>
          <w:spacing w:val="-9"/>
          <w:w w:val="105"/>
        </w:rPr>
        <w:t> </w:t>
      </w:r>
      <w:r>
        <w:rPr>
          <w:w w:val="105"/>
        </w:rPr>
        <w:t>D</w:t>
      </w:r>
      <w:r>
        <w:rPr>
          <w:spacing w:val="-9"/>
          <w:w w:val="105"/>
        </w:rPr>
        <w:t> </w:t>
      </w:r>
      <w:r>
        <w:rPr>
          <w:w w:val="105"/>
        </w:rPr>
        <w:t>I</w:t>
      </w:r>
      <w:r>
        <w:rPr>
          <w:spacing w:val="-10"/>
          <w:w w:val="105"/>
        </w:rPr>
        <w:t> </w:t>
      </w:r>
      <w:r>
        <w:rPr>
          <w:w w:val="105"/>
        </w:rPr>
        <w:t>X</w:t>
      </w:r>
      <w:r>
        <w:rPr>
          <w:spacing w:val="-11"/>
          <w:w w:val="105"/>
        </w:rPr>
        <w:t> </w:t>
      </w:r>
      <w:bookmarkEnd w:id="88"/>
      <w:r>
        <w:rPr>
          <w:spacing w:val="-10"/>
          <w:w w:val="105"/>
          <w:sz w:val="180"/>
        </w:rPr>
        <w:t>A</w:t>
      </w:r>
    </w:p>
    <w:p>
      <w:pPr>
        <w:pStyle w:val="Heading1"/>
        <w:spacing w:line="276" w:lineRule="auto" w:before="312"/>
        <w:ind w:left="4490" w:hanging="1026"/>
      </w:pPr>
      <w:bookmarkStart w:name="_TOC_250002" w:id="89"/>
      <w:r>
        <w:rPr>
          <w:smallCaps/>
          <w:w w:val="90"/>
        </w:rPr>
        <w:t>Floor </w:t>
      </w:r>
      <w:r>
        <w:rPr>
          <w:smallCaps/>
          <w:w w:val="90"/>
        </w:rPr>
        <w:t>Pivots </w:t>
      </w:r>
      <w:bookmarkEnd w:id="89"/>
      <w:r>
        <w:rPr>
          <w:smallCaps/>
          <w:spacing w:val="-2"/>
          <w:w w:val="90"/>
        </w:rPr>
        <w:t>Research</w:t>
      </w:r>
    </w:p>
    <w:p>
      <w:pPr>
        <w:spacing w:before="289"/>
        <w:ind w:left="444" w:right="616" w:firstLine="0"/>
        <w:jc w:val="center"/>
        <w:rPr>
          <w:i/>
          <w:sz w:val="22"/>
        </w:rPr>
      </w:pPr>
      <w:r>
        <w:rPr>
          <w:i/>
          <w:sz w:val="22"/>
        </w:rPr>
        <w:t>“General</w:t>
      </w:r>
      <w:r>
        <w:rPr>
          <w:i/>
          <w:spacing w:val="-5"/>
          <w:sz w:val="22"/>
        </w:rPr>
        <w:t> </w:t>
      </w:r>
      <w:r>
        <w:rPr>
          <w:i/>
          <w:sz w:val="22"/>
        </w:rPr>
        <w:t>wisdom</w:t>
      </w:r>
      <w:r>
        <w:rPr>
          <w:i/>
          <w:spacing w:val="-5"/>
          <w:sz w:val="22"/>
        </w:rPr>
        <w:t> </w:t>
      </w:r>
      <w:r>
        <w:rPr>
          <w:i/>
          <w:sz w:val="22"/>
        </w:rPr>
        <w:t>is</w:t>
      </w:r>
      <w:r>
        <w:rPr>
          <w:i/>
          <w:spacing w:val="-4"/>
          <w:sz w:val="22"/>
        </w:rPr>
        <w:t> </w:t>
      </w:r>
      <w:r>
        <w:rPr>
          <w:i/>
          <w:sz w:val="22"/>
        </w:rPr>
        <w:t>less</w:t>
      </w:r>
      <w:r>
        <w:rPr>
          <w:i/>
          <w:spacing w:val="-5"/>
          <w:sz w:val="22"/>
        </w:rPr>
        <w:t> </w:t>
      </w:r>
      <w:r>
        <w:rPr>
          <w:i/>
          <w:sz w:val="22"/>
        </w:rPr>
        <w:t>valuable</w:t>
      </w:r>
      <w:r>
        <w:rPr>
          <w:i/>
          <w:spacing w:val="-4"/>
          <w:sz w:val="22"/>
        </w:rPr>
        <w:t> </w:t>
      </w:r>
      <w:r>
        <w:rPr>
          <w:i/>
          <w:sz w:val="22"/>
        </w:rPr>
        <w:t>than</w:t>
      </w:r>
      <w:r>
        <w:rPr>
          <w:i/>
          <w:spacing w:val="-8"/>
          <w:sz w:val="22"/>
        </w:rPr>
        <w:t> </w:t>
      </w:r>
      <w:r>
        <w:rPr>
          <w:i/>
          <w:sz w:val="22"/>
        </w:rPr>
        <w:t>specific</w:t>
      </w:r>
      <w:r>
        <w:rPr>
          <w:i/>
          <w:spacing w:val="-4"/>
          <w:sz w:val="22"/>
        </w:rPr>
        <w:t> </w:t>
      </w:r>
      <w:r>
        <w:rPr>
          <w:i/>
          <w:spacing w:val="-2"/>
          <w:sz w:val="22"/>
        </w:rPr>
        <w:t>savvy.”</w:t>
      </w:r>
    </w:p>
    <w:p>
      <w:pPr>
        <w:pStyle w:val="BodyText"/>
        <w:spacing w:before="39"/>
        <w:ind w:left="5543"/>
        <w:jc w:val="center"/>
      </w:pPr>
      <w:r>
        <w:rPr>
          <w:w w:val="105"/>
        </w:rPr>
        <w:t>-</w:t>
      </w:r>
      <w:r>
        <w:rPr>
          <w:spacing w:val="-12"/>
          <w:w w:val="105"/>
        </w:rPr>
        <w:t> </w:t>
      </w:r>
      <w:r>
        <w:rPr>
          <w:w w:val="105"/>
        </w:rPr>
        <w:t>Jesse</w:t>
      </w:r>
      <w:r>
        <w:rPr>
          <w:spacing w:val="-7"/>
          <w:w w:val="105"/>
        </w:rPr>
        <w:t> </w:t>
      </w:r>
      <w:r>
        <w:rPr>
          <w:spacing w:val="-2"/>
          <w:w w:val="105"/>
        </w:rPr>
        <w:t>Livermore</w:t>
      </w:r>
    </w:p>
    <w:p>
      <w:pPr>
        <w:pStyle w:val="BodyText"/>
      </w:pPr>
    </w:p>
    <w:p>
      <w:pPr>
        <w:pStyle w:val="BodyText"/>
      </w:pPr>
    </w:p>
    <w:p>
      <w:pPr>
        <w:pStyle w:val="BodyText"/>
      </w:pPr>
    </w:p>
    <w:p>
      <w:pPr>
        <w:pStyle w:val="BodyText"/>
      </w:pPr>
    </w:p>
    <w:p>
      <w:pPr>
        <w:pStyle w:val="BodyText"/>
      </w:pPr>
    </w:p>
    <w:p>
      <w:pPr>
        <w:pStyle w:val="BodyText"/>
        <w:spacing w:before="188"/>
        <w:ind w:left="499" w:right="135" w:firstLine="432"/>
        <w:jc w:val="both"/>
      </w:pPr>
      <w:r>
        <w:rPr/>
        <w:t>Learning to understand the pivots and their nuances is usually best done under live fire. There is no substitute for real bullets on the battlefield;</w:t>
      </w:r>
      <w:r>
        <w:rPr>
          <w:spacing w:val="40"/>
        </w:rPr>
        <w:t> </w:t>
      </w:r>
      <w:r>
        <w:rPr/>
        <w:t>neither should there be in the trading field. Aside from learning the pivots with live charts, one of the best ways to understand pivot behavior is to learn</w:t>
      </w:r>
    </w:p>
    <w:p>
      <w:pPr>
        <w:spacing w:after="0"/>
        <w:jc w:val="both"/>
        <w:sectPr>
          <w:headerReference w:type="default" r:id="rId354"/>
          <w:footerReference w:type="default" r:id="rId355"/>
          <w:footerReference w:type="even" r:id="rId356"/>
          <w:pgSz w:w="8640" w:h="12960"/>
          <w:pgMar w:header="0" w:footer="1060" w:top="1480" w:bottom="1260" w:left="580" w:right="580"/>
          <w:pgNumType w:start="289"/>
        </w:sectPr>
      </w:pPr>
    </w:p>
    <w:p>
      <w:pPr>
        <w:pStyle w:val="BodyText"/>
        <w:spacing w:before="5"/>
        <w:rPr>
          <w:sz w:val="18"/>
        </w:rPr>
      </w:pPr>
    </w:p>
    <w:p>
      <w:pPr>
        <w:pStyle w:val="BodyText"/>
        <w:spacing w:before="64"/>
        <w:ind w:left="140" w:right="497"/>
        <w:jc w:val="both"/>
      </w:pPr>
      <w:r>
        <w:rPr/>
        <w:t>what the statistics are telling you. Knowing that the market tests the central pivot 63 percent of the time at some point during the day is a huge</w:t>
      </w:r>
      <w:r>
        <w:rPr>
          <w:spacing w:val="80"/>
        </w:rPr>
        <w:t> </w:t>
      </w:r>
      <w:r>
        <w:rPr/>
        <w:t>advantage. Knowing that on days when the market doesn’t touch the central pivot you usually see a highly directional, trending day toward R3 or S3 can make a significant improvement in your trading.</w:t>
      </w:r>
    </w:p>
    <w:p>
      <w:pPr>
        <w:pStyle w:val="BodyText"/>
        <w:ind w:left="140" w:right="496" w:firstLine="432"/>
        <w:jc w:val="both"/>
      </w:pPr>
      <w:r>
        <w:rPr/>
        <w:t>I’ve compiled and crunched the statistics on eight months of the latest data for the Mini-Sized Dow futures contract, from November 2008 through June 2009. These eight months covered all three market cycles: a sideways period from November through December 2008, a bear period from January through February 2009, and a bull period from March through June 2009 (Figure A.1). This is important when analyzing the data because you do not want one market phase to dominate the data collection phase, which could skew what the data are intending to tell you.</w:t>
      </w:r>
    </w:p>
    <w:p>
      <w:pPr>
        <w:pStyle w:val="BodyText"/>
        <w:spacing w:before="1"/>
        <w:ind w:left="140" w:right="498" w:firstLine="432"/>
        <w:jc w:val="both"/>
      </w:pPr>
      <w:r>
        <w:rPr/>
        <w:t>Keep</w:t>
      </w:r>
      <w:r>
        <w:rPr>
          <w:spacing w:val="-1"/>
        </w:rPr>
        <w:t> </w:t>
      </w:r>
      <w:r>
        <w:rPr/>
        <w:t>in mind</w:t>
      </w:r>
      <w:r>
        <w:rPr>
          <w:spacing w:val="-1"/>
        </w:rPr>
        <w:t> </w:t>
      </w:r>
      <w:r>
        <w:rPr/>
        <w:t>that</w:t>
      </w:r>
      <w:r>
        <w:rPr>
          <w:spacing w:val="-1"/>
        </w:rPr>
        <w:t> </w:t>
      </w:r>
      <w:r>
        <w:rPr/>
        <w:t>I</w:t>
      </w:r>
      <w:r>
        <w:rPr>
          <w:spacing w:val="-1"/>
        </w:rPr>
        <w:t> </w:t>
      </w:r>
      <w:r>
        <w:rPr/>
        <w:t>gathered</w:t>
      </w:r>
      <w:r>
        <w:rPr>
          <w:spacing w:val="-1"/>
        </w:rPr>
        <w:t> </w:t>
      </w:r>
      <w:r>
        <w:rPr/>
        <w:t>these</w:t>
      </w:r>
      <w:r>
        <w:rPr>
          <w:spacing w:val="-1"/>
        </w:rPr>
        <w:t> </w:t>
      </w:r>
      <w:r>
        <w:rPr/>
        <w:t>statistics</w:t>
      </w:r>
      <w:r>
        <w:rPr>
          <w:spacing w:val="-1"/>
        </w:rPr>
        <w:t> </w:t>
      </w:r>
      <w:r>
        <w:rPr/>
        <w:t>for</w:t>
      </w:r>
      <w:r>
        <w:rPr>
          <w:spacing w:val="-1"/>
        </w:rPr>
        <w:t> </w:t>
      </w:r>
      <w:r>
        <w:rPr/>
        <w:t>intraday</w:t>
      </w:r>
      <w:r>
        <w:rPr>
          <w:spacing w:val="-2"/>
        </w:rPr>
        <w:t> </w:t>
      </w:r>
      <w:r>
        <w:rPr/>
        <w:t>trading.</w:t>
      </w:r>
      <w:r>
        <w:rPr>
          <w:spacing w:val="-1"/>
        </w:rPr>
        <w:t> </w:t>
      </w:r>
      <w:r>
        <w:rPr/>
        <w:t>That</w:t>
      </w:r>
      <w:r>
        <w:rPr>
          <w:spacing w:val="-1"/>
        </w:rPr>
        <w:t> </w:t>
      </w:r>
      <w:r>
        <w:rPr/>
        <w:t>is, these figures work for any minute periodicity below a daily chart.</w:t>
      </w:r>
    </w:p>
    <w:p>
      <w:pPr>
        <w:pStyle w:val="BodyText"/>
        <w:spacing w:before="1"/>
        <w:rPr>
          <w:sz w:val="14"/>
        </w:rPr>
      </w:pPr>
      <w:r>
        <w:rPr/>
        <w:drawing>
          <wp:anchor distT="0" distB="0" distL="0" distR="0" allowOverlap="1" layoutInCell="1" locked="0" behindDoc="0" simplePos="0" relativeHeight="336">
            <wp:simplePos x="0" y="0"/>
            <wp:positionH relativeFrom="page">
              <wp:posOffset>457200</wp:posOffset>
            </wp:positionH>
            <wp:positionV relativeFrom="paragraph">
              <wp:posOffset>118432</wp:posOffset>
            </wp:positionV>
            <wp:extent cx="4343034" cy="3129057"/>
            <wp:effectExtent l="0" t="0" r="0" b="0"/>
            <wp:wrapTopAndBottom/>
            <wp:docPr id="333" name="image173.png"/>
            <wp:cNvGraphicFramePr>
              <a:graphicFrameLocks noChangeAspect="1"/>
            </wp:cNvGraphicFramePr>
            <a:graphic>
              <a:graphicData uri="http://schemas.openxmlformats.org/drawingml/2006/picture">
                <pic:pic>
                  <pic:nvPicPr>
                    <pic:cNvPr id="334" name="image173.png"/>
                    <pic:cNvPicPr/>
                  </pic:nvPicPr>
                  <pic:blipFill>
                    <a:blip r:embed="rId359" cstate="print"/>
                    <a:stretch>
                      <a:fillRect/>
                    </a:stretch>
                  </pic:blipFill>
                  <pic:spPr>
                    <a:xfrm>
                      <a:off x="0" y="0"/>
                      <a:ext cx="4343034" cy="3129057"/>
                    </a:xfrm>
                    <a:prstGeom prst="rect">
                      <a:avLst/>
                    </a:prstGeom>
                  </pic:spPr>
                </pic:pic>
              </a:graphicData>
            </a:graphic>
          </wp:anchor>
        </w:drawing>
      </w:r>
    </w:p>
    <w:p>
      <w:pPr>
        <w:spacing w:before="0"/>
        <w:ind w:left="140" w:right="0" w:firstLine="0"/>
        <w:jc w:val="both"/>
        <w:rPr>
          <w:sz w:val="16"/>
        </w:rPr>
      </w:pPr>
      <w:r>
        <w:rPr>
          <w:sz w:val="16"/>
        </w:rPr>
        <w:t>FIGURE</w:t>
      </w:r>
      <w:r>
        <w:rPr>
          <w:spacing w:val="1"/>
          <w:sz w:val="16"/>
        </w:rPr>
        <w:t> </w:t>
      </w:r>
      <w:r>
        <w:rPr>
          <w:sz w:val="16"/>
        </w:rPr>
        <w:t>A.1:</w:t>
      </w:r>
      <w:r>
        <w:rPr>
          <w:spacing w:val="1"/>
          <w:sz w:val="16"/>
        </w:rPr>
        <w:t> </w:t>
      </w:r>
      <w:r>
        <w:rPr>
          <w:sz w:val="16"/>
        </w:rPr>
        <w:t>All</w:t>
      </w:r>
      <w:r>
        <w:rPr>
          <w:spacing w:val="3"/>
          <w:sz w:val="16"/>
        </w:rPr>
        <w:t> </w:t>
      </w:r>
      <w:r>
        <w:rPr>
          <w:sz w:val="16"/>
        </w:rPr>
        <w:t>three</w:t>
      </w:r>
      <w:r>
        <w:rPr>
          <w:spacing w:val="3"/>
          <w:sz w:val="16"/>
        </w:rPr>
        <w:t> </w:t>
      </w:r>
      <w:r>
        <w:rPr>
          <w:sz w:val="16"/>
        </w:rPr>
        <w:t>market</w:t>
      </w:r>
      <w:r>
        <w:rPr>
          <w:spacing w:val="3"/>
          <w:sz w:val="16"/>
        </w:rPr>
        <w:t> </w:t>
      </w:r>
      <w:r>
        <w:rPr>
          <w:sz w:val="16"/>
        </w:rPr>
        <w:t>phases</w:t>
      </w:r>
      <w:r>
        <w:rPr>
          <w:spacing w:val="1"/>
          <w:sz w:val="16"/>
        </w:rPr>
        <w:t> </w:t>
      </w:r>
      <w:r>
        <w:rPr>
          <w:sz w:val="16"/>
        </w:rPr>
        <w:t>were</w:t>
      </w:r>
      <w:r>
        <w:rPr>
          <w:spacing w:val="3"/>
          <w:sz w:val="16"/>
        </w:rPr>
        <w:t> </w:t>
      </w:r>
      <w:r>
        <w:rPr>
          <w:sz w:val="16"/>
        </w:rPr>
        <w:t>captured</w:t>
      </w:r>
      <w:r>
        <w:rPr>
          <w:spacing w:val="1"/>
          <w:sz w:val="16"/>
        </w:rPr>
        <w:t> </w:t>
      </w:r>
      <w:r>
        <w:rPr>
          <w:sz w:val="16"/>
        </w:rPr>
        <w:t>in</w:t>
      </w:r>
      <w:r>
        <w:rPr>
          <w:spacing w:val="1"/>
          <w:sz w:val="16"/>
        </w:rPr>
        <w:t> </w:t>
      </w:r>
      <w:r>
        <w:rPr>
          <w:sz w:val="16"/>
        </w:rPr>
        <w:t>the</w:t>
      </w:r>
      <w:r>
        <w:rPr>
          <w:spacing w:val="2"/>
          <w:sz w:val="16"/>
        </w:rPr>
        <w:t> </w:t>
      </w:r>
      <w:r>
        <w:rPr>
          <w:sz w:val="16"/>
        </w:rPr>
        <w:t>data</w:t>
      </w:r>
      <w:r>
        <w:rPr>
          <w:spacing w:val="1"/>
          <w:sz w:val="16"/>
        </w:rPr>
        <w:t> </w:t>
      </w:r>
      <w:r>
        <w:rPr>
          <w:spacing w:val="-2"/>
          <w:sz w:val="16"/>
        </w:rPr>
        <w:t>collection.</w:t>
      </w:r>
    </w:p>
    <w:p>
      <w:pPr>
        <w:pStyle w:val="BodyText"/>
        <w:spacing w:before="8"/>
        <w:rPr>
          <w:sz w:val="21"/>
        </w:rPr>
      </w:pPr>
    </w:p>
    <w:p>
      <w:pPr>
        <w:pStyle w:val="BodyText"/>
        <w:ind w:left="139" w:right="495" w:firstLine="432"/>
        <w:jc w:val="both"/>
      </w:pPr>
      <w:r>
        <w:rPr/>
        <w:t>The first major statistics I wanted to collect were basic touches in a day. Anytime the YM merely touched a pivot, it was noted. I wanted to see how often the YM visited certain pivots, which could help to refine both our entries</w:t>
      </w:r>
      <w:r>
        <w:rPr>
          <w:spacing w:val="34"/>
        </w:rPr>
        <w:t> </w:t>
      </w:r>
      <w:r>
        <w:rPr/>
        <w:t>and</w:t>
      </w:r>
      <w:r>
        <w:rPr>
          <w:spacing w:val="35"/>
        </w:rPr>
        <w:t> </w:t>
      </w:r>
      <w:r>
        <w:rPr/>
        <w:t>exits.</w:t>
      </w:r>
      <w:r>
        <w:rPr>
          <w:spacing w:val="35"/>
        </w:rPr>
        <w:t> </w:t>
      </w:r>
      <w:r>
        <w:rPr/>
        <w:t>Keep</w:t>
      </w:r>
      <w:r>
        <w:rPr>
          <w:spacing w:val="34"/>
        </w:rPr>
        <w:t> </w:t>
      </w:r>
      <w:r>
        <w:rPr/>
        <w:t>in</w:t>
      </w:r>
      <w:r>
        <w:rPr>
          <w:spacing w:val="35"/>
        </w:rPr>
        <w:t> </w:t>
      </w:r>
      <w:r>
        <w:rPr/>
        <w:t>mind</w:t>
      </w:r>
      <w:r>
        <w:rPr>
          <w:spacing w:val="35"/>
        </w:rPr>
        <w:t> </w:t>
      </w:r>
      <w:r>
        <w:rPr/>
        <w:t>that</w:t>
      </w:r>
      <w:r>
        <w:rPr>
          <w:spacing w:val="35"/>
        </w:rPr>
        <w:t> </w:t>
      </w:r>
      <w:r>
        <w:rPr/>
        <w:t>I’ve</w:t>
      </w:r>
      <w:r>
        <w:rPr>
          <w:spacing w:val="34"/>
        </w:rPr>
        <w:t> </w:t>
      </w:r>
      <w:r>
        <w:rPr/>
        <w:t>combined</w:t>
      </w:r>
      <w:r>
        <w:rPr>
          <w:spacing w:val="36"/>
        </w:rPr>
        <w:t> </w:t>
      </w:r>
      <w:r>
        <w:rPr/>
        <w:t>each</w:t>
      </w:r>
      <w:r>
        <w:rPr>
          <w:spacing w:val="35"/>
        </w:rPr>
        <w:t> </w:t>
      </w:r>
      <w:r>
        <w:rPr/>
        <w:t>layer</w:t>
      </w:r>
      <w:r>
        <w:rPr>
          <w:spacing w:val="34"/>
        </w:rPr>
        <w:t> </w:t>
      </w:r>
      <w:r>
        <w:rPr/>
        <w:t>so</w:t>
      </w:r>
      <w:r>
        <w:rPr>
          <w:spacing w:val="35"/>
        </w:rPr>
        <w:t> </w:t>
      </w:r>
      <w:r>
        <w:rPr/>
        <w:t>that</w:t>
      </w:r>
      <w:r>
        <w:rPr>
          <w:spacing w:val="35"/>
        </w:rPr>
        <w:t> </w:t>
      </w:r>
      <w:r>
        <w:rPr>
          <w:spacing w:val="-5"/>
        </w:rPr>
        <w:t>L1</w:t>
      </w:r>
    </w:p>
    <w:p>
      <w:pPr>
        <w:spacing w:after="0"/>
        <w:jc w:val="both"/>
        <w:sectPr>
          <w:headerReference w:type="even" r:id="rId357"/>
          <w:headerReference w:type="default" r:id="rId358"/>
          <w:pgSz w:w="8640" w:h="12960"/>
          <w:pgMar w:header="579" w:footer="1060" w:top="760" w:bottom="1260" w:left="580" w:right="580"/>
        </w:sectPr>
      </w:pPr>
    </w:p>
    <w:p>
      <w:pPr>
        <w:pStyle w:val="BodyText"/>
        <w:spacing w:before="3"/>
      </w:pPr>
    </w:p>
    <w:p>
      <w:pPr>
        <w:pStyle w:val="BodyText"/>
        <w:spacing w:before="64"/>
        <w:ind w:left="500"/>
      </w:pPr>
      <w:r>
        <w:rPr/>
        <w:t>means both S1 and R1. Thus, the first layer refers to S1/R1, the second layer refers to S2/R2, and so on (see the table).</w:t>
      </w:r>
    </w:p>
    <w:p>
      <w:pPr>
        <w:pStyle w:val="BodyText"/>
        <w:spacing w:before="3"/>
        <w:rPr>
          <w:sz w:val="10"/>
        </w:rPr>
      </w:pPr>
    </w:p>
    <w:tbl>
      <w:tblPr>
        <w:tblW w:w="0" w:type="auto"/>
        <w:jc w:val="left"/>
        <w:tblInd w:w="884" w:type="dxa"/>
        <w:tblBorders>
          <w:top w:val="single" w:sz="8" w:space="0" w:color="3F3F3F"/>
          <w:left w:val="single" w:sz="8" w:space="0" w:color="3F3F3F"/>
          <w:bottom w:val="single" w:sz="8" w:space="0" w:color="3F3F3F"/>
          <w:right w:val="single" w:sz="8" w:space="0" w:color="3F3F3F"/>
          <w:insideH w:val="single" w:sz="8" w:space="0" w:color="3F3F3F"/>
          <w:insideV w:val="single" w:sz="8" w:space="0" w:color="3F3F3F"/>
        </w:tblBorders>
        <w:tblLayout w:type="fixed"/>
        <w:tblCellMar>
          <w:top w:w="0" w:type="dxa"/>
          <w:left w:w="0" w:type="dxa"/>
          <w:bottom w:w="0" w:type="dxa"/>
          <w:right w:w="0" w:type="dxa"/>
        </w:tblCellMar>
        <w:tblLook w:val="01E0"/>
      </w:tblPr>
      <w:tblGrid>
        <w:gridCol w:w="1174"/>
        <w:gridCol w:w="1170"/>
        <w:gridCol w:w="1260"/>
        <w:gridCol w:w="1260"/>
        <w:gridCol w:w="1228"/>
      </w:tblGrid>
      <w:tr>
        <w:trPr>
          <w:trHeight w:val="340" w:hRule="atLeast"/>
        </w:trPr>
        <w:tc>
          <w:tcPr>
            <w:tcW w:w="6092" w:type="dxa"/>
            <w:gridSpan w:val="5"/>
            <w:shd w:val="clear" w:color="auto" w:fill="000000"/>
          </w:tcPr>
          <w:p>
            <w:pPr>
              <w:pStyle w:val="TableParagraph"/>
              <w:spacing w:before="23"/>
              <w:ind w:left="1635"/>
              <w:rPr>
                <w:rFonts w:ascii="Verdana"/>
                <w:sz w:val="24"/>
              </w:rPr>
            </w:pPr>
            <w:r>
              <w:rPr>
                <w:rFonts w:ascii="Verdana"/>
                <w:color w:val="FFFFFF"/>
                <w:sz w:val="24"/>
              </w:rPr>
              <w:t>Basic</w:t>
            </w:r>
            <w:r>
              <w:rPr>
                <w:rFonts w:ascii="Verdana"/>
                <w:color w:val="FFFFFF"/>
                <w:spacing w:val="-13"/>
                <w:sz w:val="24"/>
              </w:rPr>
              <w:t> </w:t>
            </w:r>
            <w:r>
              <w:rPr>
                <w:rFonts w:ascii="Verdana"/>
                <w:color w:val="FFFFFF"/>
                <w:sz w:val="24"/>
              </w:rPr>
              <w:t>Touches</w:t>
            </w:r>
            <w:r>
              <w:rPr>
                <w:rFonts w:ascii="Verdana"/>
                <w:color w:val="FFFFFF"/>
                <w:spacing w:val="-12"/>
                <w:sz w:val="24"/>
              </w:rPr>
              <w:t> </w:t>
            </w:r>
            <w:r>
              <w:rPr>
                <w:rFonts w:ascii="Verdana"/>
                <w:color w:val="FFFFFF"/>
                <w:sz w:val="24"/>
              </w:rPr>
              <w:t>at</w:t>
            </w:r>
            <w:r>
              <w:rPr>
                <w:rFonts w:ascii="Verdana"/>
                <w:color w:val="FFFFFF"/>
                <w:spacing w:val="-13"/>
                <w:sz w:val="24"/>
              </w:rPr>
              <w:t> </w:t>
            </w:r>
            <w:r>
              <w:rPr>
                <w:rFonts w:ascii="Verdana"/>
                <w:color w:val="FFFFFF"/>
                <w:spacing w:val="-2"/>
                <w:sz w:val="24"/>
              </w:rPr>
              <w:t>Pivots</w:t>
            </w:r>
          </w:p>
        </w:tc>
      </w:tr>
      <w:tr>
        <w:trPr>
          <w:trHeight w:val="340" w:hRule="atLeast"/>
        </w:trPr>
        <w:tc>
          <w:tcPr>
            <w:tcW w:w="1174" w:type="dxa"/>
            <w:tcBorders>
              <w:bottom w:val="nil"/>
            </w:tcBorders>
            <w:shd w:val="clear" w:color="auto" w:fill="000000"/>
          </w:tcPr>
          <w:p>
            <w:pPr>
              <w:pStyle w:val="TableParagraph"/>
              <w:spacing w:before="35"/>
              <w:ind w:left="426" w:right="410"/>
              <w:jc w:val="center"/>
              <w:rPr>
                <w:rFonts w:ascii="Verdana"/>
                <w:sz w:val="22"/>
              </w:rPr>
            </w:pPr>
            <w:r>
              <w:rPr>
                <w:rFonts w:ascii="Verdana"/>
                <w:color w:val="FFFFFF"/>
                <w:spacing w:val="-5"/>
                <w:sz w:val="22"/>
              </w:rPr>
              <w:t>CP</w:t>
            </w:r>
          </w:p>
        </w:tc>
        <w:tc>
          <w:tcPr>
            <w:tcW w:w="1170" w:type="dxa"/>
            <w:tcBorders>
              <w:bottom w:val="nil"/>
            </w:tcBorders>
            <w:shd w:val="clear" w:color="auto" w:fill="000000"/>
          </w:tcPr>
          <w:p>
            <w:pPr>
              <w:pStyle w:val="TableParagraph"/>
              <w:spacing w:before="35"/>
              <w:ind w:left="437" w:right="420"/>
              <w:jc w:val="center"/>
              <w:rPr>
                <w:rFonts w:ascii="Verdana"/>
                <w:sz w:val="22"/>
              </w:rPr>
            </w:pPr>
            <w:r>
              <w:rPr>
                <w:rFonts w:ascii="Verdana"/>
                <w:color w:val="FFFFFF"/>
                <w:spacing w:val="-5"/>
                <w:sz w:val="22"/>
              </w:rPr>
              <w:t>L1</w:t>
            </w:r>
          </w:p>
        </w:tc>
        <w:tc>
          <w:tcPr>
            <w:tcW w:w="1260" w:type="dxa"/>
            <w:tcBorders>
              <w:bottom w:val="nil"/>
            </w:tcBorders>
            <w:shd w:val="clear" w:color="auto" w:fill="000000"/>
          </w:tcPr>
          <w:p>
            <w:pPr>
              <w:pStyle w:val="TableParagraph"/>
              <w:spacing w:before="35"/>
              <w:ind w:left="482" w:right="464"/>
              <w:jc w:val="center"/>
              <w:rPr>
                <w:rFonts w:ascii="Verdana"/>
                <w:sz w:val="22"/>
              </w:rPr>
            </w:pPr>
            <w:r>
              <w:rPr>
                <w:rFonts w:ascii="Verdana"/>
                <w:color w:val="FFFFFF"/>
                <w:spacing w:val="-5"/>
                <w:sz w:val="22"/>
              </w:rPr>
              <w:t>L2</w:t>
            </w:r>
          </w:p>
        </w:tc>
        <w:tc>
          <w:tcPr>
            <w:tcW w:w="1260" w:type="dxa"/>
            <w:tcBorders>
              <w:bottom w:val="nil"/>
            </w:tcBorders>
            <w:shd w:val="clear" w:color="auto" w:fill="000000"/>
          </w:tcPr>
          <w:p>
            <w:pPr>
              <w:pStyle w:val="TableParagraph"/>
              <w:spacing w:before="35"/>
              <w:ind w:left="482" w:right="464"/>
              <w:jc w:val="center"/>
              <w:rPr>
                <w:rFonts w:ascii="Verdana"/>
                <w:sz w:val="22"/>
              </w:rPr>
            </w:pPr>
            <w:r>
              <w:rPr>
                <w:rFonts w:ascii="Verdana"/>
                <w:color w:val="FFFFFF"/>
                <w:spacing w:val="-5"/>
                <w:sz w:val="22"/>
              </w:rPr>
              <w:t>L3</w:t>
            </w:r>
          </w:p>
        </w:tc>
        <w:tc>
          <w:tcPr>
            <w:tcW w:w="1228" w:type="dxa"/>
            <w:tcBorders>
              <w:bottom w:val="nil"/>
            </w:tcBorders>
            <w:shd w:val="clear" w:color="auto" w:fill="000000"/>
          </w:tcPr>
          <w:p>
            <w:pPr>
              <w:pStyle w:val="TableParagraph"/>
              <w:spacing w:before="35"/>
              <w:ind w:left="466" w:right="449"/>
              <w:jc w:val="center"/>
              <w:rPr>
                <w:rFonts w:ascii="Verdana"/>
                <w:sz w:val="22"/>
              </w:rPr>
            </w:pPr>
            <w:r>
              <w:rPr>
                <w:rFonts w:ascii="Verdana"/>
                <w:color w:val="FFFFFF"/>
                <w:spacing w:val="-5"/>
                <w:sz w:val="22"/>
              </w:rPr>
              <w:t>L4</w:t>
            </w:r>
          </w:p>
        </w:tc>
      </w:tr>
    </w:tbl>
    <w:p>
      <w:pPr>
        <w:tabs>
          <w:tab w:pos="1451" w:val="left" w:leader="none"/>
          <w:tab w:pos="2577" w:val="left" w:leader="none"/>
          <w:tab w:pos="3837" w:val="left" w:leader="none"/>
          <w:tab w:pos="5225" w:val="left" w:leader="none"/>
        </w:tabs>
        <w:spacing w:before="41"/>
        <w:ind w:left="280" w:right="0" w:firstLine="0"/>
        <w:jc w:val="center"/>
        <w:rPr>
          <w:rFonts w:ascii="Tahoma"/>
          <w:sz w:val="20"/>
        </w:rPr>
      </w:pPr>
      <w:r>
        <w:rPr/>
        <w:pict>
          <v:shape style="position:absolute;margin-left:72pt;margin-top:16.194860pt;width:305.3pt;height:.5pt;mso-position-horizontal-relative:page;mso-position-vertical-relative:paragraph;z-index:-15556096;mso-wrap-distance-left:0;mso-wrap-distance-right:0" id="docshape992" coordorigin="1440,324" coordsize="6106,10" path="m7546,324l6313,324,6313,324,1440,324,1440,333,7546,333,7546,324xe" filled="true" fillcolor="#000000" stroked="false">
            <v:path arrowok="t"/>
            <v:fill type="solid"/>
            <w10:wrap type="topAndBottom"/>
          </v:shape>
        </w:pict>
      </w:r>
      <w:r>
        <w:rPr>
          <w:rFonts w:ascii="Tahoma"/>
          <w:spacing w:val="-2"/>
          <w:sz w:val="20"/>
        </w:rPr>
        <w:t>63.0%</w:t>
      </w:r>
      <w:r>
        <w:rPr>
          <w:rFonts w:ascii="Tahoma"/>
          <w:sz w:val="20"/>
        </w:rPr>
        <w:tab/>
      </w:r>
      <w:r>
        <w:rPr>
          <w:rFonts w:ascii="Tahoma"/>
          <w:spacing w:val="-2"/>
          <w:sz w:val="20"/>
        </w:rPr>
        <w:t>73.3%</w:t>
      </w:r>
      <w:r>
        <w:rPr>
          <w:rFonts w:ascii="Tahoma"/>
          <w:sz w:val="20"/>
        </w:rPr>
        <w:tab/>
      </w:r>
      <w:r>
        <w:rPr>
          <w:rFonts w:ascii="Tahoma"/>
          <w:spacing w:val="-2"/>
          <w:sz w:val="20"/>
        </w:rPr>
        <w:t>38.2%</w:t>
      </w:r>
      <w:r>
        <w:rPr>
          <w:rFonts w:ascii="Tahoma"/>
          <w:sz w:val="20"/>
        </w:rPr>
        <w:tab/>
      </w:r>
      <w:r>
        <w:rPr>
          <w:rFonts w:ascii="Tahoma"/>
          <w:spacing w:val="-2"/>
          <w:sz w:val="20"/>
        </w:rPr>
        <w:t>17.6%</w:t>
      </w:r>
      <w:r>
        <w:rPr>
          <w:rFonts w:ascii="Tahoma"/>
          <w:sz w:val="20"/>
        </w:rPr>
        <w:tab/>
      </w:r>
      <w:r>
        <w:rPr>
          <w:rFonts w:ascii="Tahoma"/>
          <w:spacing w:val="-4"/>
          <w:sz w:val="20"/>
        </w:rPr>
        <w:t>5.5%</w:t>
      </w:r>
    </w:p>
    <w:p>
      <w:pPr>
        <w:pStyle w:val="BodyText"/>
        <w:spacing w:before="8"/>
        <w:rPr>
          <w:rFonts w:ascii="Tahoma"/>
          <w:sz w:val="9"/>
        </w:rPr>
      </w:pPr>
    </w:p>
    <w:p>
      <w:pPr>
        <w:pStyle w:val="BodyText"/>
        <w:spacing w:before="64"/>
        <w:ind w:left="500" w:right="135" w:firstLine="432"/>
        <w:jc w:val="both"/>
      </w:pPr>
      <w:r>
        <w:rPr/>
        <w:t>Each of these percentages tells a story. First, the central pivot was reached 63 percent of the time at some point during the day. I was hoping</w:t>
      </w:r>
      <w:r>
        <w:rPr>
          <w:spacing w:val="40"/>
        </w:rPr>
        <w:t> </w:t>
      </w:r>
      <w:r>
        <w:rPr/>
        <w:t>that this number would be higher, but there are two reasons for this. First, I only used the central pivot for my data collection, not the pivot range (BC and TC). Many times price would test either BC or TC and would simply reverse, which caused the central pivot not to be reached. Secondly, I used</w:t>
      </w:r>
      <w:r>
        <w:rPr>
          <w:spacing w:val="40"/>
        </w:rPr>
        <w:t> </w:t>
      </w:r>
      <w:r>
        <w:rPr/>
        <w:t>the YM for my data collection, which is an instrument that can often gap at the open, which causes price to miss the central pivot completely at times. Still, 63 percent is statistically significant.</w:t>
      </w:r>
    </w:p>
    <w:p>
      <w:pPr>
        <w:pStyle w:val="BodyText"/>
        <w:spacing w:before="1"/>
        <w:ind w:left="500" w:right="136" w:firstLine="432"/>
        <w:jc w:val="both"/>
      </w:pPr>
      <w:r>
        <w:rPr/>
        <w:t>What surprised me the most was the fact that the first layer of the indicator (R1 and S1) was reached 73.3 percent of the time. This is in line with our theory from Chapter 1 that traders like to test the first layer of support or resistance early in the day to see what type of market day it may become. Also, this percentage is so high that it allows us to set profit targets at either S1 or R1 when we take positions, since there is a high probability of reaching our target. Therefore, if we get a breakout through the top of the centrals early in the session, we can set our targets to R1 since we can feel confident that this layer of the indicator will be reached a high percentage of the time.</w:t>
      </w:r>
    </w:p>
    <w:p>
      <w:pPr>
        <w:pStyle w:val="BodyText"/>
        <w:ind w:left="500" w:right="136" w:firstLine="432"/>
        <w:jc w:val="both"/>
      </w:pPr>
      <w:r>
        <w:rPr/>
        <w:t>Layers two through four significantly dropped off after either S1 or R1 were reached. Slightly more than half of those that reached L1 also reached L2 (38.2%). Then slightly more than half of those that reached L2 also reached L3 (17.6%). Lastly, the YM only reached L4 5.5 percent of the time; just 9 times out of 165 days. In other words, for a market to reach out to L3</w:t>
      </w:r>
      <w:r>
        <w:rPr>
          <w:spacing w:val="40"/>
        </w:rPr>
        <w:t> </w:t>
      </w:r>
      <w:r>
        <w:rPr/>
        <w:t>or L4 is quite rare. Therefore, if you are in a trade, you may want to begin liquidating most of your position once you’ve reached R2 or S2, since this will usually mark the end of the move. Leaving on a tiny portion of your</w:t>
      </w:r>
      <w:r>
        <w:rPr>
          <w:spacing w:val="40"/>
        </w:rPr>
        <w:t> </w:t>
      </w:r>
      <w:r>
        <w:rPr/>
        <w:t>trade may be prudent in case the move extends beyond L2, however.</w:t>
      </w:r>
    </w:p>
    <w:p>
      <w:pPr>
        <w:pStyle w:val="BodyText"/>
        <w:ind w:left="500" w:right="138" w:firstLine="432"/>
        <w:jc w:val="both"/>
      </w:pPr>
      <w:r>
        <w:rPr/>
        <w:t>The next chunk of data I gathered were closes beyond pivots. That is, once a pivot was reached, where did price close. See the table below.</w:t>
      </w:r>
    </w:p>
    <w:p>
      <w:pPr>
        <w:pStyle w:val="BodyText"/>
        <w:spacing w:before="1"/>
        <w:rPr>
          <w:sz w:val="10"/>
        </w:rPr>
      </w:pPr>
    </w:p>
    <w:tbl>
      <w:tblPr>
        <w:tblW w:w="0" w:type="auto"/>
        <w:jc w:val="left"/>
        <w:tblInd w:w="884" w:type="dxa"/>
        <w:tblBorders>
          <w:top w:val="single" w:sz="8" w:space="0" w:color="3F3F3F"/>
          <w:left w:val="single" w:sz="8" w:space="0" w:color="3F3F3F"/>
          <w:bottom w:val="single" w:sz="8" w:space="0" w:color="3F3F3F"/>
          <w:right w:val="single" w:sz="8" w:space="0" w:color="3F3F3F"/>
          <w:insideH w:val="single" w:sz="8" w:space="0" w:color="3F3F3F"/>
          <w:insideV w:val="single" w:sz="8" w:space="0" w:color="3F3F3F"/>
        </w:tblBorders>
        <w:tblLayout w:type="fixed"/>
        <w:tblCellMar>
          <w:top w:w="0" w:type="dxa"/>
          <w:left w:w="0" w:type="dxa"/>
          <w:bottom w:w="0" w:type="dxa"/>
          <w:right w:w="0" w:type="dxa"/>
        </w:tblCellMar>
        <w:tblLook w:val="01E0"/>
      </w:tblPr>
      <w:tblGrid>
        <w:gridCol w:w="1318"/>
        <w:gridCol w:w="1080"/>
        <w:gridCol w:w="1206"/>
        <w:gridCol w:w="1260"/>
        <w:gridCol w:w="1228"/>
      </w:tblGrid>
      <w:tr>
        <w:trPr>
          <w:trHeight w:val="340" w:hRule="atLeast"/>
        </w:trPr>
        <w:tc>
          <w:tcPr>
            <w:tcW w:w="6092" w:type="dxa"/>
            <w:gridSpan w:val="5"/>
            <w:shd w:val="clear" w:color="auto" w:fill="000000"/>
          </w:tcPr>
          <w:p>
            <w:pPr>
              <w:pStyle w:val="TableParagraph"/>
              <w:spacing w:before="24"/>
              <w:ind w:left="1770"/>
              <w:rPr>
                <w:rFonts w:ascii="Verdana"/>
                <w:sz w:val="24"/>
              </w:rPr>
            </w:pPr>
            <w:r>
              <w:rPr>
                <w:rFonts w:ascii="Verdana"/>
                <w:color w:val="FFFFFF"/>
                <w:sz w:val="24"/>
              </w:rPr>
              <w:t>Closes</w:t>
            </w:r>
            <w:r>
              <w:rPr>
                <w:rFonts w:ascii="Verdana"/>
                <w:color w:val="FFFFFF"/>
                <w:spacing w:val="-18"/>
                <w:sz w:val="24"/>
              </w:rPr>
              <w:t> </w:t>
            </w:r>
            <w:r>
              <w:rPr>
                <w:rFonts w:ascii="Verdana"/>
                <w:color w:val="FFFFFF"/>
                <w:sz w:val="24"/>
              </w:rPr>
              <w:t>Beyond</w:t>
            </w:r>
            <w:r>
              <w:rPr>
                <w:rFonts w:ascii="Verdana"/>
                <w:color w:val="FFFFFF"/>
                <w:spacing w:val="-18"/>
                <w:sz w:val="24"/>
              </w:rPr>
              <w:t> </w:t>
            </w:r>
            <w:r>
              <w:rPr>
                <w:rFonts w:ascii="Verdana"/>
                <w:color w:val="FFFFFF"/>
                <w:spacing w:val="-2"/>
                <w:sz w:val="24"/>
              </w:rPr>
              <w:t>Pivots</w:t>
            </w:r>
          </w:p>
        </w:tc>
      </w:tr>
      <w:tr>
        <w:trPr>
          <w:trHeight w:val="340" w:hRule="atLeast"/>
        </w:trPr>
        <w:tc>
          <w:tcPr>
            <w:tcW w:w="1318" w:type="dxa"/>
            <w:tcBorders>
              <w:bottom w:val="nil"/>
            </w:tcBorders>
            <w:shd w:val="clear" w:color="auto" w:fill="000000"/>
          </w:tcPr>
          <w:p>
            <w:pPr>
              <w:pStyle w:val="TableParagraph"/>
              <w:spacing w:before="36"/>
              <w:ind w:left="126"/>
              <w:rPr>
                <w:rFonts w:ascii="Verdana"/>
                <w:sz w:val="22"/>
              </w:rPr>
            </w:pPr>
            <w:r>
              <w:rPr>
                <w:rFonts w:ascii="Verdana"/>
                <w:color w:val="FFFFFF"/>
                <w:sz w:val="22"/>
              </w:rPr>
              <w:t>Within</w:t>
            </w:r>
            <w:r>
              <w:rPr>
                <w:rFonts w:ascii="Verdana"/>
                <w:color w:val="FFFFFF"/>
                <w:spacing w:val="6"/>
                <w:sz w:val="22"/>
              </w:rPr>
              <w:t> </w:t>
            </w:r>
            <w:r>
              <w:rPr>
                <w:rFonts w:ascii="Verdana"/>
                <w:color w:val="FFFFFF"/>
                <w:spacing w:val="-5"/>
                <w:sz w:val="22"/>
              </w:rPr>
              <w:t>L1</w:t>
            </w:r>
          </w:p>
        </w:tc>
        <w:tc>
          <w:tcPr>
            <w:tcW w:w="1080" w:type="dxa"/>
            <w:tcBorders>
              <w:bottom w:val="nil"/>
            </w:tcBorders>
            <w:shd w:val="clear" w:color="auto" w:fill="000000"/>
          </w:tcPr>
          <w:p>
            <w:pPr>
              <w:pStyle w:val="TableParagraph"/>
              <w:spacing w:before="36"/>
              <w:ind w:left="392" w:right="374"/>
              <w:jc w:val="center"/>
              <w:rPr>
                <w:rFonts w:ascii="Verdana"/>
                <w:sz w:val="22"/>
              </w:rPr>
            </w:pPr>
            <w:r>
              <w:rPr>
                <w:rFonts w:ascii="Verdana"/>
                <w:color w:val="FFFFFF"/>
                <w:spacing w:val="-5"/>
                <w:sz w:val="22"/>
              </w:rPr>
              <w:t>L1</w:t>
            </w:r>
          </w:p>
        </w:tc>
        <w:tc>
          <w:tcPr>
            <w:tcW w:w="1206" w:type="dxa"/>
            <w:tcBorders>
              <w:bottom w:val="nil"/>
            </w:tcBorders>
            <w:shd w:val="clear" w:color="auto" w:fill="000000"/>
          </w:tcPr>
          <w:p>
            <w:pPr>
              <w:pStyle w:val="TableParagraph"/>
              <w:spacing w:before="36"/>
              <w:ind w:left="455" w:right="438"/>
              <w:jc w:val="center"/>
              <w:rPr>
                <w:rFonts w:ascii="Verdana"/>
                <w:sz w:val="22"/>
              </w:rPr>
            </w:pPr>
            <w:r>
              <w:rPr>
                <w:rFonts w:ascii="Verdana"/>
                <w:color w:val="FFFFFF"/>
                <w:spacing w:val="-5"/>
                <w:sz w:val="22"/>
              </w:rPr>
              <w:t>L2</w:t>
            </w:r>
          </w:p>
        </w:tc>
        <w:tc>
          <w:tcPr>
            <w:tcW w:w="1260" w:type="dxa"/>
            <w:tcBorders>
              <w:bottom w:val="nil"/>
            </w:tcBorders>
            <w:shd w:val="clear" w:color="auto" w:fill="000000"/>
          </w:tcPr>
          <w:p>
            <w:pPr>
              <w:pStyle w:val="TableParagraph"/>
              <w:spacing w:before="36"/>
              <w:ind w:left="482" w:right="464"/>
              <w:jc w:val="center"/>
              <w:rPr>
                <w:rFonts w:ascii="Verdana"/>
                <w:sz w:val="22"/>
              </w:rPr>
            </w:pPr>
            <w:r>
              <w:rPr>
                <w:rFonts w:ascii="Verdana"/>
                <w:color w:val="FFFFFF"/>
                <w:spacing w:val="-5"/>
                <w:sz w:val="22"/>
              </w:rPr>
              <w:t>L3</w:t>
            </w:r>
          </w:p>
        </w:tc>
        <w:tc>
          <w:tcPr>
            <w:tcW w:w="1228" w:type="dxa"/>
            <w:tcBorders>
              <w:bottom w:val="nil"/>
            </w:tcBorders>
            <w:shd w:val="clear" w:color="auto" w:fill="000000"/>
          </w:tcPr>
          <w:p>
            <w:pPr>
              <w:pStyle w:val="TableParagraph"/>
              <w:spacing w:before="36"/>
              <w:ind w:left="466" w:right="449"/>
              <w:jc w:val="center"/>
              <w:rPr>
                <w:rFonts w:ascii="Verdana"/>
                <w:sz w:val="22"/>
              </w:rPr>
            </w:pPr>
            <w:r>
              <w:rPr>
                <w:rFonts w:ascii="Verdana"/>
                <w:color w:val="FFFFFF"/>
                <w:spacing w:val="-5"/>
                <w:sz w:val="22"/>
              </w:rPr>
              <w:t>L4</w:t>
            </w:r>
          </w:p>
        </w:tc>
      </w:tr>
    </w:tbl>
    <w:p>
      <w:pPr>
        <w:tabs>
          <w:tab w:pos="1550" w:val="left" w:leader="none"/>
          <w:tab w:pos="2602" w:val="left" w:leader="none"/>
          <w:tab w:pos="3890" w:val="left" w:leader="none"/>
          <w:tab w:pos="5224" w:val="left" w:leader="none"/>
        </w:tabs>
        <w:spacing w:before="42"/>
        <w:ind w:left="351" w:right="0" w:firstLine="0"/>
        <w:jc w:val="center"/>
        <w:rPr>
          <w:rFonts w:ascii="Tahoma"/>
          <w:sz w:val="20"/>
        </w:rPr>
      </w:pPr>
      <w:r>
        <w:rPr/>
        <w:pict>
          <v:rect style="position:absolute;margin-left:72pt;margin-top:15.49488pt;width:305.280015pt;height:.48pt;mso-position-horizontal-relative:page;mso-position-vertical-relative:paragraph;z-index:-15555584;mso-wrap-distance-left:0;mso-wrap-distance-right:0" id="docshape993" filled="true" fillcolor="#000000" stroked="false">
            <v:fill type="solid"/>
            <w10:wrap type="topAndBottom"/>
          </v:rect>
        </w:pict>
      </w:r>
      <w:r>
        <w:rPr>
          <w:rFonts w:ascii="Tahoma"/>
          <w:spacing w:val="-2"/>
          <w:sz w:val="20"/>
        </w:rPr>
        <w:t>53.4%</w:t>
      </w:r>
      <w:r>
        <w:rPr>
          <w:rFonts w:ascii="Tahoma"/>
          <w:sz w:val="20"/>
        </w:rPr>
        <w:tab/>
      </w:r>
      <w:r>
        <w:rPr>
          <w:rFonts w:ascii="Tahoma"/>
          <w:spacing w:val="-2"/>
          <w:sz w:val="20"/>
        </w:rPr>
        <w:t>24.8%</w:t>
      </w:r>
      <w:r>
        <w:rPr>
          <w:rFonts w:ascii="Tahoma"/>
          <w:sz w:val="20"/>
        </w:rPr>
        <w:tab/>
      </w:r>
      <w:r>
        <w:rPr>
          <w:rFonts w:ascii="Tahoma"/>
          <w:spacing w:val="-2"/>
          <w:sz w:val="20"/>
        </w:rPr>
        <w:t>12.1%</w:t>
      </w:r>
      <w:r>
        <w:rPr>
          <w:rFonts w:ascii="Tahoma"/>
          <w:sz w:val="20"/>
        </w:rPr>
        <w:tab/>
      </w:r>
      <w:r>
        <w:rPr>
          <w:rFonts w:ascii="Tahoma"/>
          <w:spacing w:val="-4"/>
          <w:sz w:val="20"/>
        </w:rPr>
        <w:t>6.7%</w:t>
      </w:r>
      <w:r>
        <w:rPr>
          <w:rFonts w:ascii="Tahoma"/>
          <w:sz w:val="20"/>
        </w:rPr>
        <w:tab/>
      </w:r>
      <w:r>
        <w:rPr>
          <w:rFonts w:ascii="Tahoma"/>
          <w:spacing w:val="-4"/>
          <w:sz w:val="20"/>
        </w:rPr>
        <w:t>3.0%</w:t>
      </w:r>
    </w:p>
    <w:p>
      <w:pPr>
        <w:spacing w:after="0"/>
        <w:jc w:val="center"/>
        <w:rPr>
          <w:rFonts w:ascii="Tahoma"/>
          <w:sz w:val="20"/>
        </w:rPr>
        <w:sectPr>
          <w:footerReference w:type="default" r:id="rId360"/>
          <w:footerReference w:type="even" r:id="rId361"/>
          <w:pgSz w:w="8640" w:h="12960"/>
          <w:pgMar w:footer="1053" w:header="536" w:top="720" w:bottom="1240" w:left="580" w:right="580"/>
          <w:pgNumType w:start="291"/>
        </w:sectPr>
      </w:pPr>
    </w:p>
    <w:p>
      <w:pPr>
        <w:pStyle w:val="BodyText"/>
        <w:spacing w:before="7"/>
        <w:rPr>
          <w:rFonts w:ascii="Tahoma"/>
          <w:sz w:val="17"/>
        </w:rPr>
      </w:pPr>
    </w:p>
    <w:p>
      <w:pPr>
        <w:pStyle w:val="BodyText"/>
        <w:spacing w:before="64"/>
        <w:ind w:left="140" w:right="496" w:firstLine="432"/>
        <w:jc w:val="both"/>
      </w:pPr>
      <w:r>
        <w:rPr/>
        <w:t>Looking at the table above shows that after price reaches the first layer of the indicator 73.3 percent of the time, it closes beyond this layer only 46.6 percent of the time. This means that more than half the time (53.4%) after reaching L1, price will close within S1 and R1. Each layer beyond L1 shows a clear half-life, as the percentage of closes beyond each additional level is reduced by half. Moreover, a full 36.9 percent of the 46.6 percent of closers that fell beyond L1 closed below R3. To put it more simply, 79.2 percent of the closings that occurred beyond L1 closed below L3 and L4. This means that four out of every five times that price closes beyond L1, it will close between L1 and L3. This is important to remember.</w:t>
      </w:r>
    </w:p>
    <w:p>
      <w:pPr>
        <w:pStyle w:val="BodyText"/>
        <w:ind w:left="140" w:right="495" w:firstLine="432"/>
        <w:jc w:val="both"/>
      </w:pPr>
      <w:r>
        <w:rPr/>
        <w:t>Another statistic that I wanted to track was the percentage of the time</w:t>
      </w:r>
      <w:r>
        <w:rPr>
          <w:spacing w:val="40"/>
        </w:rPr>
        <w:t> </w:t>
      </w:r>
      <w:r>
        <w:rPr/>
        <w:t>the Central Pivot Forecast worked out. That is, I wanted to track the percentage of the time an open above the central pivot meant a close above the pivot, and the number of times an open below the pivot would mean a close below it. This would give us an advantage right at the open knowing that “X” percent of the time an open above the central pivot means a close above it, and vice versa. Basically, any open above the central pivot would mean having a bullish bias, and any opening below it would mean having a bearish bias. See the results below.</w:t>
      </w:r>
    </w:p>
    <w:p>
      <w:pPr>
        <w:pStyle w:val="BodyText"/>
        <w:spacing w:before="2"/>
      </w:pPr>
    </w:p>
    <w:tbl>
      <w:tblPr>
        <w:tblW w:w="0" w:type="auto"/>
        <w:jc w:val="left"/>
        <w:tblInd w:w="547" w:type="dxa"/>
        <w:tblBorders>
          <w:top w:val="single" w:sz="8" w:space="0" w:color="3F3F3F"/>
          <w:left w:val="single" w:sz="8" w:space="0" w:color="3F3F3F"/>
          <w:bottom w:val="single" w:sz="8" w:space="0" w:color="3F3F3F"/>
          <w:right w:val="single" w:sz="8" w:space="0" w:color="3F3F3F"/>
          <w:insideH w:val="single" w:sz="8" w:space="0" w:color="3F3F3F"/>
          <w:insideV w:val="single" w:sz="8" w:space="0" w:color="3F3F3F"/>
        </w:tblBorders>
        <w:tblLayout w:type="fixed"/>
        <w:tblCellMar>
          <w:top w:w="0" w:type="dxa"/>
          <w:left w:w="0" w:type="dxa"/>
          <w:bottom w:w="0" w:type="dxa"/>
          <w:right w:w="0" w:type="dxa"/>
        </w:tblCellMar>
        <w:tblLook w:val="01E0"/>
      </w:tblPr>
      <w:tblGrid>
        <w:gridCol w:w="3041"/>
        <w:gridCol w:w="3005"/>
      </w:tblGrid>
      <w:tr>
        <w:trPr>
          <w:trHeight w:val="340" w:hRule="atLeast"/>
        </w:trPr>
        <w:tc>
          <w:tcPr>
            <w:tcW w:w="6046" w:type="dxa"/>
            <w:gridSpan w:val="2"/>
            <w:shd w:val="clear" w:color="auto" w:fill="000000"/>
          </w:tcPr>
          <w:p>
            <w:pPr>
              <w:pStyle w:val="TableParagraph"/>
              <w:spacing w:before="24"/>
              <w:ind w:left="1691"/>
              <w:rPr>
                <w:rFonts w:ascii="Verdana"/>
                <w:sz w:val="24"/>
              </w:rPr>
            </w:pPr>
            <w:r>
              <w:rPr>
                <w:rFonts w:ascii="Verdana"/>
                <w:color w:val="FFFFFF"/>
                <w:sz w:val="24"/>
              </w:rPr>
              <w:t>Central</w:t>
            </w:r>
            <w:r>
              <w:rPr>
                <w:rFonts w:ascii="Verdana"/>
                <w:color w:val="FFFFFF"/>
                <w:spacing w:val="-8"/>
                <w:sz w:val="24"/>
              </w:rPr>
              <w:t> </w:t>
            </w:r>
            <w:r>
              <w:rPr>
                <w:rFonts w:ascii="Verdana"/>
                <w:color w:val="FFFFFF"/>
                <w:sz w:val="24"/>
              </w:rPr>
              <w:t>Pivot</w:t>
            </w:r>
            <w:r>
              <w:rPr>
                <w:rFonts w:ascii="Verdana"/>
                <w:color w:val="FFFFFF"/>
                <w:spacing w:val="-7"/>
                <w:sz w:val="24"/>
              </w:rPr>
              <w:t> </w:t>
            </w:r>
            <w:r>
              <w:rPr>
                <w:rFonts w:ascii="Verdana"/>
                <w:color w:val="FFFFFF"/>
                <w:spacing w:val="-2"/>
                <w:sz w:val="24"/>
              </w:rPr>
              <w:t>Forecast</w:t>
            </w:r>
          </w:p>
        </w:tc>
      </w:tr>
      <w:tr>
        <w:trPr>
          <w:trHeight w:val="340" w:hRule="atLeast"/>
        </w:trPr>
        <w:tc>
          <w:tcPr>
            <w:tcW w:w="3041" w:type="dxa"/>
            <w:tcBorders>
              <w:bottom w:val="nil"/>
            </w:tcBorders>
            <w:shd w:val="clear" w:color="auto" w:fill="000000"/>
          </w:tcPr>
          <w:p>
            <w:pPr>
              <w:pStyle w:val="TableParagraph"/>
              <w:spacing w:before="49"/>
              <w:ind w:left="233"/>
              <w:rPr>
                <w:rFonts w:ascii="Verdana"/>
                <w:sz w:val="20"/>
              </w:rPr>
            </w:pPr>
            <w:r>
              <w:rPr>
                <w:rFonts w:ascii="Verdana"/>
                <w:color w:val="FFFFFF"/>
                <w:sz w:val="20"/>
              </w:rPr>
              <w:t>Open</w:t>
            </w:r>
            <w:r>
              <w:rPr>
                <w:rFonts w:ascii="Verdana"/>
                <w:color w:val="FFFFFF"/>
                <w:spacing w:val="-15"/>
                <w:sz w:val="20"/>
              </w:rPr>
              <w:t> </w:t>
            </w:r>
            <w:r>
              <w:rPr>
                <w:rFonts w:ascii="Verdana"/>
                <w:color w:val="FFFFFF"/>
                <w:sz w:val="20"/>
              </w:rPr>
              <w:t>&gt;</w:t>
            </w:r>
            <w:r>
              <w:rPr>
                <w:rFonts w:ascii="Verdana"/>
                <w:color w:val="FFFFFF"/>
                <w:spacing w:val="-13"/>
                <w:sz w:val="20"/>
              </w:rPr>
              <w:t> </w:t>
            </w:r>
            <w:r>
              <w:rPr>
                <w:rFonts w:ascii="Verdana"/>
                <w:color w:val="FFFFFF"/>
                <w:sz w:val="20"/>
              </w:rPr>
              <w:t>CP</w:t>
            </w:r>
            <w:r>
              <w:rPr>
                <w:rFonts w:ascii="Verdana"/>
                <w:color w:val="FFFFFF"/>
                <w:spacing w:val="-14"/>
                <w:sz w:val="20"/>
              </w:rPr>
              <w:t> </w:t>
            </w:r>
            <w:r>
              <w:rPr>
                <w:rFonts w:ascii="Verdana"/>
                <w:color w:val="FFFFFF"/>
                <w:sz w:val="20"/>
              </w:rPr>
              <w:t>=</w:t>
            </w:r>
            <w:r>
              <w:rPr>
                <w:rFonts w:ascii="Verdana"/>
                <w:color w:val="FFFFFF"/>
                <w:spacing w:val="-13"/>
                <w:sz w:val="20"/>
              </w:rPr>
              <w:t> </w:t>
            </w:r>
            <w:r>
              <w:rPr>
                <w:rFonts w:ascii="Verdana"/>
                <w:color w:val="FFFFFF"/>
                <w:sz w:val="20"/>
              </w:rPr>
              <w:t>Close</w:t>
            </w:r>
            <w:r>
              <w:rPr>
                <w:rFonts w:ascii="Verdana"/>
                <w:color w:val="FFFFFF"/>
                <w:spacing w:val="-13"/>
                <w:sz w:val="20"/>
              </w:rPr>
              <w:t> </w:t>
            </w:r>
            <w:r>
              <w:rPr>
                <w:rFonts w:ascii="Verdana"/>
                <w:color w:val="FFFFFF"/>
                <w:spacing w:val="-4"/>
                <w:sz w:val="20"/>
              </w:rPr>
              <w:t>Above</w:t>
            </w:r>
          </w:p>
        </w:tc>
        <w:tc>
          <w:tcPr>
            <w:tcW w:w="3005" w:type="dxa"/>
            <w:tcBorders>
              <w:bottom w:val="nil"/>
            </w:tcBorders>
            <w:shd w:val="clear" w:color="auto" w:fill="000000"/>
          </w:tcPr>
          <w:p>
            <w:pPr>
              <w:pStyle w:val="TableParagraph"/>
              <w:spacing w:before="49"/>
              <w:ind w:left="216"/>
              <w:rPr>
                <w:rFonts w:ascii="Verdana"/>
                <w:sz w:val="20"/>
              </w:rPr>
            </w:pPr>
            <w:r>
              <w:rPr>
                <w:rFonts w:ascii="Verdana"/>
                <w:color w:val="FFFFFF"/>
                <w:sz w:val="20"/>
              </w:rPr>
              <w:t>Open</w:t>
            </w:r>
            <w:r>
              <w:rPr>
                <w:rFonts w:ascii="Verdana"/>
                <w:color w:val="FFFFFF"/>
                <w:spacing w:val="-15"/>
                <w:sz w:val="20"/>
              </w:rPr>
              <w:t> </w:t>
            </w:r>
            <w:r>
              <w:rPr>
                <w:rFonts w:ascii="Verdana"/>
                <w:color w:val="FFFFFF"/>
                <w:sz w:val="20"/>
              </w:rPr>
              <w:t>&lt;</w:t>
            </w:r>
            <w:r>
              <w:rPr>
                <w:rFonts w:ascii="Verdana"/>
                <w:color w:val="FFFFFF"/>
                <w:spacing w:val="-13"/>
                <w:sz w:val="20"/>
              </w:rPr>
              <w:t> </w:t>
            </w:r>
            <w:r>
              <w:rPr>
                <w:rFonts w:ascii="Verdana"/>
                <w:color w:val="FFFFFF"/>
                <w:sz w:val="20"/>
              </w:rPr>
              <w:t>CP</w:t>
            </w:r>
            <w:r>
              <w:rPr>
                <w:rFonts w:ascii="Verdana"/>
                <w:color w:val="FFFFFF"/>
                <w:spacing w:val="-14"/>
                <w:sz w:val="20"/>
              </w:rPr>
              <w:t> </w:t>
            </w:r>
            <w:r>
              <w:rPr>
                <w:rFonts w:ascii="Verdana"/>
                <w:color w:val="FFFFFF"/>
                <w:sz w:val="20"/>
              </w:rPr>
              <w:t>=</w:t>
            </w:r>
            <w:r>
              <w:rPr>
                <w:rFonts w:ascii="Verdana"/>
                <w:color w:val="FFFFFF"/>
                <w:spacing w:val="-13"/>
                <w:sz w:val="20"/>
              </w:rPr>
              <w:t> </w:t>
            </w:r>
            <w:r>
              <w:rPr>
                <w:rFonts w:ascii="Verdana"/>
                <w:color w:val="FFFFFF"/>
                <w:sz w:val="20"/>
              </w:rPr>
              <w:t>Close</w:t>
            </w:r>
            <w:r>
              <w:rPr>
                <w:rFonts w:ascii="Verdana"/>
                <w:color w:val="FFFFFF"/>
                <w:spacing w:val="-14"/>
                <w:sz w:val="20"/>
              </w:rPr>
              <w:t> </w:t>
            </w:r>
            <w:r>
              <w:rPr>
                <w:rFonts w:ascii="Verdana"/>
                <w:color w:val="FFFFFF"/>
                <w:spacing w:val="-4"/>
                <w:sz w:val="20"/>
              </w:rPr>
              <w:t>Below</w:t>
            </w:r>
          </w:p>
        </w:tc>
      </w:tr>
    </w:tbl>
    <w:p>
      <w:pPr>
        <w:tabs>
          <w:tab w:pos="4788" w:val="left" w:leader="none"/>
        </w:tabs>
        <w:spacing w:before="49"/>
        <w:ind w:left="1766" w:right="0" w:firstLine="0"/>
        <w:jc w:val="left"/>
        <w:rPr>
          <w:rFonts w:ascii="Tahoma"/>
          <w:sz w:val="20"/>
        </w:rPr>
      </w:pPr>
      <w:r>
        <w:rPr/>
        <w:pict>
          <v:shape style="position:absolute;margin-left:55.140003pt;margin-top:17.015884pt;width:303pt;height:.5pt;mso-position-horizontal-relative:page;mso-position-vertical-relative:paragraph;z-index:-15555072;mso-wrap-distance-left:0;mso-wrap-distance-right:0" id="docshape994" coordorigin="1103,340" coordsize="6060,10" path="m7163,340l4158,340,4144,340,1103,340,1103,350,4144,350,4158,350,7163,350,7163,340xe" filled="true" fillcolor="#000000" stroked="false">
            <v:path arrowok="t"/>
            <v:fill type="solid"/>
            <w10:wrap type="topAndBottom"/>
          </v:shape>
        </w:pict>
      </w:r>
      <w:r>
        <w:rPr>
          <w:rFonts w:ascii="Tahoma"/>
          <w:spacing w:val="-2"/>
          <w:sz w:val="20"/>
        </w:rPr>
        <w:t>53.4%</w:t>
      </w:r>
      <w:r>
        <w:rPr>
          <w:rFonts w:ascii="Tahoma"/>
          <w:sz w:val="20"/>
        </w:rPr>
        <w:tab/>
      </w:r>
      <w:r>
        <w:rPr>
          <w:rFonts w:ascii="Tahoma"/>
          <w:spacing w:val="-2"/>
          <w:sz w:val="20"/>
        </w:rPr>
        <w:t>48.8%</w:t>
      </w:r>
    </w:p>
    <w:p>
      <w:pPr>
        <w:pStyle w:val="BodyText"/>
        <w:spacing w:before="5"/>
        <w:rPr>
          <w:rFonts w:ascii="Tahoma"/>
          <w:sz w:val="15"/>
        </w:rPr>
      </w:pPr>
    </w:p>
    <w:p>
      <w:pPr>
        <w:pStyle w:val="BodyText"/>
        <w:spacing w:before="64"/>
        <w:ind w:left="139" w:right="495" w:firstLine="720"/>
        <w:jc w:val="both"/>
      </w:pPr>
      <w:r>
        <w:rPr/>
        <w:t>It turns out that 53.4 percent of the time that price opened above the central pivot, it also closed above it. While any time price opened below the central pivot, it closed below it 48.8 percent of the time. Keep in mind that this doesn’t necessarily mean that price advanced (or declined) the rest of the day; only that it closed above or below the central pivot. For example, price can open above the central pivot by fifty points via a gap in the YM and still close</w:t>
      </w:r>
      <w:r>
        <w:rPr>
          <w:spacing w:val="-2"/>
        </w:rPr>
        <w:t> </w:t>
      </w:r>
      <w:r>
        <w:rPr/>
        <w:t>above</w:t>
      </w:r>
      <w:r>
        <w:rPr>
          <w:spacing w:val="-2"/>
        </w:rPr>
        <w:t> </w:t>
      </w:r>
      <w:r>
        <w:rPr/>
        <w:t>the</w:t>
      </w:r>
      <w:r>
        <w:rPr>
          <w:spacing w:val="-2"/>
        </w:rPr>
        <w:t> </w:t>
      </w:r>
      <w:r>
        <w:rPr/>
        <w:t>central</w:t>
      </w:r>
      <w:r>
        <w:rPr>
          <w:spacing w:val="-2"/>
        </w:rPr>
        <w:t> </w:t>
      </w:r>
      <w:r>
        <w:rPr/>
        <w:t>pivot</w:t>
      </w:r>
      <w:r>
        <w:rPr>
          <w:spacing w:val="-2"/>
        </w:rPr>
        <w:t> </w:t>
      </w:r>
      <w:r>
        <w:rPr/>
        <w:t>if</w:t>
      </w:r>
      <w:r>
        <w:rPr>
          <w:spacing w:val="-2"/>
        </w:rPr>
        <w:t> </w:t>
      </w:r>
      <w:r>
        <w:rPr/>
        <w:t>only</w:t>
      </w:r>
      <w:r>
        <w:rPr>
          <w:spacing w:val="-3"/>
        </w:rPr>
        <w:t> </w:t>
      </w:r>
      <w:r>
        <w:rPr/>
        <w:t>by</w:t>
      </w:r>
      <w:r>
        <w:rPr>
          <w:spacing w:val="-4"/>
        </w:rPr>
        <w:t> </w:t>
      </w:r>
      <w:r>
        <w:rPr/>
        <w:t>one</w:t>
      </w:r>
      <w:r>
        <w:rPr>
          <w:spacing w:val="-2"/>
        </w:rPr>
        <w:t> </w:t>
      </w:r>
      <w:r>
        <w:rPr/>
        <w:t>point.</w:t>
      </w:r>
      <w:r>
        <w:rPr>
          <w:spacing w:val="-2"/>
        </w:rPr>
        <w:t> </w:t>
      </w:r>
      <w:r>
        <w:rPr/>
        <w:t>Therefore,</w:t>
      </w:r>
      <w:r>
        <w:rPr>
          <w:spacing w:val="-2"/>
        </w:rPr>
        <w:t> </w:t>
      </w:r>
      <w:r>
        <w:rPr/>
        <w:t>the</w:t>
      </w:r>
      <w:r>
        <w:rPr>
          <w:spacing w:val="-2"/>
        </w:rPr>
        <w:t> </w:t>
      </w:r>
      <w:r>
        <w:rPr/>
        <w:t>YM</w:t>
      </w:r>
      <w:r>
        <w:rPr>
          <w:spacing w:val="-2"/>
        </w:rPr>
        <w:t> </w:t>
      </w:r>
      <w:r>
        <w:rPr/>
        <w:t>actually lost traction after the gap, but our condition was still met.</w:t>
      </w:r>
    </w:p>
    <w:p>
      <w:pPr>
        <w:pStyle w:val="BodyText"/>
        <w:ind w:left="139" w:right="495" w:firstLine="720"/>
        <w:jc w:val="both"/>
      </w:pPr>
      <w:r>
        <w:rPr/>
        <w:t>The symmetry in the percentages between a bullish and bearish forecast are nice. This means that you basically have the same shot of the condition working out despite an opening above or below the central pivot. What these numbers do tell us is that the Central Pivot Forecast will work a little over 50 percent of the time, which can still be statistically significant when used correctly.</w:t>
      </w:r>
    </w:p>
    <w:p>
      <w:pPr>
        <w:pStyle w:val="BodyText"/>
        <w:ind w:left="139" w:right="498" w:firstLine="432"/>
        <w:jc w:val="both"/>
      </w:pPr>
      <w:r>
        <w:rPr/>
        <w:t>One particular statistical category took me by surprise, one that I didn’t intend</w:t>
      </w:r>
      <w:r>
        <w:rPr>
          <w:spacing w:val="38"/>
        </w:rPr>
        <w:t> </w:t>
      </w:r>
      <w:r>
        <w:rPr/>
        <w:t>on</w:t>
      </w:r>
      <w:r>
        <w:rPr>
          <w:spacing w:val="38"/>
        </w:rPr>
        <w:t> </w:t>
      </w:r>
      <w:r>
        <w:rPr/>
        <w:t>studying</w:t>
      </w:r>
      <w:r>
        <w:rPr>
          <w:spacing w:val="38"/>
        </w:rPr>
        <w:t> </w:t>
      </w:r>
      <w:r>
        <w:rPr/>
        <w:t>at</w:t>
      </w:r>
      <w:r>
        <w:rPr>
          <w:spacing w:val="38"/>
        </w:rPr>
        <w:t> </w:t>
      </w:r>
      <w:r>
        <w:rPr/>
        <w:t>first.</w:t>
      </w:r>
      <w:r>
        <w:rPr>
          <w:spacing w:val="38"/>
        </w:rPr>
        <w:t> </w:t>
      </w:r>
      <w:r>
        <w:rPr/>
        <w:t>We</w:t>
      </w:r>
      <w:r>
        <w:rPr>
          <w:spacing w:val="38"/>
        </w:rPr>
        <w:t> </w:t>
      </w:r>
      <w:r>
        <w:rPr/>
        <w:t>know</w:t>
      </w:r>
      <w:r>
        <w:rPr>
          <w:spacing w:val="38"/>
        </w:rPr>
        <w:t> </w:t>
      </w:r>
      <w:r>
        <w:rPr/>
        <w:t>that</w:t>
      </w:r>
      <w:r>
        <w:rPr>
          <w:spacing w:val="38"/>
        </w:rPr>
        <w:t> </w:t>
      </w:r>
      <w:r>
        <w:rPr/>
        <w:t>the</w:t>
      </w:r>
      <w:r>
        <w:rPr>
          <w:spacing w:val="38"/>
        </w:rPr>
        <w:t> </w:t>
      </w:r>
      <w:r>
        <w:rPr/>
        <w:t>central</w:t>
      </w:r>
      <w:r>
        <w:rPr>
          <w:spacing w:val="38"/>
        </w:rPr>
        <w:t> </w:t>
      </w:r>
      <w:r>
        <w:rPr/>
        <w:t>pivot</w:t>
      </w:r>
      <w:r>
        <w:rPr>
          <w:spacing w:val="38"/>
        </w:rPr>
        <w:t> </w:t>
      </w:r>
      <w:r>
        <w:rPr/>
        <w:t>is</w:t>
      </w:r>
      <w:r>
        <w:rPr>
          <w:spacing w:val="38"/>
        </w:rPr>
        <w:t> </w:t>
      </w:r>
      <w:r>
        <w:rPr/>
        <w:t>reached</w:t>
      </w:r>
      <w:r>
        <w:rPr>
          <w:spacing w:val="38"/>
        </w:rPr>
        <w:t> </w:t>
      </w:r>
      <w:r>
        <w:rPr/>
        <w:t>63</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6"/>
        <w:jc w:val="both"/>
      </w:pPr>
      <w:r>
        <w:rPr/>
        <w:t>percent of the time at some point during the day. Well, what happens the other 37 percent of the time when the central pivot is not reached? The answer: something fascinating.</w:t>
      </w:r>
    </w:p>
    <w:p>
      <w:pPr>
        <w:pStyle w:val="BodyText"/>
        <w:spacing w:before="1"/>
        <w:ind w:left="500" w:right="137" w:firstLine="432"/>
        <w:jc w:val="both"/>
      </w:pPr>
      <w:r>
        <w:rPr/>
        <w:t>Days when the central pivot is not reached are usually trending days in the market.</w:t>
      </w:r>
      <w:r>
        <w:rPr/>
        <w:t> Every statistical category increases in percentage beyond L1.</w:t>
      </w:r>
      <w:r>
        <w:rPr>
          <w:spacing w:val="40"/>
        </w:rPr>
        <w:t> </w:t>
      </w:r>
      <w:r>
        <w:rPr/>
        <w:t>This means that touches at pivot levels beyond L1, and closes beyond them all increase significantly due to the trending nature of the market. Interestingly, touches at R1 and S1 decrease from the stellar 73.3 percent</w:t>
      </w:r>
      <w:r>
        <w:rPr>
          <w:spacing w:val="40"/>
        </w:rPr>
        <w:t> </w:t>
      </w:r>
      <w:r>
        <w:rPr/>
        <w:t>clip. See the table below.</w:t>
      </w:r>
    </w:p>
    <w:p>
      <w:pPr>
        <w:pStyle w:val="BodyText"/>
        <w:spacing w:before="1"/>
      </w:pPr>
    </w:p>
    <w:tbl>
      <w:tblPr>
        <w:tblW w:w="0" w:type="auto"/>
        <w:jc w:val="left"/>
        <w:tblInd w:w="884" w:type="dxa"/>
        <w:tblBorders>
          <w:top w:val="single" w:sz="8" w:space="0" w:color="3F3F3F"/>
          <w:left w:val="single" w:sz="8" w:space="0" w:color="3F3F3F"/>
          <w:bottom w:val="single" w:sz="8" w:space="0" w:color="3F3F3F"/>
          <w:right w:val="single" w:sz="8" w:space="0" w:color="3F3F3F"/>
          <w:insideH w:val="single" w:sz="8" w:space="0" w:color="3F3F3F"/>
          <w:insideV w:val="single" w:sz="8" w:space="0" w:color="3F3F3F"/>
        </w:tblBorders>
        <w:tblLayout w:type="fixed"/>
        <w:tblCellMar>
          <w:top w:w="0" w:type="dxa"/>
          <w:left w:w="0" w:type="dxa"/>
          <w:bottom w:w="0" w:type="dxa"/>
          <w:right w:w="0" w:type="dxa"/>
        </w:tblCellMar>
        <w:tblLook w:val="01E0"/>
      </w:tblPr>
      <w:tblGrid>
        <w:gridCol w:w="1172"/>
        <w:gridCol w:w="1168"/>
        <w:gridCol w:w="1259"/>
        <w:gridCol w:w="1259"/>
        <w:gridCol w:w="1229"/>
      </w:tblGrid>
      <w:tr>
        <w:trPr>
          <w:trHeight w:val="340" w:hRule="atLeast"/>
        </w:trPr>
        <w:tc>
          <w:tcPr>
            <w:tcW w:w="6087" w:type="dxa"/>
            <w:gridSpan w:val="5"/>
            <w:shd w:val="clear" w:color="auto" w:fill="000000"/>
          </w:tcPr>
          <w:p>
            <w:pPr>
              <w:pStyle w:val="TableParagraph"/>
              <w:spacing w:before="24"/>
              <w:ind w:left="621"/>
              <w:rPr>
                <w:rFonts w:ascii="Verdana"/>
                <w:sz w:val="24"/>
              </w:rPr>
            </w:pPr>
            <w:r>
              <w:rPr>
                <w:rFonts w:ascii="Verdana"/>
                <w:color w:val="FFFFFF"/>
                <w:sz w:val="24"/>
              </w:rPr>
              <w:t>Days</w:t>
            </w:r>
            <w:r>
              <w:rPr>
                <w:rFonts w:ascii="Verdana"/>
                <w:color w:val="FFFFFF"/>
                <w:spacing w:val="-10"/>
                <w:sz w:val="24"/>
              </w:rPr>
              <w:t> </w:t>
            </w:r>
            <w:r>
              <w:rPr>
                <w:rFonts w:ascii="Verdana"/>
                <w:color w:val="FFFFFF"/>
                <w:sz w:val="24"/>
              </w:rPr>
              <w:t>When</w:t>
            </w:r>
            <w:r>
              <w:rPr>
                <w:rFonts w:ascii="Verdana"/>
                <w:color w:val="FFFFFF"/>
                <w:spacing w:val="-9"/>
                <w:sz w:val="24"/>
              </w:rPr>
              <w:t> </w:t>
            </w:r>
            <w:r>
              <w:rPr>
                <w:rFonts w:ascii="Verdana"/>
                <w:color w:val="FFFFFF"/>
                <w:sz w:val="24"/>
              </w:rPr>
              <w:t>Central</w:t>
            </w:r>
            <w:r>
              <w:rPr>
                <w:rFonts w:ascii="Verdana"/>
                <w:color w:val="FFFFFF"/>
                <w:spacing w:val="-9"/>
                <w:sz w:val="24"/>
              </w:rPr>
              <w:t> </w:t>
            </w:r>
            <w:r>
              <w:rPr>
                <w:rFonts w:ascii="Verdana"/>
                <w:color w:val="FFFFFF"/>
                <w:sz w:val="24"/>
              </w:rPr>
              <w:t>Pivot</w:t>
            </w:r>
            <w:r>
              <w:rPr>
                <w:rFonts w:ascii="Verdana"/>
                <w:color w:val="FFFFFF"/>
                <w:spacing w:val="-10"/>
                <w:sz w:val="24"/>
              </w:rPr>
              <w:t> </w:t>
            </w:r>
            <w:r>
              <w:rPr>
                <w:rFonts w:ascii="Verdana"/>
                <w:color w:val="FFFFFF"/>
                <w:sz w:val="24"/>
              </w:rPr>
              <w:t>is</w:t>
            </w:r>
            <w:r>
              <w:rPr>
                <w:rFonts w:ascii="Verdana"/>
                <w:color w:val="FFFFFF"/>
                <w:spacing w:val="-9"/>
                <w:sz w:val="24"/>
              </w:rPr>
              <w:t> </w:t>
            </w:r>
            <w:r>
              <w:rPr>
                <w:rFonts w:ascii="Verdana"/>
                <w:color w:val="FFFFFF"/>
                <w:sz w:val="24"/>
              </w:rPr>
              <w:t>Not</w:t>
            </w:r>
            <w:r>
              <w:rPr>
                <w:rFonts w:ascii="Verdana"/>
                <w:color w:val="FFFFFF"/>
                <w:spacing w:val="-9"/>
                <w:sz w:val="24"/>
              </w:rPr>
              <w:t> </w:t>
            </w:r>
            <w:r>
              <w:rPr>
                <w:rFonts w:ascii="Verdana"/>
                <w:color w:val="FFFFFF"/>
                <w:spacing w:val="-2"/>
                <w:sz w:val="24"/>
              </w:rPr>
              <w:t>Touched</w:t>
            </w:r>
          </w:p>
        </w:tc>
      </w:tr>
      <w:tr>
        <w:trPr>
          <w:trHeight w:val="340" w:hRule="atLeast"/>
        </w:trPr>
        <w:tc>
          <w:tcPr>
            <w:tcW w:w="6087" w:type="dxa"/>
            <w:gridSpan w:val="5"/>
            <w:shd w:val="clear" w:color="auto" w:fill="000000"/>
          </w:tcPr>
          <w:p>
            <w:pPr>
              <w:pStyle w:val="TableParagraph"/>
              <w:spacing w:before="24"/>
              <w:ind w:left="1635"/>
              <w:rPr>
                <w:rFonts w:ascii="Verdana"/>
                <w:sz w:val="24"/>
              </w:rPr>
            </w:pPr>
            <w:r>
              <w:rPr>
                <w:rFonts w:ascii="Verdana"/>
                <w:color w:val="FFFFFF"/>
                <w:sz w:val="24"/>
              </w:rPr>
              <w:t>Basic</w:t>
            </w:r>
            <w:r>
              <w:rPr>
                <w:rFonts w:ascii="Verdana"/>
                <w:color w:val="FFFFFF"/>
                <w:spacing w:val="-13"/>
                <w:sz w:val="24"/>
              </w:rPr>
              <w:t> </w:t>
            </w:r>
            <w:r>
              <w:rPr>
                <w:rFonts w:ascii="Verdana"/>
                <w:color w:val="FFFFFF"/>
                <w:sz w:val="24"/>
              </w:rPr>
              <w:t>Touches</w:t>
            </w:r>
            <w:r>
              <w:rPr>
                <w:rFonts w:ascii="Verdana"/>
                <w:color w:val="FFFFFF"/>
                <w:spacing w:val="-12"/>
                <w:sz w:val="24"/>
              </w:rPr>
              <w:t> </w:t>
            </w:r>
            <w:r>
              <w:rPr>
                <w:rFonts w:ascii="Verdana"/>
                <w:color w:val="FFFFFF"/>
                <w:sz w:val="24"/>
              </w:rPr>
              <w:t>at</w:t>
            </w:r>
            <w:r>
              <w:rPr>
                <w:rFonts w:ascii="Verdana"/>
                <w:color w:val="FFFFFF"/>
                <w:spacing w:val="-13"/>
                <w:sz w:val="24"/>
              </w:rPr>
              <w:t> </w:t>
            </w:r>
            <w:r>
              <w:rPr>
                <w:rFonts w:ascii="Verdana"/>
                <w:color w:val="FFFFFF"/>
                <w:spacing w:val="-2"/>
                <w:sz w:val="24"/>
              </w:rPr>
              <w:t>Pivots</w:t>
            </w:r>
          </w:p>
        </w:tc>
      </w:tr>
      <w:tr>
        <w:trPr>
          <w:trHeight w:val="340" w:hRule="atLeast"/>
        </w:trPr>
        <w:tc>
          <w:tcPr>
            <w:tcW w:w="1172" w:type="dxa"/>
            <w:tcBorders>
              <w:bottom w:val="nil"/>
            </w:tcBorders>
            <w:shd w:val="clear" w:color="auto" w:fill="000000"/>
          </w:tcPr>
          <w:p>
            <w:pPr>
              <w:pStyle w:val="TableParagraph"/>
              <w:spacing w:before="36"/>
              <w:ind w:left="426" w:right="408"/>
              <w:jc w:val="center"/>
              <w:rPr>
                <w:rFonts w:ascii="Verdana"/>
                <w:sz w:val="22"/>
              </w:rPr>
            </w:pPr>
            <w:r>
              <w:rPr>
                <w:rFonts w:ascii="Verdana"/>
                <w:color w:val="FFFFFF"/>
                <w:spacing w:val="-5"/>
                <w:sz w:val="22"/>
              </w:rPr>
              <w:t>CP</w:t>
            </w:r>
          </w:p>
        </w:tc>
        <w:tc>
          <w:tcPr>
            <w:tcW w:w="1168" w:type="dxa"/>
            <w:tcBorders>
              <w:bottom w:val="nil"/>
            </w:tcBorders>
            <w:shd w:val="clear" w:color="auto" w:fill="000000"/>
          </w:tcPr>
          <w:p>
            <w:pPr>
              <w:pStyle w:val="TableParagraph"/>
              <w:spacing w:before="36"/>
              <w:ind w:left="438" w:right="417"/>
              <w:jc w:val="center"/>
              <w:rPr>
                <w:rFonts w:ascii="Verdana"/>
                <w:sz w:val="22"/>
              </w:rPr>
            </w:pPr>
            <w:r>
              <w:rPr>
                <w:rFonts w:ascii="Verdana"/>
                <w:color w:val="FFFFFF"/>
                <w:spacing w:val="-5"/>
                <w:sz w:val="22"/>
              </w:rPr>
              <w:t>L1</w:t>
            </w:r>
          </w:p>
        </w:tc>
        <w:tc>
          <w:tcPr>
            <w:tcW w:w="1259" w:type="dxa"/>
            <w:tcBorders>
              <w:bottom w:val="nil"/>
            </w:tcBorders>
            <w:shd w:val="clear" w:color="auto" w:fill="000000"/>
          </w:tcPr>
          <w:p>
            <w:pPr>
              <w:pStyle w:val="TableParagraph"/>
              <w:spacing w:before="36"/>
              <w:ind w:left="484" w:right="462"/>
              <w:jc w:val="center"/>
              <w:rPr>
                <w:rFonts w:ascii="Verdana"/>
                <w:sz w:val="22"/>
              </w:rPr>
            </w:pPr>
            <w:r>
              <w:rPr>
                <w:rFonts w:ascii="Verdana"/>
                <w:color w:val="FFFFFF"/>
                <w:spacing w:val="-5"/>
                <w:sz w:val="22"/>
              </w:rPr>
              <w:t>L2</w:t>
            </w:r>
          </w:p>
        </w:tc>
        <w:tc>
          <w:tcPr>
            <w:tcW w:w="1259" w:type="dxa"/>
            <w:tcBorders>
              <w:bottom w:val="nil"/>
            </w:tcBorders>
            <w:shd w:val="clear" w:color="auto" w:fill="000000"/>
          </w:tcPr>
          <w:p>
            <w:pPr>
              <w:pStyle w:val="TableParagraph"/>
              <w:spacing w:before="36"/>
              <w:ind w:left="484" w:right="462"/>
              <w:jc w:val="center"/>
              <w:rPr>
                <w:rFonts w:ascii="Verdana"/>
                <w:sz w:val="22"/>
              </w:rPr>
            </w:pPr>
            <w:r>
              <w:rPr>
                <w:rFonts w:ascii="Verdana"/>
                <w:color w:val="FFFFFF"/>
                <w:spacing w:val="-5"/>
                <w:sz w:val="22"/>
              </w:rPr>
              <w:t>L3</w:t>
            </w:r>
          </w:p>
        </w:tc>
        <w:tc>
          <w:tcPr>
            <w:tcW w:w="1229" w:type="dxa"/>
            <w:tcBorders>
              <w:bottom w:val="nil"/>
            </w:tcBorders>
            <w:shd w:val="clear" w:color="auto" w:fill="000000"/>
          </w:tcPr>
          <w:p>
            <w:pPr>
              <w:pStyle w:val="TableParagraph"/>
              <w:spacing w:before="36"/>
              <w:ind w:left="470" w:right="445"/>
              <w:jc w:val="center"/>
              <w:rPr>
                <w:rFonts w:ascii="Verdana"/>
                <w:sz w:val="22"/>
              </w:rPr>
            </w:pPr>
            <w:r>
              <w:rPr>
                <w:rFonts w:ascii="Verdana"/>
                <w:color w:val="FFFFFF"/>
                <w:spacing w:val="-5"/>
                <w:sz w:val="22"/>
              </w:rPr>
              <w:t>L4</w:t>
            </w:r>
          </w:p>
        </w:tc>
      </w:tr>
    </w:tbl>
    <w:p>
      <w:pPr>
        <w:tabs>
          <w:tab w:pos="2339" w:val="left" w:leader="none"/>
          <w:tab w:pos="3464" w:val="left" w:leader="none"/>
          <w:tab w:pos="4723" w:val="left" w:leader="none"/>
          <w:tab w:pos="6058" w:val="left" w:leader="none"/>
        </w:tabs>
        <w:spacing w:before="42"/>
        <w:ind w:left="1308" w:right="0" w:firstLine="0"/>
        <w:jc w:val="left"/>
        <w:rPr>
          <w:rFonts w:ascii="Tahoma"/>
          <w:sz w:val="20"/>
        </w:rPr>
      </w:pPr>
      <w:r>
        <w:rPr/>
        <w:pict>
          <v:group style="position:absolute;margin-left:72.239998pt;margin-top:16.184895pt;width:305.55pt;height:18.5pt;mso-position-horizontal-relative:page;mso-position-vertical-relative:paragraph;z-index:-15554560;mso-wrap-distance-left:0;mso-wrap-distance-right:0" id="docshapegroup995" coordorigin="1445,324" coordsize="6111,370">
            <v:rect style="position:absolute;left:1464;top:344;width:6072;height:340" id="docshape996" filled="true" fillcolor="#000000" stroked="false">
              <v:fill type="solid"/>
            </v:rect>
            <v:shape style="position:absolute;left:1444;top:323;width:20;height:21" id="docshape997" coordorigin="1445,324" coordsize="20,21" path="m1464,324l1445,324,1445,343,1445,344,1464,344,1464,343,1464,324xe" filled="true" fillcolor="#3f3f3f" stroked="false">
              <v:path arrowok="t"/>
              <v:fill type="solid"/>
            </v:shape>
            <v:rect style="position:absolute;left:1464;top:342;width:20;height:2" id="docshape998" filled="true" fillcolor="#000000" stroked="false">
              <v:fill type="solid"/>
            </v:rect>
            <v:rect style="position:absolute;left:1464;top:323;width:1163;height:20" id="docshape999" filled="true" fillcolor="#3f3f3f" stroked="false">
              <v:fill type="solid"/>
            </v:rect>
            <v:rect style="position:absolute;left:1483;top:342;width:1163;height:2" id="docshape1000" filled="true" fillcolor="#000000" stroked="false">
              <v:fill type="solid"/>
            </v:rect>
            <v:rect style="position:absolute;left:2626;top:323;width:1169;height:20" id="docshape1001" filled="true" fillcolor="#3f3f3f" stroked="false">
              <v:fill type="solid"/>
            </v:rect>
            <v:rect style="position:absolute;left:2646;top:342;width:1169;height:2" id="docshape1002" filled="true" fillcolor="#000000" stroked="false">
              <v:fill type="solid"/>
            </v:rect>
            <v:rect style="position:absolute;left:3795;top:323;width:1080;height:20" id="docshape1003" filled="true" fillcolor="#3f3f3f" stroked="false">
              <v:fill type="solid"/>
            </v:rect>
            <v:rect style="position:absolute;left:3814;top:342;width:1080;height:2" id="docshape1004" filled="true" fillcolor="#000000" stroked="false">
              <v:fill type="solid"/>
            </v:rect>
            <v:rect style="position:absolute;left:4875;top:323;width:1440;height:20" id="docshape1005" filled="true" fillcolor="#3f3f3f" stroked="false">
              <v:fill type="solid"/>
            </v:rect>
            <v:rect style="position:absolute;left:4894;top:342;width:1440;height:2" id="docshape1006" filled="true" fillcolor="#000000" stroked="false">
              <v:fill type="solid"/>
            </v:rect>
            <v:rect style="position:absolute;left:6315;top:323;width:1221;height:20" id="docshape1007" filled="true" fillcolor="#3f3f3f" stroked="false">
              <v:fill type="solid"/>
            </v:rect>
            <v:rect style="position:absolute;left:6334;top:342;width:1202;height:2" id="docshape1008" filled="true" fillcolor="#000000" stroked="false">
              <v:fill type="solid"/>
            </v:rect>
            <v:shape style="position:absolute;left:1444;top:323;width:6111;height:360" id="docshape1009" coordorigin="1445,324" coordsize="6111,360" path="m1464,344l1445,344,1445,684,1464,684,1464,344xm7555,324l7536,324,7536,324,7536,343,7536,344,7536,684,7555,684,7555,344,7555,343,7555,324,7555,324xe" filled="true" fillcolor="#3f3f3f" stroked="false">
              <v:path arrowok="t"/>
              <v:fill type="solid"/>
            </v:shape>
            <v:rect style="position:absolute;left:1444;top:683;width:6111;height:10" id="docshape1010" filled="true" fillcolor="#000000" stroked="false">
              <v:fill type="solid"/>
            </v:rect>
            <v:shape style="position:absolute;left:1464;top:342;width:6072;height:341" type="#_x0000_t202" id="docshape1011" filled="false" stroked="false">
              <v:textbox inset="0,0,0,0">
                <w:txbxContent>
                  <w:p>
                    <w:pPr>
                      <w:spacing w:before="25"/>
                      <w:ind w:left="1046" w:right="0" w:firstLine="0"/>
                      <w:jc w:val="left"/>
                      <w:rPr>
                        <w:rFonts w:ascii="Verdana"/>
                        <w:sz w:val="24"/>
                      </w:rPr>
                    </w:pPr>
                    <w:r>
                      <w:rPr>
                        <w:rFonts w:ascii="Verdana"/>
                        <w:color w:val="FFFFFF"/>
                        <w:sz w:val="24"/>
                      </w:rPr>
                      <w:t>Compare</w:t>
                    </w:r>
                    <w:r>
                      <w:rPr>
                        <w:rFonts w:ascii="Verdana"/>
                        <w:color w:val="FFFFFF"/>
                        <w:spacing w:val="-15"/>
                        <w:sz w:val="24"/>
                      </w:rPr>
                      <w:t> </w:t>
                    </w:r>
                    <w:r>
                      <w:rPr>
                        <w:rFonts w:ascii="Verdana"/>
                        <w:color w:val="FFFFFF"/>
                        <w:sz w:val="24"/>
                      </w:rPr>
                      <w:t>to</w:t>
                    </w:r>
                    <w:r>
                      <w:rPr>
                        <w:rFonts w:ascii="Verdana"/>
                        <w:color w:val="FFFFFF"/>
                        <w:spacing w:val="-14"/>
                        <w:sz w:val="24"/>
                      </w:rPr>
                      <w:t> </w:t>
                    </w:r>
                    <w:r>
                      <w:rPr>
                        <w:rFonts w:ascii="Verdana"/>
                        <w:color w:val="FFFFFF"/>
                        <w:sz w:val="24"/>
                      </w:rPr>
                      <w:t>Original</w:t>
                    </w:r>
                    <w:r>
                      <w:rPr>
                        <w:rFonts w:ascii="Verdana"/>
                        <w:color w:val="FFFFFF"/>
                        <w:spacing w:val="-15"/>
                        <w:sz w:val="24"/>
                      </w:rPr>
                      <w:t> </w:t>
                    </w:r>
                    <w:r>
                      <w:rPr>
                        <w:rFonts w:ascii="Verdana"/>
                        <w:color w:val="FFFFFF"/>
                        <w:spacing w:val="-2"/>
                        <w:sz w:val="24"/>
                      </w:rPr>
                      <w:t>Percentages</w:t>
                    </w:r>
                  </w:p>
                </w:txbxContent>
              </v:textbox>
              <w10:wrap type="none"/>
            </v:shape>
            <w10:wrap type="topAndBottom"/>
          </v:group>
        </w:pict>
      </w:r>
      <w:r>
        <w:rPr>
          <w:rFonts w:ascii="Tahoma"/>
          <w:spacing w:val="-5"/>
          <w:sz w:val="20"/>
        </w:rPr>
        <w:t>0%</w:t>
      </w:r>
      <w:r>
        <w:rPr>
          <w:rFonts w:ascii="Tahoma"/>
          <w:sz w:val="20"/>
        </w:rPr>
        <w:tab/>
      </w:r>
      <w:r>
        <w:rPr>
          <w:rFonts w:ascii="Tahoma"/>
          <w:spacing w:val="-2"/>
          <w:sz w:val="20"/>
        </w:rPr>
        <w:t>67.2%</w:t>
      </w:r>
      <w:r>
        <w:rPr>
          <w:rFonts w:ascii="Tahoma"/>
          <w:sz w:val="20"/>
        </w:rPr>
        <w:tab/>
      </w:r>
      <w:r>
        <w:rPr>
          <w:rFonts w:ascii="Tahoma"/>
          <w:spacing w:val="-2"/>
          <w:sz w:val="20"/>
        </w:rPr>
        <w:t>63.9%</w:t>
      </w:r>
      <w:r>
        <w:rPr>
          <w:rFonts w:ascii="Tahoma"/>
          <w:sz w:val="20"/>
        </w:rPr>
        <w:tab/>
      </w:r>
      <w:r>
        <w:rPr>
          <w:rFonts w:ascii="Tahoma"/>
          <w:spacing w:val="-2"/>
          <w:sz w:val="20"/>
        </w:rPr>
        <w:t>34.4%</w:t>
      </w:r>
      <w:r>
        <w:rPr>
          <w:rFonts w:ascii="Tahoma"/>
          <w:sz w:val="20"/>
        </w:rPr>
        <w:tab/>
      </w:r>
      <w:r>
        <w:rPr>
          <w:rFonts w:ascii="Tahoma"/>
          <w:spacing w:val="-2"/>
          <w:sz w:val="20"/>
        </w:rPr>
        <w:t>11.5%</w:t>
      </w:r>
    </w:p>
    <w:p>
      <w:pPr>
        <w:tabs>
          <w:tab w:pos="1447" w:val="left" w:leader="none"/>
          <w:tab w:pos="2572" w:val="left" w:leader="none"/>
          <w:tab w:pos="3831" w:val="left" w:leader="none"/>
          <w:tab w:pos="5221" w:val="left" w:leader="none"/>
        </w:tabs>
        <w:spacing w:before="42" w:after="42"/>
        <w:ind w:left="361" w:right="0" w:firstLine="0"/>
        <w:jc w:val="center"/>
        <w:rPr>
          <w:rFonts w:ascii="Tahoma"/>
          <w:sz w:val="20"/>
        </w:rPr>
      </w:pPr>
      <w:r>
        <w:rPr>
          <w:rFonts w:ascii="Tahoma"/>
          <w:spacing w:val="-5"/>
          <w:sz w:val="20"/>
        </w:rPr>
        <w:t>63%</w:t>
      </w:r>
      <w:r>
        <w:rPr>
          <w:rFonts w:ascii="Tahoma"/>
          <w:sz w:val="20"/>
        </w:rPr>
        <w:tab/>
      </w:r>
      <w:r>
        <w:rPr>
          <w:rFonts w:ascii="Tahoma"/>
          <w:spacing w:val="-2"/>
          <w:sz w:val="20"/>
        </w:rPr>
        <w:t>73.3%</w:t>
      </w:r>
      <w:r>
        <w:rPr>
          <w:rFonts w:ascii="Tahoma"/>
          <w:sz w:val="20"/>
        </w:rPr>
        <w:tab/>
      </w:r>
      <w:r>
        <w:rPr>
          <w:rFonts w:ascii="Tahoma"/>
          <w:spacing w:val="-2"/>
          <w:sz w:val="20"/>
        </w:rPr>
        <w:t>38.2%</w:t>
      </w:r>
      <w:r>
        <w:rPr>
          <w:rFonts w:ascii="Tahoma"/>
          <w:sz w:val="20"/>
        </w:rPr>
        <w:tab/>
      </w:r>
      <w:r>
        <w:rPr>
          <w:rFonts w:ascii="Tahoma"/>
          <w:spacing w:val="-2"/>
          <w:sz w:val="20"/>
        </w:rPr>
        <w:t>17.6%</w:t>
      </w:r>
      <w:r>
        <w:rPr>
          <w:rFonts w:ascii="Tahoma"/>
          <w:sz w:val="20"/>
        </w:rPr>
        <w:tab/>
      </w:r>
      <w:r>
        <w:rPr>
          <w:rFonts w:ascii="Tahoma"/>
          <w:spacing w:val="-4"/>
          <w:sz w:val="20"/>
        </w:rPr>
        <w:t>5.5%</w:t>
      </w:r>
    </w:p>
    <w:tbl>
      <w:tblPr>
        <w:tblW w:w="0" w:type="auto"/>
        <w:jc w:val="left"/>
        <w:tblInd w:w="884" w:type="dxa"/>
        <w:tblBorders>
          <w:top w:val="single" w:sz="8" w:space="0" w:color="3F3F3F"/>
          <w:left w:val="single" w:sz="8" w:space="0" w:color="3F3F3F"/>
          <w:bottom w:val="single" w:sz="8" w:space="0" w:color="3F3F3F"/>
          <w:right w:val="single" w:sz="8" w:space="0" w:color="3F3F3F"/>
          <w:insideH w:val="single" w:sz="8" w:space="0" w:color="3F3F3F"/>
          <w:insideV w:val="single" w:sz="8" w:space="0" w:color="3F3F3F"/>
        </w:tblBorders>
        <w:tblLayout w:type="fixed"/>
        <w:tblCellMar>
          <w:top w:w="0" w:type="dxa"/>
          <w:left w:w="0" w:type="dxa"/>
          <w:bottom w:w="0" w:type="dxa"/>
          <w:right w:w="0" w:type="dxa"/>
        </w:tblCellMar>
        <w:tblLook w:val="01E0"/>
      </w:tblPr>
      <w:tblGrid>
        <w:gridCol w:w="1172"/>
        <w:gridCol w:w="1168"/>
        <w:gridCol w:w="1259"/>
        <w:gridCol w:w="1259"/>
        <w:gridCol w:w="1229"/>
      </w:tblGrid>
      <w:tr>
        <w:trPr>
          <w:trHeight w:val="339" w:hRule="atLeast"/>
        </w:trPr>
        <w:tc>
          <w:tcPr>
            <w:tcW w:w="6087" w:type="dxa"/>
            <w:gridSpan w:val="5"/>
            <w:tcBorders>
              <w:top w:val="nil"/>
            </w:tcBorders>
            <w:shd w:val="clear" w:color="auto" w:fill="000000"/>
          </w:tcPr>
          <w:p>
            <w:pPr>
              <w:pStyle w:val="TableParagraph"/>
              <w:spacing w:before="24"/>
              <w:ind w:left="1770"/>
              <w:rPr>
                <w:rFonts w:ascii="Verdana"/>
                <w:sz w:val="24"/>
              </w:rPr>
            </w:pPr>
            <w:r>
              <w:rPr>
                <w:rFonts w:ascii="Verdana"/>
                <w:color w:val="FFFFFF"/>
                <w:sz w:val="24"/>
              </w:rPr>
              <w:t>Closes</w:t>
            </w:r>
            <w:r>
              <w:rPr>
                <w:rFonts w:ascii="Verdana"/>
                <w:color w:val="FFFFFF"/>
                <w:spacing w:val="-18"/>
                <w:sz w:val="24"/>
              </w:rPr>
              <w:t> </w:t>
            </w:r>
            <w:r>
              <w:rPr>
                <w:rFonts w:ascii="Verdana"/>
                <w:color w:val="FFFFFF"/>
                <w:sz w:val="24"/>
              </w:rPr>
              <w:t>Beyond</w:t>
            </w:r>
            <w:r>
              <w:rPr>
                <w:rFonts w:ascii="Verdana"/>
                <w:color w:val="FFFFFF"/>
                <w:spacing w:val="-18"/>
                <w:sz w:val="24"/>
              </w:rPr>
              <w:t> </w:t>
            </w:r>
            <w:r>
              <w:rPr>
                <w:rFonts w:ascii="Verdana"/>
                <w:color w:val="FFFFFF"/>
                <w:spacing w:val="-2"/>
                <w:sz w:val="24"/>
              </w:rPr>
              <w:t>Pivots</w:t>
            </w:r>
          </w:p>
        </w:tc>
      </w:tr>
      <w:tr>
        <w:trPr>
          <w:trHeight w:val="340" w:hRule="atLeast"/>
        </w:trPr>
        <w:tc>
          <w:tcPr>
            <w:tcW w:w="1172" w:type="dxa"/>
            <w:tcBorders>
              <w:bottom w:val="nil"/>
            </w:tcBorders>
            <w:shd w:val="clear" w:color="auto" w:fill="000000"/>
          </w:tcPr>
          <w:p>
            <w:pPr>
              <w:pStyle w:val="TableParagraph"/>
              <w:spacing w:before="36"/>
              <w:ind w:left="426" w:right="408"/>
              <w:jc w:val="center"/>
              <w:rPr>
                <w:rFonts w:ascii="Verdana"/>
                <w:sz w:val="22"/>
              </w:rPr>
            </w:pPr>
            <w:r>
              <w:rPr>
                <w:rFonts w:ascii="Verdana"/>
                <w:color w:val="FFFFFF"/>
                <w:spacing w:val="-5"/>
                <w:sz w:val="22"/>
              </w:rPr>
              <w:t>CP</w:t>
            </w:r>
          </w:p>
        </w:tc>
        <w:tc>
          <w:tcPr>
            <w:tcW w:w="1168" w:type="dxa"/>
            <w:tcBorders>
              <w:bottom w:val="nil"/>
            </w:tcBorders>
            <w:shd w:val="clear" w:color="auto" w:fill="000000"/>
          </w:tcPr>
          <w:p>
            <w:pPr>
              <w:pStyle w:val="TableParagraph"/>
              <w:spacing w:before="36"/>
              <w:ind w:left="438" w:right="417"/>
              <w:jc w:val="center"/>
              <w:rPr>
                <w:rFonts w:ascii="Verdana"/>
                <w:sz w:val="22"/>
              </w:rPr>
            </w:pPr>
            <w:r>
              <w:rPr>
                <w:rFonts w:ascii="Verdana"/>
                <w:color w:val="FFFFFF"/>
                <w:spacing w:val="-5"/>
                <w:sz w:val="22"/>
              </w:rPr>
              <w:t>L1</w:t>
            </w:r>
          </w:p>
        </w:tc>
        <w:tc>
          <w:tcPr>
            <w:tcW w:w="1259" w:type="dxa"/>
            <w:tcBorders>
              <w:bottom w:val="nil"/>
            </w:tcBorders>
            <w:shd w:val="clear" w:color="auto" w:fill="000000"/>
          </w:tcPr>
          <w:p>
            <w:pPr>
              <w:pStyle w:val="TableParagraph"/>
              <w:spacing w:before="36"/>
              <w:ind w:left="484" w:right="462"/>
              <w:jc w:val="center"/>
              <w:rPr>
                <w:rFonts w:ascii="Verdana"/>
                <w:sz w:val="22"/>
              </w:rPr>
            </w:pPr>
            <w:r>
              <w:rPr>
                <w:rFonts w:ascii="Verdana"/>
                <w:color w:val="FFFFFF"/>
                <w:spacing w:val="-5"/>
                <w:sz w:val="22"/>
              </w:rPr>
              <w:t>L2</w:t>
            </w:r>
          </w:p>
        </w:tc>
        <w:tc>
          <w:tcPr>
            <w:tcW w:w="1259" w:type="dxa"/>
            <w:tcBorders>
              <w:bottom w:val="nil"/>
            </w:tcBorders>
            <w:shd w:val="clear" w:color="auto" w:fill="000000"/>
          </w:tcPr>
          <w:p>
            <w:pPr>
              <w:pStyle w:val="TableParagraph"/>
              <w:spacing w:before="36"/>
              <w:ind w:left="484" w:right="462"/>
              <w:jc w:val="center"/>
              <w:rPr>
                <w:rFonts w:ascii="Verdana"/>
                <w:sz w:val="22"/>
              </w:rPr>
            </w:pPr>
            <w:r>
              <w:rPr>
                <w:rFonts w:ascii="Verdana"/>
                <w:color w:val="FFFFFF"/>
                <w:spacing w:val="-5"/>
                <w:sz w:val="22"/>
              </w:rPr>
              <w:t>L3</w:t>
            </w:r>
          </w:p>
        </w:tc>
        <w:tc>
          <w:tcPr>
            <w:tcW w:w="1229" w:type="dxa"/>
            <w:tcBorders>
              <w:bottom w:val="nil"/>
            </w:tcBorders>
            <w:shd w:val="clear" w:color="auto" w:fill="000000"/>
          </w:tcPr>
          <w:p>
            <w:pPr>
              <w:pStyle w:val="TableParagraph"/>
              <w:spacing w:before="36"/>
              <w:ind w:left="470" w:right="445"/>
              <w:jc w:val="center"/>
              <w:rPr>
                <w:rFonts w:ascii="Verdana"/>
                <w:sz w:val="22"/>
              </w:rPr>
            </w:pPr>
            <w:r>
              <w:rPr>
                <w:rFonts w:ascii="Verdana"/>
                <w:color w:val="FFFFFF"/>
                <w:spacing w:val="-5"/>
                <w:sz w:val="22"/>
              </w:rPr>
              <w:t>L4</w:t>
            </w:r>
          </w:p>
        </w:tc>
      </w:tr>
    </w:tbl>
    <w:p>
      <w:pPr>
        <w:tabs>
          <w:tab w:pos="1447" w:val="left" w:leader="none"/>
          <w:tab w:pos="2572" w:val="left" w:leader="none"/>
          <w:tab w:pos="3831" w:val="left" w:leader="none"/>
          <w:tab w:pos="5221" w:val="left" w:leader="none"/>
        </w:tabs>
        <w:spacing w:before="41"/>
        <w:ind w:left="417" w:right="0" w:firstLine="0"/>
        <w:jc w:val="center"/>
        <w:rPr>
          <w:rFonts w:ascii="Tahoma"/>
          <w:sz w:val="20"/>
        </w:rPr>
      </w:pPr>
      <w:r>
        <w:rPr/>
        <w:pict>
          <v:group style="position:absolute;margin-left:72.239998pt;margin-top:16.194859pt;width:305.55pt;height:18.5pt;mso-position-horizontal-relative:page;mso-position-vertical-relative:paragraph;z-index:-15554048;mso-wrap-distance-left:0;mso-wrap-distance-right:0" id="docshapegroup1012" coordorigin="1445,324" coordsize="6111,370">
            <v:rect style="position:absolute;left:1464;top:344;width:6072;height:340" id="docshape1013" filled="true" fillcolor="#000000" stroked="false">
              <v:fill type="solid"/>
            </v:rect>
            <v:shape style="position:absolute;left:1444;top:323;width:20;height:21" id="docshape1014" coordorigin="1445,324" coordsize="20,21" path="m1464,324l1445,324,1445,343,1445,344,1464,344,1464,343,1464,324xe" filled="true" fillcolor="#3f3f3f" stroked="false">
              <v:path arrowok="t"/>
              <v:fill type="solid"/>
            </v:shape>
            <v:rect style="position:absolute;left:1464;top:343;width:20;height:2" id="docshape1015" filled="true" fillcolor="#000000" stroked="false">
              <v:fill type="solid"/>
            </v:rect>
            <v:rect style="position:absolute;left:1464;top:323;width:1163;height:20" id="docshape1016" filled="true" fillcolor="#3f3f3f" stroked="false">
              <v:fill type="solid"/>
            </v:rect>
            <v:rect style="position:absolute;left:1483;top:343;width:1163;height:2" id="docshape1017" filled="true" fillcolor="#000000" stroked="false">
              <v:fill type="solid"/>
            </v:rect>
            <v:rect style="position:absolute;left:2626;top:323;width:1169;height:20" id="docshape1018" filled="true" fillcolor="#3f3f3f" stroked="false">
              <v:fill type="solid"/>
            </v:rect>
            <v:rect style="position:absolute;left:2646;top:343;width:1169;height:2" id="docshape1019" filled="true" fillcolor="#000000" stroked="false">
              <v:fill type="solid"/>
            </v:rect>
            <v:rect style="position:absolute;left:3795;top:323;width:1080;height:20" id="docshape1020" filled="true" fillcolor="#3f3f3f" stroked="false">
              <v:fill type="solid"/>
            </v:rect>
            <v:rect style="position:absolute;left:3814;top:343;width:1080;height:2" id="docshape1021" filled="true" fillcolor="#000000" stroked="false">
              <v:fill type="solid"/>
            </v:rect>
            <v:rect style="position:absolute;left:4875;top:323;width:1440;height:20" id="docshape1022" filled="true" fillcolor="#3f3f3f" stroked="false">
              <v:fill type="solid"/>
            </v:rect>
            <v:rect style="position:absolute;left:4894;top:343;width:1440;height:2" id="docshape1023" filled="true" fillcolor="#000000" stroked="false">
              <v:fill type="solid"/>
            </v:rect>
            <v:rect style="position:absolute;left:6315;top:323;width:1221;height:20" id="docshape1024" filled="true" fillcolor="#3f3f3f" stroked="false">
              <v:fill type="solid"/>
            </v:rect>
            <v:rect style="position:absolute;left:6334;top:343;width:1202;height:2" id="docshape1025" filled="true" fillcolor="#000000" stroked="false">
              <v:fill type="solid"/>
            </v:rect>
            <v:shape style="position:absolute;left:1444;top:323;width:6111;height:360" id="docshape1026" coordorigin="1445,324" coordsize="6111,360" path="m1464,344l1445,344,1445,684,1464,684,1464,344xm7555,324l7536,324,7536,324,7536,343,7536,344,7536,684,7555,684,7555,344,7555,343,7555,324,7555,324xe" filled="true" fillcolor="#3f3f3f" stroked="false">
              <v:path arrowok="t"/>
              <v:fill type="solid"/>
            </v:shape>
            <v:rect style="position:absolute;left:1444;top:683;width:6111;height:10" id="docshape1027" filled="true" fillcolor="#000000" stroked="false">
              <v:fill type="solid"/>
            </v:rect>
            <v:shape style="position:absolute;left:1464;top:343;width:6072;height:341" type="#_x0000_t202" id="docshape1028" filled="false" stroked="false">
              <v:textbox inset="0,0,0,0">
                <w:txbxContent>
                  <w:p>
                    <w:pPr>
                      <w:spacing w:before="25"/>
                      <w:ind w:left="1046" w:right="0" w:firstLine="0"/>
                      <w:jc w:val="left"/>
                      <w:rPr>
                        <w:rFonts w:ascii="Verdana"/>
                        <w:sz w:val="24"/>
                      </w:rPr>
                    </w:pPr>
                    <w:r>
                      <w:rPr>
                        <w:rFonts w:ascii="Verdana"/>
                        <w:color w:val="FFFFFF"/>
                        <w:sz w:val="24"/>
                      </w:rPr>
                      <w:t>Compare</w:t>
                    </w:r>
                    <w:r>
                      <w:rPr>
                        <w:rFonts w:ascii="Verdana"/>
                        <w:color w:val="FFFFFF"/>
                        <w:spacing w:val="-15"/>
                        <w:sz w:val="24"/>
                      </w:rPr>
                      <w:t> </w:t>
                    </w:r>
                    <w:r>
                      <w:rPr>
                        <w:rFonts w:ascii="Verdana"/>
                        <w:color w:val="FFFFFF"/>
                        <w:sz w:val="24"/>
                      </w:rPr>
                      <w:t>to</w:t>
                    </w:r>
                    <w:r>
                      <w:rPr>
                        <w:rFonts w:ascii="Verdana"/>
                        <w:color w:val="FFFFFF"/>
                        <w:spacing w:val="-14"/>
                        <w:sz w:val="24"/>
                      </w:rPr>
                      <w:t> </w:t>
                    </w:r>
                    <w:r>
                      <w:rPr>
                        <w:rFonts w:ascii="Verdana"/>
                        <w:color w:val="FFFFFF"/>
                        <w:sz w:val="24"/>
                      </w:rPr>
                      <w:t>Original</w:t>
                    </w:r>
                    <w:r>
                      <w:rPr>
                        <w:rFonts w:ascii="Verdana"/>
                        <w:color w:val="FFFFFF"/>
                        <w:spacing w:val="-15"/>
                        <w:sz w:val="24"/>
                      </w:rPr>
                      <w:t> </w:t>
                    </w:r>
                    <w:r>
                      <w:rPr>
                        <w:rFonts w:ascii="Verdana"/>
                        <w:color w:val="FFFFFF"/>
                        <w:spacing w:val="-2"/>
                        <w:sz w:val="24"/>
                      </w:rPr>
                      <w:t>Percentages</w:t>
                    </w:r>
                  </w:p>
                </w:txbxContent>
              </v:textbox>
              <w10:wrap type="none"/>
            </v:shape>
            <w10:wrap type="topAndBottom"/>
          </v:group>
        </w:pict>
      </w:r>
      <w:r>
        <w:rPr>
          <w:rFonts w:ascii="Tahoma"/>
          <w:spacing w:val="-5"/>
          <w:sz w:val="20"/>
        </w:rPr>
        <w:t>0%</w:t>
      </w:r>
      <w:r>
        <w:rPr>
          <w:rFonts w:ascii="Tahoma"/>
          <w:sz w:val="20"/>
        </w:rPr>
        <w:tab/>
      </w:r>
      <w:r>
        <w:rPr>
          <w:rFonts w:ascii="Tahoma"/>
          <w:spacing w:val="-2"/>
          <w:sz w:val="20"/>
        </w:rPr>
        <w:t>27.9%</w:t>
      </w:r>
      <w:r>
        <w:rPr>
          <w:rFonts w:ascii="Tahoma"/>
          <w:sz w:val="20"/>
        </w:rPr>
        <w:tab/>
      </w:r>
      <w:r>
        <w:rPr>
          <w:rFonts w:ascii="Tahoma"/>
          <w:spacing w:val="-2"/>
          <w:sz w:val="20"/>
        </w:rPr>
        <w:t>23.0%</w:t>
      </w:r>
      <w:r>
        <w:rPr>
          <w:rFonts w:ascii="Tahoma"/>
          <w:sz w:val="20"/>
        </w:rPr>
        <w:tab/>
      </w:r>
      <w:r>
        <w:rPr>
          <w:rFonts w:ascii="Tahoma"/>
          <w:spacing w:val="-2"/>
          <w:sz w:val="20"/>
        </w:rPr>
        <w:t>16.4%</w:t>
      </w:r>
      <w:r>
        <w:rPr>
          <w:rFonts w:ascii="Tahoma"/>
          <w:sz w:val="20"/>
        </w:rPr>
        <w:tab/>
      </w:r>
      <w:r>
        <w:rPr>
          <w:rFonts w:ascii="Tahoma"/>
          <w:spacing w:val="-4"/>
          <w:sz w:val="20"/>
        </w:rPr>
        <w:t>6.6%</w:t>
      </w:r>
    </w:p>
    <w:p>
      <w:pPr>
        <w:tabs>
          <w:tab w:pos="1447" w:val="left" w:leader="none"/>
          <w:tab w:pos="2571" w:val="left" w:leader="none"/>
          <w:tab w:pos="3885" w:val="left" w:leader="none"/>
          <w:tab w:pos="5220" w:val="left" w:leader="none"/>
        </w:tabs>
        <w:spacing w:before="42" w:after="42"/>
        <w:ind w:left="361" w:right="0" w:firstLine="0"/>
        <w:jc w:val="center"/>
        <w:rPr>
          <w:rFonts w:ascii="Tahoma"/>
          <w:sz w:val="20"/>
        </w:rPr>
      </w:pPr>
      <w:r>
        <w:rPr>
          <w:rFonts w:ascii="Tahoma"/>
          <w:spacing w:val="-5"/>
          <w:sz w:val="20"/>
        </w:rPr>
        <w:t>63%</w:t>
      </w:r>
      <w:r>
        <w:rPr>
          <w:rFonts w:ascii="Tahoma"/>
          <w:sz w:val="20"/>
        </w:rPr>
        <w:tab/>
      </w:r>
      <w:r>
        <w:rPr>
          <w:rFonts w:ascii="Tahoma"/>
          <w:spacing w:val="-2"/>
          <w:sz w:val="20"/>
        </w:rPr>
        <w:t>24.8%</w:t>
      </w:r>
      <w:r>
        <w:rPr>
          <w:rFonts w:ascii="Tahoma"/>
          <w:sz w:val="20"/>
        </w:rPr>
        <w:tab/>
      </w:r>
      <w:r>
        <w:rPr>
          <w:rFonts w:ascii="Tahoma"/>
          <w:spacing w:val="-2"/>
          <w:sz w:val="20"/>
        </w:rPr>
        <w:t>12.1%</w:t>
      </w:r>
      <w:r>
        <w:rPr>
          <w:rFonts w:ascii="Tahoma"/>
          <w:sz w:val="20"/>
        </w:rPr>
        <w:tab/>
      </w:r>
      <w:r>
        <w:rPr>
          <w:rFonts w:ascii="Tahoma"/>
          <w:spacing w:val="-4"/>
          <w:sz w:val="20"/>
        </w:rPr>
        <w:t>6.7%</w:t>
      </w:r>
      <w:r>
        <w:rPr>
          <w:rFonts w:ascii="Tahoma"/>
          <w:sz w:val="20"/>
        </w:rPr>
        <w:tab/>
      </w:r>
      <w:r>
        <w:rPr>
          <w:rFonts w:ascii="Tahoma"/>
          <w:spacing w:val="-4"/>
          <w:sz w:val="20"/>
        </w:rPr>
        <w:t>3.0%</w:t>
      </w:r>
    </w:p>
    <w:p>
      <w:pPr>
        <w:pStyle w:val="BodyText"/>
        <w:spacing w:line="20" w:lineRule="exact"/>
        <w:ind w:left="860"/>
        <w:rPr>
          <w:rFonts w:ascii="Tahoma"/>
          <w:sz w:val="2"/>
        </w:rPr>
      </w:pPr>
      <w:r>
        <w:rPr>
          <w:rFonts w:ascii="Tahoma"/>
          <w:sz w:val="2"/>
        </w:rPr>
        <w:pict>
          <v:group style="width:305.3pt;height:.5pt;mso-position-horizontal-relative:char;mso-position-vertical-relative:line" id="docshapegroup1029" coordorigin="0,0" coordsize="6106,10">
            <v:shape style="position:absolute;left:0;top:0;width:6106;height:10" id="docshape1030" coordorigin="0,0" coordsize="6106,10" path="m6106,0l4871,0,4871,0,0,0,0,10,6106,10,6106,0xe" filled="true" fillcolor="#000000" stroked="false">
              <v:path arrowok="t"/>
              <v:fill type="solid"/>
            </v:shape>
          </v:group>
        </w:pict>
      </w:r>
      <w:r>
        <w:rPr>
          <w:rFonts w:ascii="Tahoma"/>
          <w:sz w:val="2"/>
        </w:rPr>
      </w:r>
    </w:p>
    <w:p>
      <w:pPr>
        <w:pStyle w:val="BodyText"/>
        <w:spacing w:before="5"/>
        <w:rPr>
          <w:rFonts w:ascii="Tahoma"/>
          <w:sz w:val="14"/>
        </w:rPr>
      </w:pPr>
    </w:p>
    <w:p>
      <w:pPr>
        <w:pStyle w:val="BodyText"/>
        <w:spacing w:before="65"/>
        <w:ind w:left="499" w:right="137" w:firstLine="432"/>
        <w:jc w:val="both"/>
      </w:pPr>
      <w:r>
        <w:rPr/>
        <w:t>The table above shows that touches beyond L1 increased significantly, with most cases doubling their original value from before. R2 and S2 were reached 61.9 percent of the time versus just 38.2 percent before, while touches at L3 and L4 doubled from 17.6 percent to 34.4 percent and 5.5 percent to 11.5 percent, respectively. On days when the central pivot is not reached, the market is trending in one direction or the other, easily reaching beyond the second layer of the indicator (R2 and S2). On these days, it is much more prudent to hold targets at the third layer of the indicator (R3 or S3) instead of just L1 or L2.</w:t>
      </w:r>
    </w:p>
    <w:p>
      <w:pPr>
        <w:pStyle w:val="BodyText"/>
        <w:ind w:left="499" w:right="135" w:firstLine="432"/>
        <w:jc w:val="both"/>
      </w:pPr>
      <w:r>
        <w:rPr/>
        <w:t>The percentages also increased dramatically when measuring closures beyond key pivot levels. The percentage of closures beyond L1 (but below L2) barely increased by just three percentage points, but closures above L2, L3, and L4 all doubled. This indicates that not only is the market trending steadily in one direction, but it also is closing at or near the extremes of the</w:t>
      </w:r>
    </w:p>
    <w:p>
      <w:pPr>
        <w:spacing w:after="0"/>
        <w:jc w:val="both"/>
        <w:sectPr>
          <w:pgSz w:w="8640" w:h="12960"/>
          <w:pgMar w:header="536" w:footer="1053" w:top="720" w:bottom="1260" w:left="580" w:right="580"/>
        </w:sectPr>
      </w:pPr>
    </w:p>
    <w:p>
      <w:pPr>
        <w:pStyle w:val="BodyText"/>
        <w:spacing w:before="5"/>
        <w:rPr>
          <w:sz w:val="18"/>
        </w:rPr>
      </w:pPr>
    </w:p>
    <w:p>
      <w:pPr>
        <w:pStyle w:val="BodyText"/>
        <w:spacing w:before="64"/>
        <w:ind w:left="140" w:right="500"/>
        <w:jc w:val="both"/>
      </w:pPr>
      <w:r>
        <w:rPr/>
        <w:t>move. This means a vast reduction in the number of reversals we see in the market on these days, thus allowing you to ride the trend comfortably.</w:t>
      </w:r>
    </w:p>
    <w:p>
      <w:pPr>
        <w:pStyle w:val="BodyText"/>
        <w:spacing w:before="1"/>
        <w:ind w:left="139" w:right="495" w:firstLine="432"/>
        <w:jc w:val="both"/>
      </w:pPr>
      <w:r>
        <w:rPr/>
        <w:t>I’ve found that on many of the days where the central pivot is not touched, you see a gap </w:t>
      </w:r>
      <w:r>
        <w:rPr>
          <w:i/>
        </w:rPr>
        <w:t>beyond </w:t>
      </w:r>
      <w:r>
        <w:rPr/>
        <w:t>the central pivot, and oftentimes beyond L1 (thus the reason its percentage of touches dropped from 73.3% to 67.2%). If the market gaps beyond these two levels, and they hold on a retest, you typically see steady movement in the direction of the gap.</w:t>
      </w:r>
    </w:p>
    <w:p>
      <w:pPr>
        <w:pStyle w:val="BodyText"/>
        <w:ind w:left="139" w:right="496" w:firstLine="432"/>
        <w:jc w:val="both"/>
      </w:pPr>
      <w:r>
        <w:rPr/>
        <w:t>I’ll give you one final argument to support the strength of trending days when</w:t>
      </w:r>
      <w:r>
        <w:rPr/>
        <w:t> the central pivot is not touched. The table below shows the original touches at pivots and closures beyond pivots that we discussed at the top of this Appendix. I originally stated that R1 and S1 are the most likely stopping grounds for a typical market, with movement occasionally pushing to the second</w:t>
      </w:r>
      <w:r>
        <w:rPr>
          <w:spacing w:val="-4"/>
        </w:rPr>
        <w:t> </w:t>
      </w:r>
      <w:r>
        <w:rPr/>
        <w:t>layer</w:t>
      </w:r>
      <w:r>
        <w:rPr>
          <w:spacing w:val="-3"/>
        </w:rPr>
        <w:t> </w:t>
      </w:r>
      <w:r>
        <w:rPr/>
        <w:t>of</w:t>
      </w:r>
      <w:r>
        <w:rPr>
          <w:spacing w:val="-3"/>
        </w:rPr>
        <w:t> </w:t>
      </w:r>
      <w:r>
        <w:rPr/>
        <w:t>the</w:t>
      </w:r>
      <w:r>
        <w:rPr>
          <w:spacing w:val="-3"/>
        </w:rPr>
        <w:t> </w:t>
      </w:r>
      <w:r>
        <w:rPr/>
        <w:t>indicator.</w:t>
      </w:r>
      <w:r>
        <w:rPr>
          <w:spacing w:val="-3"/>
        </w:rPr>
        <w:t> </w:t>
      </w:r>
      <w:r>
        <w:rPr/>
        <w:t>The</w:t>
      </w:r>
      <w:r>
        <w:rPr>
          <w:spacing w:val="-3"/>
        </w:rPr>
        <w:t> </w:t>
      </w:r>
      <w:r>
        <w:rPr/>
        <w:t>table</w:t>
      </w:r>
      <w:r>
        <w:rPr>
          <w:spacing w:val="-3"/>
        </w:rPr>
        <w:t> </w:t>
      </w:r>
      <w:r>
        <w:rPr/>
        <w:t>below</w:t>
      </w:r>
      <w:r>
        <w:rPr>
          <w:spacing w:val="-3"/>
        </w:rPr>
        <w:t> </w:t>
      </w:r>
      <w:r>
        <w:rPr/>
        <w:t>shows</w:t>
      </w:r>
      <w:r>
        <w:rPr>
          <w:spacing w:val="-2"/>
        </w:rPr>
        <w:t> </w:t>
      </w:r>
      <w:r>
        <w:rPr/>
        <w:t>that</w:t>
      </w:r>
      <w:r>
        <w:rPr>
          <w:spacing w:val="-3"/>
        </w:rPr>
        <w:t> </w:t>
      </w:r>
      <w:r>
        <w:rPr/>
        <w:t>days</w:t>
      </w:r>
      <w:r>
        <w:rPr>
          <w:spacing w:val="-3"/>
        </w:rPr>
        <w:t> </w:t>
      </w:r>
      <w:r>
        <w:rPr/>
        <w:t>that</w:t>
      </w:r>
      <w:r>
        <w:rPr>
          <w:spacing w:val="-5"/>
        </w:rPr>
        <w:t> </w:t>
      </w:r>
      <w:r>
        <w:rPr/>
        <w:t>do</w:t>
      </w:r>
      <w:r>
        <w:rPr>
          <w:spacing w:val="-3"/>
        </w:rPr>
        <w:t> </w:t>
      </w:r>
      <w:r>
        <w:rPr/>
        <w:t>not</w:t>
      </w:r>
      <w:r>
        <w:rPr>
          <w:spacing w:val="-3"/>
        </w:rPr>
        <w:t> </w:t>
      </w:r>
      <w:r>
        <w:rPr/>
        <w:t>test the central pivot make up the </w:t>
      </w:r>
      <w:r>
        <w:rPr>
          <w:i/>
        </w:rPr>
        <w:t>vast majority </w:t>
      </w:r>
      <w:r>
        <w:rPr/>
        <w:t>of touches at pivots and closures beyond pivots.</w:t>
      </w:r>
    </w:p>
    <w:p>
      <w:pPr>
        <w:pStyle w:val="BodyText"/>
        <w:spacing w:before="1" w:after="1"/>
      </w:pPr>
    </w:p>
    <w:tbl>
      <w:tblPr>
        <w:tblW w:w="0" w:type="auto"/>
        <w:jc w:val="left"/>
        <w:tblInd w:w="524" w:type="dxa"/>
        <w:tblBorders>
          <w:top w:val="single" w:sz="8" w:space="0" w:color="3F3F3F"/>
          <w:left w:val="single" w:sz="8" w:space="0" w:color="3F3F3F"/>
          <w:bottom w:val="single" w:sz="8" w:space="0" w:color="3F3F3F"/>
          <w:right w:val="single" w:sz="8" w:space="0" w:color="3F3F3F"/>
          <w:insideH w:val="single" w:sz="8" w:space="0" w:color="3F3F3F"/>
          <w:insideV w:val="single" w:sz="8" w:space="0" w:color="3F3F3F"/>
        </w:tblBorders>
        <w:tblLayout w:type="fixed"/>
        <w:tblCellMar>
          <w:top w:w="0" w:type="dxa"/>
          <w:left w:w="0" w:type="dxa"/>
          <w:bottom w:w="0" w:type="dxa"/>
          <w:right w:w="0" w:type="dxa"/>
        </w:tblCellMar>
        <w:tblLook w:val="01E0"/>
      </w:tblPr>
      <w:tblGrid>
        <w:gridCol w:w="1172"/>
        <w:gridCol w:w="1168"/>
        <w:gridCol w:w="1259"/>
        <w:gridCol w:w="1259"/>
        <w:gridCol w:w="1229"/>
      </w:tblGrid>
      <w:tr>
        <w:trPr>
          <w:trHeight w:val="869" w:hRule="atLeast"/>
        </w:trPr>
        <w:tc>
          <w:tcPr>
            <w:tcW w:w="6087" w:type="dxa"/>
            <w:gridSpan w:val="5"/>
            <w:shd w:val="clear" w:color="auto" w:fill="000000"/>
          </w:tcPr>
          <w:p>
            <w:pPr>
              <w:pStyle w:val="TableParagraph"/>
              <w:spacing w:line="237" w:lineRule="auto" w:before="2"/>
              <w:ind w:left="485" w:right="458"/>
              <w:jc w:val="center"/>
              <w:rPr>
                <w:rFonts w:ascii="Verdana"/>
                <w:sz w:val="24"/>
              </w:rPr>
            </w:pPr>
            <w:r>
              <w:rPr>
                <w:rFonts w:ascii="Verdana"/>
                <w:color w:val="FFFFFF"/>
                <w:sz w:val="24"/>
              </w:rPr>
              <w:t>Percentage</w:t>
            </w:r>
            <w:r>
              <w:rPr>
                <w:rFonts w:ascii="Verdana"/>
                <w:color w:val="FFFFFF"/>
                <w:spacing w:val="-7"/>
                <w:sz w:val="24"/>
              </w:rPr>
              <w:t> </w:t>
            </w:r>
            <w:r>
              <w:rPr>
                <w:rFonts w:ascii="Verdana"/>
                <w:color w:val="FFFFFF"/>
                <w:sz w:val="24"/>
              </w:rPr>
              <w:t>of</w:t>
            </w:r>
            <w:r>
              <w:rPr>
                <w:rFonts w:ascii="Verdana"/>
                <w:color w:val="FFFFFF"/>
                <w:spacing w:val="-7"/>
                <w:sz w:val="24"/>
              </w:rPr>
              <w:t> </w:t>
            </w:r>
            <w:r>
              <w:rPr>
                <w:rFonts w:ascii="Verdana"/>
                <w:color w:val="FFFFFF"/>
                <w:sz w:val="24"/>
              </w:rPr>
              <w:t>Original</w:t>
            </w:r>
            <w:r>
              <w:rPr>
                <w:rFonts w:ascii="Verdana"/>
                <w:color w:val="FFFFFF"/>
                <w:spacing w:val="-7"/>
                <w:sz w:val="24"/>
              </w:rPr>
              <w:t> </w:t>
            </w:r>
            <w:r>
              <w:rPr>
                <w:rFonts w:ascii="Verdana"/>
                <w:color w:val="FFFFFF"/>
                <w:sz w:val="24"/>
              </w:rPr>
              <w:t>Touches</w:t>
            </w:r>
            <w:r>
              <w:rPr>
                <w:rFonts w:ascii="Verdana"/>
                <w:color w:val="FFFFFF"/>
                <w:spacing w:val="-7"/>
                <w:sz w:val="24"/>
              </w:rPr>
              <w:t> </w:t>
            </w:r>
            <w:r>
              <w:rPr>
                <w:rFonts w:ascii="Verdana"/>
                <w:color w:val="FFFFFF"/>
                <w:sz w:val="24"/>
              </w:rPr>
              <w:t>&amp;</w:t>
            </w:r>
            <w:r>
              <w:rPr>
                <w:rFonts w:ascii="Verdana"/>
                <w:color w:val="FFFFFF"/>
                <w:spacing w:val="-7"/>
                <w:sz w:val="24"/>
              </w:rPr>
              <w:t> </w:t>
            </w:r>
            <w:r>
              <w:rPr>
                <w:rFonts w:ascii="Verdana"/>
                <w:color w:val="FFFFFF"/>
                <w:sz w:val="24"/>
              </w:rPr>
              <w:t>Closures that Occurred when the</w:t>
            </w:r>
          </w:p>
          <w:p>
            <w:pPr>
              <w:pStyle w:val="TableParagraph"/>
              <w:spacing w:line="270" w:lineRule="exact"/>
              <w:ind w:left="481" w:right="458"/>
              <w:jc w:val="center"/>
              <w:rPr>
                <w:rFonts w:ascii="Verdana"/>
                <w:sz w:val="24"/>
              </w:rPr>
            </w:pPr>
            <w:r>
              <w:rPr>
                <w:rFonts w:ascii="Verdana"/>
                <w:color w:val="FFFFFF"/>
                <w:sz w:val="24"/>
              </w:rPr>
              <w:t>Central</w:t>
            </w:r>
            <w:r>
              <w:rPr>
                <w:rFonts w:ascii="Verdana"/>
                <w:color w:val="FFFFFF"/>
                <w:spacing w:val="-6"/>
                <w:sz w:val="24"/>
              </w:rPr>
              <w:t> </w:t>
            </w:r>
            <w:r>
              <w:rPr>
                <w:rFonts w:ascii="Verdana"/>
                <w:color w:val="FFFFFF"/>
                <w:sz w:val="24"/>
              </w:rPr>
              <w:t>Pivot</w:t>
            </w:r>
            <w:r>
              <w:rPr>
                <w:rFonts w:ascii="Verdana"/>
                <w:color w:val="FFFFFF"/>
                <w:spacing w:val="-5"/>
                <w:sz w:val="24"/>
              </w:rPr>
              <w:t> </w:t>
            </w:r>
            <w:r>
              <w:rPr>
                <w:rFonts w:ascii="Verdana"/>
                <w:color w:val="FFFFFF"/>
                <w:sz w:val="24"/>
              </w:rPr>
              <w:t>was</w:t>
            </w:r>
            <w:r>
              <w:rPr>
                <w:rFonts w:ascii="Verdana"/>
                <w:color w:val="FFFFFF"/>
                <w:spacing w:val="-6"/>
                <w:sz w:val="24"/>
              </w:rPr>
              <w:t> </w:t>
            </w:r>
            <w:r>
              <w:rPr>
                <w:rFonts w:ascii="Verdana"/>
                <w:color w:val="FFFFFF"/>
                <w:sz w:val="24"/>
              </w:rPr>
              <w:t>Not</w:t>
            </w:r>
            <w:r>
              <w:rPr>
                <w:rFonts w:ascii="Verdana"/>
                <w:color w:val="FFFFFF"/>
                <w:spacing w:val="-5"/>
                <w:sz w:val="24"/>
              </w:rPr>
              <w:t> </w:t>
            </w:r>
            <w:r>
              <w:rPr>
                <w:rFonts w:ascii="Verdana"/>
                <w:color w:val="FFFFFF"/>
                <w:spacing w:val="-2"/>
                <w:sz w:val="24"/>
              </w:rPr>
              <w:t>Touched</w:t>
            </w:r>
          </w:p>
        </w:tc>
      </w:tr>
      <w:tr>
        <w:trPr>
          <w:trHeight w:val="340" w:hRule="atLeast"/>
        </w:trPr>
        <w:tc>
          <w:tcPr>
            <w:tcW w:w="6087" w:type="dxa"/>
            <w:gridSpan w:val="5"/>
            <w:shd w:val="clear" w:color="auto" w:fill="000000"/>
          </w:tcPr>
          <w:p>
            <w:pPr>
              <w:pStyle w:val="TableParagraph"/>
              <w:spacing w:before="24"/>
              <w:ind w:left="1635"/>
              <w:rPr>
                <w:rFonts w:ascii="Verdana"/>
                <w:sz w:val="24"/>
              </w:rPr>
            </w:pPr>
            <w:r>
              <w:rPr>
                <w:rFonts w:ascii="Verdana"/>
                <w:color w:val="FFFFFF"/>
                <w:sz w:val="24"/>
              </w:rPr>
              <w:t>Basic</w:t>
            </w:r>
            <w:r>
              <w:rPr>
                <w:rFonts w:ascii="Verdana"/>
                <w:color w:val="FFFFFF"/>
                <w:spacing w:val="-13"/>
                <w:sz w:val="24"/>
              </w:rPr>
              <w:t> </w:t>
            </w:r>
            <w:r>
              <w:rPr>
                <w:rFonts w:ascii="Verdana"/>
                <w:color w:val="FFFFFF"/>
                <w:sz w:val="24"/>
              </w:rPr>
              <w:t>Touches</w:t>
            </w:r>
            <w:r>
              <w:rPr>
                <w:rFonts w:ascii="Verdana"/>
                <w:color w:val="FFFFFF"/>
                <w:spacing w:val="-12"/>
                <w:sz w:val="24"/>
              </w:rPr>
              <w:t> </w:t>
            </w:r>
            <w:r>
              <w:rPr>
                <w:rFonts w:ascii="Verdana"/>
                <w:color w:val="FFFFFF"/>
                <w:sz w:val="24"/>
              </w:rPr>
              <w:t>at</w:t>
            </w:r>
            <w:r>
              <w:rPr>
                <w:rFonts w:ascii="Verdana"/>
                <w:color w:val="FFFFFF"/>
                <w:spacing w:val="-13"/>
                <w:sz w:val="24"/>
              </w:rPr>
              <w:t> </w:t>
            </w:r>
            <w:r>
              <w:rPr>
                <w:rFonts w:ascii="Verdana"/>
                <w:color w:val="FFFFFF"/>
                <w:spacing w:val="-2"/>
                <w:sz w:val="24"/>
              </w:rPr>
              <w:t>Pivots</w:t>
            </w:r>
          </w:p>
        </w:tc>
      </w:tr>
      <w:tr>
        <w:trPr>
          <w:trHeight w:val="340" w:hRule="atLeast"/>
        </w:trPr>
        <w:tc>
          <w:tcPr>
            <w:tcW w:w="1172" w:type="dxa"/>
            <w:tcBorders>
              <w:bottom w:val="nil"/>
            </w:tcBorders>
            <w:shd w:val="clear" w:color="auto" w:fill="000000"/>
          </w:tcPr>
          <w:p>
            <w:pPr>
              <w:pStyle w:val="TableParagraph"/>
              <w:spacing w:before="36"/>
              <w:ind w:left="426" w:right="408"/>
              <w:jc w:val="center"/>
              <w:rPr>
                <w:rFonts w:ascii="Verdana"/>
                <w:sz w:val="22"/>
              </w:rPr>
            </w:pPr>
            <w:r>
              <w:rPr>
                <w:rFonts w:ascii="Verdana"/>
                <w:color w:val="FFFFFF"/>
                <w:spacing w:val="-5"/>
                <w:sz w:val="22"/>
              </w:rPr>
              <w:t>CP</w:t>
            </w:r>
          </w:p>
        </w:tc>
        <w:tc>
          <w:tcPr>
            <w:tcW w:w="1168" w:type="dxa"/>
            <w:tcBorders>
              <w:bottom w:val="nil"/>
            </w:tcBorders>
            <w:shd w:val="clear" w:color="auto" w:fill="000000"/>
          </w:tcPr>
          <w:p>
            <w:pPr>
              <w:pStyle w:val="TableParagraph"/>
              <w:spacing w:before="36"/>
              <w:ind w:left="438" w:right="417"/>
              <w:jc w:val="center"/>
              <w:rPr>
                <w:rFonts w:ascii="Verdana"/>
                <w:sz w:val="22"/>
              </w:rPr>
            </w:pPr>
            <w:r>
              <w:rPr>
                <w:rFonts w:ascii="Verdana"/>
                <w:color w:val="FFFFFF"/>
                <w:spacing w:val="-5"/>
                <w:sz w:val="22"/>
              </w:rPr>
              <w:t>L1</w:t>
            </w:r>
          </w:p>
        </w:tc>
        <w:tc>
          <w:tcPr>
            <w:tcW w:w="1259" w:type="dxa"/>
            <w:tcBorders>
              <w:bottom w:val="nil"/>
            </w:tcBorders>
            <w:shd w:val="clear" w:color="auto" w:fill="000000"/>
          </w:tcPr>
          <w:p>
            <w:pPr>
              <w:pStyle w:val="TableParagraph"/>
              <w:spacing w:before="36"/>
              <w:ind w:left="484" w:right="462"/>
              <w:jc w:val="center"/>
              <w:rPr>
                <w:rFonts w:ascii="Verdana"/>
                <w:sz w:val="22"/>
              </w:rPr>
            </w:pPr>
            <w:r>
              <w:rPr>
                <w:rFonts w:ascii="Verdana"/>
                <w:color w:val="FFFFFF"/>
                <w:spacing w:val="-5"/>
                <w:sz w:val="22"/>
              </w:rPr>
              <w:t>L2</w:t>
            </w:r>
          </w:p>
        </w:tc>
        <w:tc>
          <w:tcPr>
            <w:tcW w:w="1259" w:type="dxa"/>
            <w:tcBorders>
              <w:bottom w:val="nil"/>
            </w:tcBorders>
            <w:shd w:val="clear" w:color="auto" w:fill="000000"/>
          </w:tcPr>
          <w:p>
            <w:pPr>
              <w:pStyle w:val="TableParagraph"/>
              <w:spacing w:before="36"/>
              <w:ind w:left="484" w:right="462"/>
              <w:jc w:val="center"/>
              <w:rPr>
                <w:rFonts w:ascii="Verdana"/>
                <w:sz w:val="22"/>
              </w:rPr>
            </w:pPr>
            <w:r>
              <w:rPr>
                <w:rFonts w:ascii="Verdana"/>
                <w:color w:val="FFFFFF"/>
                <w:spacing w:val="-5"/>
                <w:sz w:val="22"/>
              </w:rPr>
              <w:t>L3</w:t>
            </w:r>
          </w:p>
        </w:tc>
        <w:tc>
          <w:tcPr>
            <w:tcW w:w="1229" w:type="dxa"/>
            <w:tcBorders>
              <w:bottom w:val="nil"/>
            </w:tcBorders>
            <w:shd w:val="clear" w:color="auto" w:fill="000000"/>
          </w:tcPr>
          <w:p>
            <w:pPr>
              <w:pStyle w:val="TableParagraph"/>
              <w:spacing w:before="36"/>
              <w:ind w:left="470" w:right="445"/>
              <w:jc w:val="center"/>
              <w:rPr>
                <w:rFonts w:ascii="Verdana"/>
                <w:sz w:val="22"/>
              </w:rPr>
            </w:pPr>
            <w:r>
              <w:rPr>
                <w:rFonts w:ascii="Verdana"/>
                <w:color w:val="FFFFFF"/>
                <w:spacing w:val="-5"/>
                <w:sz w:val="22"/>
              </w:rPr>
              <w:t>L4</w:t>
            </w:r>
          </w:p>
        </w:tc>
      </w:tr>
    </w:tbl>
    <w:p>
      <w:pPr>
        <w:tabs>
          <w:tab w:pos="1030" w:val="left" w:leader="none"/>
          <w:tab w:pos="2155" w:val="left" w:leader="none"/>
          <w:tab w:pos="3414" w:val="left" w:leader="none"/>
          <w:tab w:pos="4750" w:val="left" w:leader="none"/>
        </w:tabs>
        <w:spacing w:before="41"/>
        <w:ind w:left="0" w:right="245" w:firstLine="0"/>
        <w:jc w:val="center"/>
        <w:rPr>
          <w:rFonts w:ascii="Tahoma"/>
          <w:sz w:val="20"/>
        </w:rPr>
      </w:pPr>
      <w:r>
        <w:rPr/>
        <w:pict>
          <v:group style="position:absolute;margin-left:54.240002pt;margin-top:16.194855pt;width:305.55pt;height:18.5pt;mso-position-horizontal-relative:page;mso-position-vertical-relative:paragraph;z-index:-15553024;mso-wrap-distance-left:0;mso-wrap-distance-right:0" id="docshapegroup1031" coordorigin="1085,324" coordsize="6111,370">
            <v:rect style="position:absolute;left:1104;top:344;width:6072;height:340" id="docshape1032" filled="true" fillcolor="#000000" stroked="false">
              <v:fill type="solid"/>
            </v:rect>
            <v:shape style="position:absolute;left:1084;top:323;width:20;height:21" id="docshape1033" coordorigin="1085,324" coordsize="20,21" path="m1104,324l1085,324,1085,343,1085,344,1104,344,1104,343,1104,324xe" filled="true" fillcolor="#3f3f3f" stroked="false">
              <v:path arrowok="t"/>
              <v:fill type="solid"/>
            </v:shape>
            <v:rect style="position:absolute;left:1104;top:343;width:20;height:2" id="docshape1034" filled="true" fillcolor="#000000" stroked="false">
              <v:fill type="solid"/>
            </v:rect>
            <v:rect style="position:absolute;left:1104;top:323;width:1163;height:20" id="docshape1035" filled="true" fillcolor="#3f3f3f" stroked="false">
              <v:fill type="solid"/>
            </v:rect>
            <v:rect style="position:absolute;left:1123;top:343;width:1163;height:2" id="docshape1036" filled="true" fillcolor="#000000" stroked="false">
              <v:fill type="solid"/>
            </v:rect>
            <v:rect style="position:absolute;left:2266;top:323;width:1169;height:20" id="docshape1037" filled="true" fillcolor="#3f3f3f" stroked="false">
              <v:fill type="solid"/>
            </v:rect>
            <v:rect style="position:absolute;left:2286;top:343;width:1169;height:2" id="docshape1038" filled="true" fillcolor="#000000" stroked="false">
              <v:fill type="solid"/>
            </v:rect>
            <v:rect style="position:absolute;left:3435;top:323;width:1080;height:20" id="docshape1039" filled="true" fillcolor="#3f3f3f" stroked="false">
              <v:fill type="solid"/>
            </v:rect>
            <v:rect style="position:absolute;left:3454;top:343;width:1080;height:2" id="docshape1040" filled="true" fillcolor="#000000" stroked="false">
              <v:fill type="solid"/>
            </v:rect>
            <v:rect style="position:absolute;left:4515;top:323;width:1440;height:20" id="docshape1041" filled="true" fillcolor="#3f3f3f" stroked="false">
              <v:fill type="solid"/>
            </v:rect>
            <v:rect style="position:absolute;left:4534;top:343;width:1440;height:2" id="docshape1042" filled="true" fillcolor="#000000" stroked="false">
              <v:fill type="solid"/>
            </v:rect>
            <v:rect style="position:absolute;left:5955;top:323;width:1221;height:20" id="docshape1043" filled="true" fillcolor="#3f3f3f" stroked="false">
              <v:fill type="solid"/>
            </v:rect>
            <v:rect style="position:absolute;left:5974;top:343;width:1202;height:2" id="docshape1044" filled="true" fillcolor="#000000" stroked="false">
              <v:fill type="solid"/>
            </v:rect>
            <v:shape style="position:absolute;left:1084;top:323;width:6111;height:360" id="docshape1045" coordorigin="1085,324" coordsize="6111,360" path="m1104,344l1085,344,1085,684,1104,684,1104,344xm7195,324l7176,324,7176,324,7176,343,7176,344,7176,684,7195,684,7195,344,7195,343,7195,324,7195,324xe" filled="true" fillcolor="#3f3f3f" stroked="false">
              <v:path arrowok="t"/>
              <v:fill type="solid"/>
            </v:shape>
            <v:rect style="position:absolute;left:1084;top:683;width:6111;height:10" id="docshape1046" filled="true" fillcolor="#000000" stroked="false">
              <v:fill type="solid"/>
            </v:rect>
            <v:shape style="position:absolute;left:1104;top:343;width:6072;height:341" type="#_x0000_t202" id="docshape1047" filled="false" stroked="false">
              <v:textbox inset="0,0,0,0">
                <w:txbxContent>
                  <w:p>
                    <w:pPr>
                      <w:spacing w:before="25"/>
                      <w:ind w:left="1780" w:right="0" w:firstLine="0"/>
                      <w:jc w:val="left"/>
                      <w:rPr>
                        <w:rFonts w:ascii="Verdana"/>
                        <w:sz w:val="24"/>
                      </w:rPr>
                    </w:pPr>
                    <w:r>
                      <w:rPr>
                        <w:rFonts w:ascii="Verdana"/>
                        <w:color w:val="FFFFFF"/>
                        <w:sz w:val="24"/>
                      </w:rPr>
                      <w:t>Original</w:t>
                    </w:r>
                    <w:r>
                      <w:rPr>
                        <w:rFonts w:ascii="Verdana"/>
                        <w:color w:val="FFFFFF"/>
                        <w:spacing w:val="4"/>
                        <w:sz w:val="24"/>
                      </w:rPr>
                      <w:t> </w:t>
                    </w:r>
                    <w:r>
                      <w:rPr>
                        <w:rFonts w:ascii="Verdana"/>
                        <w:color w:val="FFFFFF"/>
                        <w:spacing w:val="-2"/>
                        <w:sz w:val="24"/>
                      </w:rPr>
                      <w:t>Percentages</w:t>
                    </w:r>
                  </w:p>
                </w:txbxContent>
              </v:textbox>
              <w10:wrap type="none"/>
            </v:shape>
            <w10:wrap type="topAndBottom"/>
          </v:group>
        </w:pict>
      </w:r>
      <w:r>
        <w:rPr>
          <w:rFonts w:ascii="Tahoma"/>
          <w:spacing w:val="-5"/>
          <w:sz w:val="20"/>
        </w:rPr>
        <w:t>0%</w:t>
      </w:r>
      <w:r>
        <w:rPr>
          <w:rFonts w:ascii="Tahoma"/>
          <w:sz w:val="20"/>
        </w:rPr>
        <w:tab/>
      </w:r>
      <w:r>
        <w:rPr>
          <w:rFonts w:ascii="Tahoma"/>
          <w:spacing w:val="-2"/>
          <w:sz w:val="20"/>
        </w:rPr>
        <w:t>33.9%</w:t>
      </w:r>
      <w:r>
        <w:rPr>
          <w:rFonts w:ascii="Tahoma"/>
          <w:sz w:val="20"/>
        </w:rPr>
        <w:tab/>
      </w:r>
      <w:r>
        <w:rPr>
          <w:rFonts w:ascii="Tahoma"/>
          <w:spacing w:val="-2"/>
          <w:sz w:val="20"/>
        </w:rPr>
        <w:t>61.9%</w:t>
      </w:r>
      <w:r>
        <w:rPr>
          <w:rFonts w:ascii="Tahoma"/>
          <w:sz w:val="20"/>
        </w:rPr>
        <w:tab/>
      </w:r>
      <w:r>
        <w:rPr>
          <w:rFonts w:ascii="Tahoma"/>
          <w:spacing w:val="-2"/>
          <w:sz w:val="20"/>
        </w:rPr>
        <w:t>72.4%</w:t>
      </w:r>
      <w:r>
        <w:rPr>
          <w:rFonts w:ascii="Tahoma"/>
          <w:sz w:val="20"/>
        </w:rPr>
        <w:tab/>
      </w:r>
      <w:r>
        <w:rPr>
          <w:rFonts w:ascii="Tahoma"/>
          <w:spacing w:val="-2"/>
          <w:sz w:val="20"/>
        </w:rPr>
        <w:t>77.8%</w:t>
      </w:r>
    </w:p>
    <w:p>
      <w:pPr>
        <w:tabs>
          <w:tab w:pos="1979" w:val="left" w:leader="none"/>
          <w:tab w:pos="3104" w:val="left" w:leader="none"/>
          <w:tab w:pos="4363" w:val="left" w:leader="none"/>
          <w:tab w:pos="5752" w:val="left" w:leader="none"/>
        </w:tabs>
        <w:spacing w:before="42" w:after="41"/>
        <w:ind w:left="893" w:right="0" w:firstLine="0"/>
        <w:jc w:val="left"/>
        <w:rPr>
          <w:rFonts w:ascii="Tahoma"/>
          <w:sz w:val="20"/>
        </w:rPr>
      </w:pPr>
      <w:r>
        <w:rPr>
          <w:rFonts w:ascii="Tahoma"/>
          <w:spacing w:val="-5"/>
          <w:sz w:val="20"/>
        </w:rPr>
        <w:t>63%</w:t>
      </w:r>
      <w:r>
        <w:rPr>
          <w:rFonts w:ascii="Tahoma"/>
          <w:sz w:val="20"/>
        </w:rPr>
        <w:tab/>
      </w:r>
      <w:r>
        <w:rPr>
          <w:rFonts w:ascii="Tahoma"/>
          <w:spacing w:val="-2"/>
          <w:sz w:val="20"/>
        </w:rPr>
        <w:t>73.3%</w:t>
      </w:r>
      <w:r>
        <w:rPr>
          <w:rFonts w:ascii="Tahoma"/>
          <w:sz w:val="20"/>
        </w:rPr>
        <w:tab/>
      </w:r>
      <w:r>
        <w:rPr>
          <w:rFonts w:ascii="Tahoma"/>
          <w:spacing w:val="-2"/>
          <w:sz w:val="20"/>
        </w:rPr>
        <w:t>38.2%</w:t>
      </w:r>
      <w:r>
        <w:rPr>
          <w:rFonts w:ascii="Tahoma"/>
          <w:sz w:val="20"/>
        </w:rPr>
        <w:tab/>
      </w:r>
      <w:r>
        <w:rPr>
          <w:rFonts w:ascii="Tahoma"/>
          <w:spacing w:val="-2"/>
          <w:sz w:val="20"/>
        </w:rPr>
        <w:t>17.6%</w:t>
      </w:r>
      <w:r>
        <w:rPr>
          <w:rFonts w:ascii="Tahoma"/>
          <w:sz w:val="20"/>
        </w:rPr>
        <w:tab/>
      </w:r>
      <w:r>
        <w:rPr>
          <w:rFonts w:ascii="Tahoma"/>
          <w:spacing w:val="-4"/>
          <w:sz w:val="20"/>
        </w:rPr>
        <w:t>5.5%</w:t>
      </w:r>
    </w:p>
    <w:tbl>
      <w:tblPr>
        <w:tblW w:w="0" w:type="auto"/>
        <w:jc w:val="left"/>
        <w:tblInd w:w="524" w:type="dxa"/>
        <w:tblBorders>
          <w:top w:val="single" w:sz="8" w:space="0" w:color="3F3F3F"/>
          <w:left w:val="single" w:sz="8" w:space="0" w:color="3F3F3F"/>
          <w:bottom w:val="single" w:sz="8" w:space="0" w:color="3F3F3F"/>
          <w:right w:val="single" w:sz="8" w:space="0" w:color="3F3F3F"/>
          <w:insideH w:val="single" w:sz="8" w:space="0" w:color="3F3F3F"/>
          <w:insideV w:val="single" w:sz="8" w:space="0" w:color="3F3F3F"/>
        </w:tblBorders>
        <w:tblLayout w:type="fixed"/>
        <w:tblCellMar>
          <w:top w:w="0" w:type="dxa"/>
          <w:left w:w="0" w:type="dxa"/>
          <w:bottom w:w="0" w:type="dxa"/>
          <w:right w:w="0" w:type="dxa"/>
        </w:tblCellMar>
        <w:tblLook w:val="01E0"/>
      </w:tblPr>
      <w:tblGrid>
        <w:gridCol w:w="1172"/>
        <w:gridCol w:w="1168"/>
        <w:gridCol w:w="1259"/>
        <w:gridCol w:w="1259"/>
        <w:gridCol w:w="1229"/>
      </w:tblGrid>
      <w:tr>
        <w:trPr>
          <w:trHeight w:val="340" w:hRule="atLeast"/>
        </w:trPr>
        <w:tc>
          <w:tcPr>
            <w:tcW w:w="6087" w:type="dxa"/>
            <w:gridSpan w:val="5"/>
            <w:tcBorders>
              <w:top w:val="nil"/>
            </w:tcBorders>
            <w:shd w:val="clear" w:color="auto" w:fill="000000"/>
          </w:tcPr>
          <w:p>
            <w:pPr>
              <w:pStyle w:val="TableParagraph"/>
              <w:spacing w:before="24"/>
              <w:ind w:left="1770"/>
              <w:rPr>
                <w:rFonts w:ascii="Verdana"/>
                <w:sz w:val="24"/>
              </w:rPr>
            </w:pPr>
            <w:r>
              <w:rPr>
                <w:rFonts w:ascii="Verdana"/>
                <w:color w:val="FFFFFF"/>
                <w:sz w:val="24"/>
              </w:rPr>
              <w:t>Closes</w:t>
            </w:r>
            <w:r>
              <w:rPr>
                <w:rFonts w:ascii="Verdana"/>
                <w:color w:val="FFFFFF"/>
                <w:spacing w:val="-18"/>
                <w:sz w:val="24"/>
              </w:rPr>
              <w:t> </w:t>
            </w:r>
            <w:r>
              <w:rPr>
                <w:rFonts w:ascii="Verdana"/>
                <w:color w:val="FFFFFF"/>
                <w:sz w:val="24"/>
              </w:rPr>
              <w:t>Beyond</w:t>
            </w:r>
            <w:r>
              <w:rPr>
                <w:rFonts w:ascii="Verdana"/>
                <w:color w:val="FFFFFF"/>
                <w:spacing w:val="-18"/>
                <w:sz w:val="24"/>
              </w:rPr>
              <w:t> </w:t>
            </w:r>
            <w:r>
              <w:rPr>
                <w:rFonts w:ascii="Verdana"/>
                <w:color w:val="FFFFFF"/>
                <w:spacing w:val="-2"/>
                <w:sz w:val="24"/>
              </w:rPr>
              <w:t>Pivots</w:t>
            </w:r>
          </w:p>
        </w:tc>
      </w:tr>
      <w:tr>
        <w:trPr>
          <w:trHeight w:val="340" w:hRule="atLeast"/>
        </w:trPr>
        <w:tc>
          <w:tcPr>
            <w:tcW w:w="1172" w:type="dxa"/>
            <w:tcBorders>
              <w:bottom w:val="nil"/>
            </w:tcBorders>
            <w:shd w:val="clear" w:color="auto" w:fill="000000"/>
          </w:tcPr>
          <w:p>
            <w:pPr>
              <w:pStyle w:val="TableParagraph"/>
              <w:spacing w:before="35"/>
              <w:ind w:left="426" w:right="408"/>
              <w:jc w:val="center"/>
              <w:rPr>
                <w:rFonts w:ascii="Verdana"/>
                <w:sz w:val="22"/>
              </w:rPr>
            </w:pPr>
            <w:r>
              <w:rPr>
                <w:rFonts w:ascii="Verdana"/>
                <w:color w:val="FFFFFF"/>
                <w:spacing w:val="-5"/>
                <w:sz w:val="22"/>
              </w:rPr>
              <w:t>CP</w:t>
            </w:r>
          </w:p>
        </w:tc>
        <w:tc>
          <w:tcPr>
            <w:tcW w:w="1168" w:type="dxa"/>
            <w:tcBorders>
              <w:bottom w:val="nil"/>
            </w:tcBorders>
            <w:shd w:val="clear" w:color="auto" w:fill="000000"/>
          </w:tcPr>
          <w:p>
            <w:pPr>
              <w:pStyle w:val="TableParagraph"/>
              <w:spacing w:before="35"/>
              <w:ind w:left="438" w:right="417"/>
              <w:jc w:val="center"/>
              <w:rPr>
                <w:rFonts w:ascii="Verdana"/>
                <w:sz w:val="22"/>
              </w:rPr>
            </w:pPr>
            <w:r>
              <w:rPr>
                <w:rFonts w:ascii="Verdana"/>
                <w:color w:val="FFFFFF"/>
                <w:spacing w:val="-5"/>
                <w:sz w:val="22"/>
              </w:rPr>
              <w:t>L1</w:t>
            </w:r>
          </w:p>
        </w:tc>
        <w:tc>
          <w:tcPr>
            <w:tcW w:w="1259" w:type="dxa"/>
            <w:tcBorders>
              <w:bottom w:val="nil"/>
            </w:tcBorders>
            <w:shd w:val="clear" w:color="auto" w:fill="000000"/>
          </w:tcPr>
          <w:p>
            <w:pPr>
              <w:pStyle w:val="TableParagraph"/>
              <w:spacing w:before="35"/>
              <w:ind w:left="484" w:right="462"/>
              <w:jc w:val="center"/>
              <w:rPr>
                <w:rFonts w:ascii="Verdana"/>
                <w:sz w:val="22"/>
              </w:rPr>
            </w:pPr>
            <w:r>
              <w:rPr>
                <w:rFonts w:ascii="Verdana"/>
                <w:color w:val="FFFFFF"/>
                <w:spacing w:val="-5"/>
                <w:sz w:val="22"/>
              </w:rPr>
              <w:t>L2</w:t>
            </w:r>
          </w:p>
        </w:tc>
        <w:tc>
          <w:tcPr>
            <w:tcW w:w="1259" w:type="dxa"/>
            <w:tcBorders>
              <w:bottom w:val="nil"/>
            </w:tcBorders>
            <w:shd w:val="clear" w:color="auto" w:fill="000000"/>
          </w:tcPr>
          <w:p>
            <w:pPr>
              <w:pStyle w:val="TableParagraph"/>
              <w:spacing w:before="35"/>
              <w:ind w:left="484" w:right="462"/>
              <w:jc w:val="center"/>
              <w:rPr>
                <w:rFonts w:ascii="Verdana"/>
                <w:sz w:val="22"/>
              </w:rPr>
            </w:pPr>
            <w:r>
              <w:rPr>
                <w:rFonts w:ascii="Verdana"/>
                <w:color w:val="FFFFFF"/>
                <w:spacing w:val="-5"/>
                <w:sz w:val="22"/>
              </w:rPr>
              <w:t>L3</w:t>
            </w:r>
          </w:p>
        </w:tc>
        <w:tc>
          <w:tcPr>
            <w:tcW w:w="1229" w:type="dxa"/>
            <w:tcBorders>
              <w:bottom w:val="nil"/>
            </w:tcBorders>
            <w:shd w:val="clear" w:color="auto" w:fill="000000"/>
          </w:tcPr>
          <w:p>
            <w:pPr>
              <w:pStyle w:val="TableParagraph"/>
              <w:spacing w:before="35"/>
              <w:ind w:left="470" w:right="445"/>
              <w:jc w:val="center"/>
              <w:rPr>
                <w:rFonts w:ascii="Verdana"/>
                <w:sz w:val="22"/>
              </w:rPr>
            </w:pPr>
            <w:r>
              <w:rPr>
                <w:rFonts w:ascii="Verdana"/>
                <w:color w:val="FFFFFF"/>
                <w:spacing w:val="-5"/>
                <w:sz w:val="22"/>
              </w:rPr>
              <w:t>L4</w:t>
            </w:r>
          </w:p>
        </w:tc>
      </w:tr>
    </w:tbl>
    <w:p>
      <w:pPr>
        <w:tabs>
          <w:tab w:pos="1979" w:val="left" w:leader="none"/>
          <w:tab w:pos="3104" w:val="left" w:leader="none"/>
          <w:tab w:pos="4363" w:val="left" w:leader="none"/>
          <w:tab w:pos="5698" w:val="left" w:leader="none"/>
        </w:tabs>
        <w:spacing w:before="42"/>
        <w:ind w:left="948" w:right="0" w:firstLine="0"/>
        <w:jc w:val="left"/>
        <w:rPr>
          <w:rFonts w:ascii="Tahoma"/>
          <w:sz w:val="20"/>
        </w:rPr>
      </w:pPr>
      <w:r>
        <w:rPr/>
        <w:pict>
          <v:group style="position:absolute;margin-left:54.240002pt;margin-top:16.244877pt;width:305.55pt;height:18.5pt;mso-position-horizontal-relative:page;mso-position-vertical-relative:paragraph;z-index:-15552512;mso-wrap-distance-left:0;mso-wrap-distance-right:0" id="docshapegroup1048" coordorigin="1085,325" coordsize="6111,370">
            <v:rect style="position:absolute;left:1104;top:344;width:6072;height:341" id="docshape1049" filled="true" fillcolor="#000000" stroked="false">
              <v:fill type="solid"/>
            </v:rect>
            <v:shape style="position:absolute;left:1084;top:324;width:20;height:21" id="docshape1050" coordorigin="1085,325" coordsize="20,21" path="m1104,325l1085,325,1085,344,1085,345,1104,345,1104,344,1104,325xe" filled="true" fillcolor="#3f3f3f" stroked="false">
              <v:path arrowok="t"/>
              <v:fill type="solid"/>
            </v:shape>
            <v:rect style="position:absolute;left:1104;top:344;width:20;height:2" id="docshape1051" filled="true" fillcolor="#000000" stroked="false">
              <v:fill type="solid"/>
            </v:rect>
            <v:rect style="position:absolute;left:1104;top:324;width:1163;height:20" id="docshape1052" filled="true" fillcolor="#3f3f3f" stroked="false">
              <v:fill type="solid"/>
            </v:rect>
            <v:rect style="position:absolute;left:1123;top:344;width:1163;height:2" id="docshape1053" filled="true" fillcolor="#000000" stroked="false">
              <v:fill type="solid"/>
            </v:rect>
            <v:rect style="position:absolute;left:2266;top:324;width:1169;height:20" id="docshape1054" filled="true" fillcolor="#3f3f3f" stroked="false">
              <v:fill type="solid"/>
            </v:rect>
            <v:rect style="position:absolute;left:2286;top:344;width:1169;height:2" id="docshape1055" filled="true" fillcolor="#000000" stroked="false">
              <v:fill type="solid"/>
            </v:rect>
            <v:rect style="position:absolute;left:3435;top:324;width:1080;height:20" id="docshape1056" filled="true" fillcolor="#3f3f3f" stroked="false">
              <v:fill type="solid"/>
            </v:rect>
            <v:rect style="position:absolute;left:3454;top:344;width:1080;height:2" id="docshape1057" filled="true" fillcolor="#000000" stroked="false">
              <v:fill type="solid"/>
            </v:rect>
            <v:rect style="position:absolute;left:4515;top:324;width:1440;height:20" id="docshape1058" filled="true" fillcolor="#3f3f3f" stroked="false">
              <v:fill type="solid"/>
            </v:rect>
            <v:rect style="position:absolute;left:4534;top:344;width:1440;height:2" id="docshape1059" filled="true" fillcolor="#000000" stroked="false">
              <v:fill type="solid"/>
            </v:rect>
            <v:rect style="position:absolute;left:5955;top:324;width:1221;height:20" id="docshape1060" filled="true" fillcolor="#3f3f3f" stroked="false">
              <v:fill type="solid"/>
            </v:rect>
            <v:rect style="position:absolute;left:5974;top:344;width:1202;height:2" id="docshape1061" filled="true" fillcolor="#000000" stroked="false">
              <v:fill type="solid"/>
            </v:rect>
            <v:shape style="position:absolute;left:1084;top:324;width:6111;height:360" id="docshape1062" coordorigin="1085,325" coordsize="6111,360" path="m1104,345l1085,345,1085,685,1104,685,1104,345xm7195,325l7176,325,7176,325,7176,344,7176,345,7176,685,7195,685,7195,345,7195,344,7195,325,7195,325xe" filled="true" fillcolor="#3f3f3f" stroked="false">
              <v:path arrowok="t"/>
              <v:fill type="solid"/>
            </v:shape>
            <v:rect style="position:absolute;left:1084;top:684;width:6111;height:10" id="docshape1063" filled="true" fillcolor="#000000" stroked="false">
              <v:fill type="solid"/>
            </v:rect>
            <v:shape style="position:absolute;left:1104;top:344;width:6072;height:341" type="#_x0000_t202" id="docshape1064" filled="false" stroked="false">
              <v:textbox inset="0,0,0,0">
                <w:txbxContent>
                  <w:p>
                    <w:pPr>
                      <w:spacing w:before="24"/>
                      <w:ind w:left="1780" w:right="0" w:firstLine="0"/>
                      <w:jc w:val="left"/>
                      <w:rPr>
                        <w:rFonts w:ascii="Verdana"/>
                        <w:sz w:val="24"/>
                      </w:rPr>
                    </w:pPr>
                    <w:r>
                      <w:rPr>
                        <w:rFonts w:ascii="Verdana"/>
                        <w:color w:val="FFFFFF"/>
                        <w:sz w:val="24"/>
                      </w:rPr>
                      <w:t>Original</w:t>
                    </w:r>
                    <w:r>
                      <w:rPr>
                        <w:rFonts w:ascii="Verdana"/>
                        <w:color w:val="FFFFFF"/>
                        <w:spacing w:val="4"/>
                        <w:sz w:val="24"/>
                      </w:rPr>
                      <w:t> </w:t>
                    </w:r>
                    <w:r>
                      <w:rPr>
                        <w:rFonts w:ascii="Verdana"/>
                        <w:color w:val="FFFFFF"/>
                        <w:spacing w:val="-2"/>
                        <w:sz w:val="24"/>
                      </w:rPr>
                      <w:t>Percentages</w:t>
                    </w:r>
                  </w:p>
                </w:txbxContent>
              </v:textbox>
              <w10:wrap type="none"/>
            </v:shape>
            <w10:wrap type="topAndBottom"/>
          </v:group>
        </w:pict>
      </w:r>
      <w:r>
        <w:rPr>
          <w:rFonts w:ascii="Tahoma"/>
          <w:spacing w:val="-5"/>
          <w:sz w:val="20"/>
        </w:rPr>
        <w:t>0%</w:t>
      </w:r>
      <w:r>
        <w:rPr>
          <w:rFonts w:ascii="Tahoma"/>
          <w:sz w:val="20"/>
        </w:rPr>
        <w:tab/>
      </w:r>
      <w:r>
        <w:rPr>
          <w:rFonts w:ascii="Tahoma"/>
          <w:spacing w:val="-2"/>
          <w:sz w:val="20"/>
        </w:rPr>
        <w:t>41.5%</w:t>
      </w:r>
      <w:r>
        <w:rPr>
          <w:rFonts w:ascii="Tahoma"/>
          <w:sz w:val="20"/>
        </w:rPr>
        <w:tab/>
      </w:r>
      <w:r>
        <w:rPr>
          <w:rFonts w:ascii="Tahoma"/>
          <w:spacing w:val="-2"/>
          <w:sz w:val="20"/>
        </w:rPr>
        <w:t>70.0%</w:t>
      </w:r>
      <w:r>
        <w:rPr>
          <w:rFonts w:ascii="Tahoma"/>
          <w:sz w:val="20"/>
        </w:rPr>
        <w:tab/>
      </w:r>
      <w:r>
        <w:rPr>
          <w:rFonts w:ascii="Tahoma"/>
          <w:spacing w:val="-2"/>
          <w:sz w:val="20"/>
        </w:rPr>
        <w:t>90.9%</w:t>
      </w:r>
      <w:r>
        <w:rPr>
          <w:rFonts w:ascii="Tahoma"/>
          <w:sz w:val="20"/>
        </w:rPr>
        <w:tab/>
      </w:r>
      <w:r>
        <w:rPr>
          <w:rFonts w:ascii="Tahoma"/>
          <w:spacing w:val="-2"/>
          <w:sz w:val="20"/>
        </w:rPr>
        <w:t>80.0%</w:t>
      </w:r>
    </w:p>
    <w:p>
      <w:pPr>
        <w:tabs>
          <w:tab w:pos="1086" w:val="left" w:leader="none"/>
          <w:tab w:pos="2210" w:val="left" w:leader="none"/>
          <w:tab w:pos="3524" w:val="left" w:leader="none"/>
          <w:tab w:pos="4858" w:val="left" w:leader="none"/>
        </w:tabs>
        <w:spacing w:before="41" w:after="42"/>
        <w:ind w:left="0" w:right="356" w:firstLine="0"/>
        <w:jc w:val="center"/>
        <w:rPr>
          <w:rFonts w:ascii="Tahoma"/>
          <w:sz w:val="20"/>
        </w:rPr>
      </w:pPr>
      <w:r>
        <w:rPr>
          <w:rFonts w:ascii="Tahoma"/>
          <w:spacing w:val="-5"/>
          <w:sz w:val="20"/>
        </w:rPr>
        <w:t>63%</w:t>
      </w:r>
      <w:r>
        <w:rPr>
          <w:rFonts w:ascii="Tahoma"/>
          <w:sz w:val="20"/>
        </w:rPr>
        <w:tab/>
      </w:r>
      <w:r>
        <w:rPr>
          <w:rFonts w:ascii="Tahoma"/>
          <w:spacing w:val="-2"/>
          <w:sz w:val="20"/>
        </w:rPr>
        <w:t>24.8%</w:t>
      </w:r>
      <w:r>
        <w:rPr>
          <w:rFonts w:ascii="Tahoma"/>
          <w:sz w:val="20"/>
        </w:rPr>
        <w:tab/>
      </w:r>
      <w:r>
        <w:rPr>
          <w:rFonts w:ascii="Tahoma"/>
          <w:spacing w:val="-2"/>
          <w:sz w:val="20"/>
        </w:rPr>
        <w:t>12.1%</w:t>
      </w:r>
      <w:r>
        <w:rPr>
          <w:rFonts w:ascii="Tahoma"/>
          <w:sz w:val="20"/>
        </w:rPr>
        <w:tab/>
      </w:r>
      <w:r>
        <w:rPr>
          <w:rFonts w:ascii="Tahoma"/>
          <w:spacing w:val="-4"/>
          <w:sz w:val="20"/>
        </w:rPr>
        <w:t>6.7%</w:t>
      </w:r>
      <w:r>
        <w:rPr>
          <w:rFonts w:ascii="Tahoma"/>
          <w:sz w:val="20"/>
        </w:rPr>
        <w:tab/>
      </w:r>
      <w:r>
        <w:rPr>
          <w:rFonts w:ascii="Tahoma"/>
          <w:spacing w:val="-4"/>
          <w:sz w:val="20"/>
        </w:rPr>
        <w:t>3.0%</w:t>
      </w:r>
    </w:p>
    <w:p>
      <w:pPr>
        <w:pStyle w:val="BodyText"/>
        <w:spacing w:line="20" w:lineRule="exact"/>
        <w:ind w:left="500"/>
        <w:rPr>
          <w:rFonts w:ascii="Tahoma"/>
          <w:sz w:val="2"/>
        </w:rPr>
      </w:pPr>
      <w:r>
        <w:rPr>
          <w:rFonts w:ascii="Tahoma"/>
          <w:sz w:val="2"/>
        </w:rPr>
        <w:pict>
          <v:group style="width:305.3pt;height:.5pt;mso-position-horizontal-relative:char;mso-position-vertical-relative:line" id="docshapegroup1065" coordorigin="0,0" coordsize="6106,10">
            <v:rect style="position:absolute;left:0;top:0;width:6106;height:10" id="docshape1066" filled="true" fillcolor="#000000" stroked="false">
              <v:fill type="solid"/>
            </v:rect>
          </v:group>
        </w:pict>
      </w:r>
      <w:r>
        <w:rPr>
          <w:rFonts w:ascii="Tahoma"/>
          <w:sz w:val="2"/>
        </w:rPr>
      </w:r>
    </w:p>
    <w:p>
      <w:pPr>
        <w:pStyle w:val="BodyText"/>
        <w:spacing w:before="7"/>
        <w:rPr>
          <w:rFonts w:ascii="Tahoma"/>
          <w:sz w:val="14"/>
        </w:rPr>
      </w:pPr>
    </w:p>
    <w:p>
      <w:pPr>
        <w:pStyle w:val="BodyText"/>
        <w:spacing w:before="64"/>
        <w:ind w:left="140" w:right="495" w:firstLine="432"/>
        <w:jc w:val="both"/>
      </w:pPr>
      <w:r>
        <w:rPr/>
        <w:t>A full 61.9 percent of touches at L2 occurred on days when the central pivot was not touched, while 72.4 percent and 77.8 percent of touches at L3 and L4, respectively, occurred on these days. Moreover, only 33.9 percent of touches at L1 came on days when the central pivot was not touched. This proves our theory that the market was typically gapping through L1 and trending in the direction of the gap the rest of the day.</w:t>
      </w:r>
    </w:p>
    <w:p>
      <w:pPr>
        <w:spacing w:after="0"/>
        <w:jc w:val="both"/>
        <w:sectPr>
          <w:pgSz w:w="8640" w:h="12960"/>
          <w:pgMar w:header="579" w:footer="1060" w:top="760" w:bottom="1260" w:left="580" w:right="580"/>
        </w:sectPr>
      </w:pPr>
    </w:p>
    <w:p>
      <w:pPr>
        <w:pStyle w:val="BodyText"/>
        <w:spacing w:before="3"/>
      </w:pPr>
    </w:p>
    <w:p>
      <w:pPr>
        <w:pStyle w:val="BodyText"/>
        <w:spacing w:before="64"/>
        <w:ind w:left="500" w:right="137" w:firstLine="432"/>
        <w:jc w:val="both"/>
      </w:pPr>
      <w:r>
        <w:rPr/>
        <w:t>Most impressive, however, are the closures figures. A hefty 70 percent of closures that occurred beyond L2 (but within L3) occurred when the central pivot was not tested. That figure increases to 90.9 percent and 80 percent</w:t>
      </w:r>
      <w:r>
        <w:rPr>
          <w:spacing w:val="-2"/>
        </w:rPr>
        <w:t> </w:t>
      </w:r>
      <w:r>
        <w:rPr/>
        <w:t>when</w:t>
      </w:r>
      <w:r>
        <w:rPr>
          <w:spacing w:val="-2"/>
        </w:rPr>
        <w:t> </w:t>
      </w:r>
      <w:r>
        <w:rPr/>
        <w:t>calculating</w:t>
      </w:r>
      <w:r>
        <w:rPr>
          <w:spacing w:val="-2"/>
        </w:rPr>
        <w:t> </w:t>
      </w:r>
      <w:r>
        <w:rPr/>
        <w:t>closures</w:t>
      </w:r>
      <w:r>
        <w:rPr>
          <w:spacing w:val="-2"/>
        </w:rPr>
        <w:t> </w:t>
      </w:r>
      <w:r>
        <w:rPr/>
        <w:t>beyond</w:t>
      </w:r>
      <w:r>
        <w:rPr>
          <w:spacing w:val="-2"/>
        </w:rPr>
        <w:t> </w:t>
      </w:r>
      <w:r>
        <w:rPr/>
        <w:t>L3</w:t>
      </w:r>
      <w:r>
        <w:rPr>
          <w:spacing w:val="-2"/>
        </w:rPr>
        <w:t> </w:t>
      </w:r>
      <w:r>
        <w:rPr/>
        <w:t>and</w:t>
      </w:r>
      <w:r>
        <w:rPr>
          <w:spacing w:val="-2"/>
        </w:rPr>
        <w:t> </w:t>
      </w:r>
      <w:r>
        <w:rPr/>
        <w:t>L4.</w:t>
      </w:r>
      <w:r>
        <w:rPr>
          <w:spacing w:val="-3"/>
        </w:rPr>
        <w:t> </w:t>
      </w:r>
      <w:r>
        <w:rPr/>
        <w:t>Given</w:t>
      </w:r>
      <w:r>
        <w:rPr>
          <w:spacing w:val="-2"/>
        </w:rPr>
        <w:t> </w:t>
      </w:r>
      <w:r>
        <w:rPr/>
        <w:t>this</w:t>
      </w:r>
      <w:r>
        <w:rPr>
          <w:spacing w:val="-2"/>
        </w:rPr>
        <w:t> </w:t>
      </w:r>
      <w:r>
        <w:rPr/>
        <w:t>information, we</w:t>
      </w:r>
      <w:r>
        <w:rPr>
          <w:spacing w:val="17"/>
        </w:rPr>
        <w:t> </w:t>
      </w:r>
      <w:r>
        <w:rPr/>
        <w:t>know</w:t>
      </w:r>
      <w:r>
        <w:rPr>
          <w:spacing w:val="17"/>
        </w:rPr>
        <w:t> </w:t>
      </w:r>
      <w:r>
        <w:rPr/>
        <w:t>that</w:t>
      </w:r>
      <w:r>
        <w:rPr>
          <w:spacing w:val="16"/>
        </w:rPr>
        <w:t> </w:t>
      </w:r>
      <w:r>
        <w:rPr/>
        <w:t>when</w:t>
      </w:r>
      <w:r>
        <w:rPr>
          <w:spacing w:val="17"/>
        </w:rPr>
        <w:t> </w:t>
      </w:r>
      <w:r>
        <w:rPr/>
        <w:t>the</w:t>
      </w:r>
      <w:r>
        <w:rPr>
          <w:spacing w:val="17"/>
        </w:rPr>
        <w:t> </w:t>
      </w:r>
      <w:r>
        <w:rPr/>
        <w:t>central</w:t>
      </w:r>
      <w:r>
        <w:rPr>
          <w:spacing w:val="17"/>
        </w:rPr>
        <w:t> </w:t>
      </w:r>
      <w:r>
        <w:rPr/>
        <w:t>pivot</w:t>
      </w:r>
      <w:r>
        <w:rPr>
          <w:spacing w:val="17"/>
        </w:rPr>
        <w:t> </w:t>
      </w:r>
      <w:r>
        <w:rPr/>
        <w:t>is</w:t>
      </w:r>
      <w:r>
        <w:rPr>
          <w:spacing w:val="16"/>
        </w:rPr>
        <w:t> </w:t>
      </w:r>
      <w:r>
        <w:rPr/>
        <w:t>not</w:t>
      </w:r>
      <w:r>
        <w:rPr>
          <w:spacing w:val="17"/>
        </w:rPr>
        <w:t> </w:t>
      </w:r>
      <w:r>
        <w:rPr/>
        <w:t>tested</w:t>
      </w:r>
      <w:r>
        <w:rPr>
          <w:spacing w:val="18"/>
        </w:rPr>
        <w:t> </w:t>
      </w:r>
      <w:r>
        <w:rPr/>
        <w:t>during</w:t>
      </w:r>
      <w:r>
        <w:rPr>
          <w:spacing w:val="17"/>
        </w:rPr>
        <w:t> </w:t>
      </w:r>
      <w:r>
        <w:rPr/>
        <w:t>the</w:t>
      </w:r>
      <w:r>
        <w:rPr>
          <w:spacing w:val="16"/>
        </w:rPr>
        <w:t> </w:t>
      </w:r>
      <w:r>
        <w:rPr/>
        <w:t>day,</w:t>
      </w:r>
      <w:r>
        <w:rPr>
          <w:spacing w:val="16"/>
        </w:rPr>
        <w:t> </w:t>
      </w:r>
      <w:r>
        <w:rPr/>
        <w:t>there</w:t>
      </w:r>
      <w:r>
        <w:rPr>
          <w:spacing w:val="17"/>
        </w:rPr>
        <w:t> </w:t>
      </w:r>
      <w:r>
        <w:rPr/>
        <w:t>is</w:t>
      </w:r>
      <w:r>
        <w:rPr>
          <w:spacing w:val="17"/>
        </w:rPr>
        <w:t> </w:t>
      </w:r>
      <w:r>
        <w:rPr>
          <w:spacing w:val="-10"/>
        </w:rPr>
        <w:t>a</w:t>
      </w:r>
    </w:p>
    <w:p>
      <w:pPr>
        <w:pStyle w:val="BodyText"/>
        <w:ind w:left="500" w:right="135"/>
        <w:jc w:val="both"/>
      </w:pPr>
      <w:r>
        <w:rPr/>
        <w:t>73.8 percent chance that the market will close beyond the first layer of the indicator, S1 or R1. Compare that whopping percentage to the original 46.6 percent. This means that on days when the market zooms through the first layer of pivots, with total disregard for the central pivot, three out of four days will result in a close beyond S1 or R1. This is a significant advantage.</w:t>
      </w:r>
    </w:p>
    <w:p>
      <w:pPr>
        <w:pStyle w:val="BodyText"/>
      </w:pPr>
    </w:p>
    <w:p>
      <w:pPr>
        <w:pStyle w:val="BodyText"/>
        <w:ind w:left="500"/>
      </w:pPr>
      <w:r>
        <w:rPr/>
        <w:t>The</w:t>
      </w:r>
      <w:r>
        <w:rPr>
          <w:spacing w:val="-5"/>
        </w:rPr>
        <w:t> </w:t>
      </w:r>
      <w:r>
        <w:rPr/>
        <w:t>Abbreviated</w:t>
      </w:r>
      <w:r>
        <w:rPr>
          <w:spacing w:val="-5"/>
        </w:rPr>
        <w:t> </w:t>
      </w:r>
      <w:r>
        <w:rPr>
          <w:spacing w:val="-2"/>
        </w:rPr>
        <w:t>Version:</w:t>
      </w:r>
    </w:p>
    <w:p>
      <w:pPr>
        <w:pStyle w:val="BodyText"/>
      </w:pPr>
    </w:p>
    <w:p>
      <w:pPr>
        <w:pStyle w:val="ListParagraph"/>
        <w:numPr>
          <w:ilvl w:val="0"/>
          <w:numId w:val="5"/>
        </w:numPr>
        <w:tabs>
          <w:tab w:pos="860" w:val="left" w:leader="none"/>
        </w:tabs>
        <w:spacing w:line="240" w:lineRule="auto" w:before="0" w:after="0"/>
        <w:ind w:left="859" w:right="142" w:hanging="360"/>
        <w:jc w:val="both"/>
        <w:rPr>
          <w:sz w:val="22"/>
        </w:rPr>
      </w:pPr>
      <w:r>
        <w:rPr>
          <w:sz w:val="22"/>
        </w:rPr>
        <w:t>This</w:t>
      </w:r>
      <w:r>
        <w:rPr>
          <w:spacing w:val="-1"/>
          <w:sz w:val="22"/>
        </w:rPr>
        <w:t> </w:t>
      </w:r>
      <w:r>
        <w:rPr>
          <w:sz w:val="22"/>
        </w:rPr>
        <w:t>study</w:t>
      </w:r>
      <w:r>
        <w:rPr>
          <w:spacing w:val="-1"/>
          <w:sz w:val="22"/>
        </w:rPr>
        <w:t> </w:t>
      </w:r>
      <w:r>
        <w:rPr>
          <w:sz w:val="22"/>
        </w:rPr>
        <w:t>was</w:t>
      </w:r>
      <w:r>
        <w:rPr>
          <w:spacing w:val="-1"/>
          <w:sz w:val="22"/>
        </w:rPr>
        <w:t> </w:t>
      </w:r>
      <w:r>
        <w:rPr>
          <w:sz w:val="22"/>
        </w:rPr>
        <w:t>conducted</w:t>
      </w:r>
      <w:r>
        <w:rPr>
          <w:spacing w:val="-1"/>
          <w:sz w:val="22"/>
        </w:rPr>
        <w:t> </w:t>
      </w:r>
      <w:r>
        <w:rPr>
          <w:sz w:val="22"/>
        </w:rPr>
        <w:t>on</w:t>
      </w:r>
      <w:r>
        <w:rPr>
          <w:spacing w:val="-1"/>
          <w:sz w:val="22"/>
        </w:rPr>
        <w:t> </w:t>
      </w:r>
      <w:r>
        <w:rPr>
          <w:sz w:val="22"/>
        </w:rPr>
        <w:t>intraday</w:t>
      </w:r>
      <w:r>
        <w:rPr>
          <w:spacing w:val="-1"/>
          <w:sz w:val="22"/>
        </w:rPr>
        <w:t> </w:t>
      </w:r>
      <w:r>
        <w:rPr>
          <w:sz w:val="22"/>
        </w:rPr>
        <w:t>data</w:t>
      </w:r>
      <w:r>
        <w:rPr>
          <w:spacing w:val="-1"/>
          <w:sz w:val="22"/>
        </w:rPr>
        <w:t> </w:t>
      </w:r>
      <w:r>
        <w:rPr>
          <w:sz w:val="22"/>
        </w:rPr>
        <w:t>ranging</w:t>
      </w:r>
      <w:r>
        <w:rPr>
          <w:spacing w:val="-1"/>
          <w:sz w:val="22"/>
        </w:rPr>
        <w:t> </w:t>
      </w:r>
      <w:r>
        <w:rPr>
          <w:sz w:val="22"/>
        </w:rPr>
        <w:t>from November</w:t>
      </w:r>
      <w:r>
        <w:rPr>
          <w:spacing w:val="-1"/>
          <w:sz w:val="22"/>
        </w:rPr>
        <w:t> </w:t>
      </w:r>
      <w:r>
        <w:rPr>
          <w:sz w:val="22"/>
        </w:rPr>
        <w:t>2008 through June 2009 on the Mini-Sized Dow futures contract.</w:t>
      </w:r>
    </w:p>
    <w:p>
      <w:pPr>
        <w:pStyle w:val="ListParagraph"/>
        <w:numPr>
          <w:ilvl w:val="0"/>
          <w:numId w:val="5"/>
        </w:numPr>
        <w:tabs>
          <w:tab w:pos="860" w:val="left" w:leader="none"/>
        </w:tabs>
        <w:spacing w:line="240" w:lineRule="auto" w:before="0" w:after="0"/>
        <w:ind w:left="859" w:right="136" w:hanging="360"/>
        <w:jc w:val="both"/>
        <w:rPr>
          <w:sz w:val="22"/>
        </w:rPr>
      </w:pPr>
      <w:r>
        <w:rPr>
          <w:sz w:val="22"/>
        </w:rPr>
        <w:t>The central pivot is reached 63 percent of the time at some point during the day.</w:t>
      </w:r>
    </w:p>
    <w:p>
      <w:pPr>
        <w:pStyle w:val="ListParagraph"/>
        <w:numPr>
          <w:ilvl w:val="0"/>
          <w:numId w:val="5"/>
        </w:numPr>
        <w:tabs>
          <w:tab w:pos="860" w:val="left" w:leader="none"/>
        </w:tabs>
        <w:spacing w:line="240" w:lineRule="auto" w:before="0" w:after="0"/>
        <w:ind w:left="859" w:right="136" w:hanging="360"/>
        <w:jc w:val="both"/>
        <w:rPr>
          <w:sz w:val="22"/>
        </w:rPr>
      </w:pPr>
      <w:r>
        <w:rPr>
          <w:sz w:val="22"/>
        </w:rPr>
        <w:t>L1 was reached 73.3 percent of the time, as traders want to test the first level of support or resistance on most days. Setting profit targets at this layer is prudent on most sessions.</w:t>
      </w:r>
    </w:p>
    <w:p>
      <w:pPr>
        <w:pStyle w:val="ListParagraph"/>
        <w:numPr>
          <w:ilvl w:val="0"/>
          <w:numId w:val="5"/>
        </w:numPr>
        <w:tabs>
          <w:tab w:pos="860" w:val="left" w:leader="none"/>
        </w:tabs>
        <w:spacing w:line="240" w:lineRule="auto" w:before="0" w:after="0"/>
        <w:ind w:left="859" w:right="138" w:hanging="360"/>
        <w:jc w:val="both"/>
        <w:rPr>
          <w:sz w:val="22"/>
        </w:rPr>
      </w:pPr>
      <w:r>
        <w:rPr>
          <w:sz w:val="22"/>
        </w:rPr>
        <w:t>Fifty-three percent of the time the market will open </w:t>
      </w:r>
      <w:r>
        <w:rPr>
          <w:i/>
          <w:sz w:val="22"/>
        </w:rPr>
        <w:t>above </w:t>
      </w:r>
      <w:r>
        <w:rPr>
          <w:sz w:val="22"/>
        </w:rPr>
        <w:t>the central pivot and close above it; 48.8 percent of the time the market open </w:t>
      </w:r>
      <w:r>
        <w:rPr>
          <w:i/>
          <w:sz w:val="22"/>
        </w:rPr>
        <w:t>below</w:t>
      </w:r>
      <w:r>
        <w:rPr>
          <w:i/>
          <w:sz w:val="22"/>
        </w:rPr>
        <w:t> </w:t>
      </w:r>
      <w:r>
        <w:rPr>
          <w:sz w:val="22"/>
        </w:rPr>
        <w:t>the central pivot and close below it.</w:t>
      </w:r>
    </w:p>
    <w:p>
      <w:pPr>
        <w:pStyle w:val="ListParagraph"/>
        <w:numPr>
          <w:ilvl w:val="0"/>
          <w:numId w:val="5"/>
        </w:numPr>
        <w:tabs>
          <w:tab w:pos="860" w:val="left" w:leader="none"/>
        </w:tabs>
        <w:spacing w:line="240" w:lineRule="auto" w:before="0" w:after="0"/>
        <w:ind w:left="859" w:right="136" w:hanging="360"/>
        <w:jc w:val="both"/>
        <w:rPr>
          <w:sz w:val="22"/>
        </w:rPr>
      </w:pPr>
      <w:r>
        <w:rPr>
          <w:sz w:val="22"/>
        </w:rPr>
        <w:t>Price</w:t>
      </w:r>
      <w:r>
        <w:rPr>
          <w:spacing w:val="-1"/>
          <w:sz w:val="22"/>
        </w:rPr>
        <w:t> </w:t>
      </w:r>
      <w:r>
        <w:rPr>
          <w:sz w:val="22"/>
        </w:rPr>
        <w:t>closed within</w:t>
      </w:r>
      <w:r>
        <w:rPr>
          <w:spacing w:val="-1"/>
          <w:sz w:val="22"/>
        </w:rPr>
        <w:t> </w:t>
      </w:r>
      <w:r>
        <w:rPr>
          <w:sz w:val="22"/>
        </w:rPr>
        <w:t>R1</w:t>
      </w:r>
      <w:r>
        <w:rPr>
          <w:spacing w:val="-1"/>
          <w:sz w:val="22"/>
        </w:rPr>
        <w:t> </w:t>
      </w:r>
      <w:r>
        <w:rPr>
          <w:sz w:val="22"/>
        </w:rPr>
        <w:t>and</w:t>
      </w:r>
      <w:r>
        <w:rPr>
          <w:spacing w:val="-1"/>
          <w:sz w:val="22"/>
        </w:rPr>
        <w:t> </w:t>
      </w:r>
      <w:r>
        <w:rPr>
          <w:sz w:val="22"/>
        </w:rPr>
        <w:t>S1</w:t>
      </w:r>
      <w:r>
        <w:rPr>
          <w:spacing w:val="-1"/>
          <w:sz w:val="22"/>
        </w:rPr>
        <w:t> </w:t>
      </w:r>
      <w:r>
        <w:rPr>
          <w:sz w:val="22"/>
        </w:rPr>
        <w:t>53.4</w:t>
      </w:r>
      <w:r>
        <w:rPr>
          <w:spacing w:val="-2"/>
          <w:sz w:val="22"/>
        </w:rPr>
        <w:t> </w:t>
      </w:r>
      <w:r>
        <w:rPr>
          <w:sz w:val="22"/>
        </w:rPr>
        <w:t>percent</w:t>
      </w:r>
      <w:r>
        <w:rPr>
          <w:spacing w:val="-1"/>
          <w:sz w:val="22"/>
        </w:rPr>
        <w:t> </w:t>
      </w:r>
      <w:r>
        <w:rPr>
          <w:sz w:val="22"/>
        </w:rPr>
        <w:t>of</w:t>
      </w:r>
      <w:r>
        <w:rPr>
          <w:spacing w:val="-1"/>
          <w:sz w:val="22"/>
        </w:rPr>
        <w:t> </w:t>
      </w:r>
      <w:r>
        <w:rPr>
          <w:sz w:val="22"/>
        </w:rPr>
        <w:t>the</w:t>
      </w:r>
      <w:r>
        <w:rPr>
          <w:spacing w:val="-1"/>
          <w:sz w:val="22"/>
        </w:rPr>
        <w:t> </w:t>
      </w:r>
      <w:r>
        <w:rPr>
          <w:sz w:val="22"/>
        </w:rPr>
        <w:t>time;</w:t>
      </w:r>
      <w:r>
        <w:rPr>
          <w:spacing w:val="-1"/>
          <w:sz w:val="22"/>
        </w:rPr>
        <w:t> </w:t>
      </w:r>
      <w:r>
        <w:rPr>
          <w:sz w:val="22"/>
        </w:rPr>
        <w:t>only</w:t>
      </w:r>
      <w:r>
        <w:rPr>
          <w:spacing w:val="-1"/>
          <w:sz w:val="22"/>
        </w:rPr>
        <w:t> </w:t>
      </w:r>
      <w:r>
        <w:rPr>
          <w:sz w:val="22"/>
        </w:rPr>
        <w:t>46.6</w:t>
      </w:r>
      <w:r>
        <w:rPr>
          <w:spacing w:val="-3"/>
          <w:sz w:val="22"/>
        </w:rPr>
        <w:t> </w:t>
      </w:r>
      <w:r>
        <w:rPr>
          <w:sz w:val="22"/>
        </w:rPr>
        <w:t>percent of the time will it close outside this range.</w:t>
      </w:r>
    </w:p>
    <w:p>
      <w:pPr>
        <w:pStyle w:val="ListParagraph"/>
        <w:numPr>
          <w:ilvl w:val="0"/>
          <w:numId w:val="5"/>
        </w:numPr>
        <w:tabs>
          <w:tab w:pos="860" w:val="left" w:leader="none"/>
        </w:tabs>
        <w:spacing w:line="240" w:lineRule="auto" w:before="0" w:after="0"/>
        <w:ind w:left="859" w:right="137" w:hanging="360"/>
        <w:jc w:val="both"/>
        <w:rPr>
          <w:sz w:val="22"/>
        </w:rPr>
      </w:pPr>
      <w:r>
        <w:rPr>
          <w:sz w:val="22"/>
        </w:rPr>
        <w:t>Of the times that price actually closed </w:t>
      </w:r>
      <w:r>
        <w:rPr>
          <w:i/>
          <w:sz w:val="22"/>
        </w:rPr>
        <w:t>outside </w:t>
      </w:r>
      <w:r>
        <w:rPr>
          <w:sz w:val="22"/>
        </w:rPr>
        <w:t>R1 and S2, 79.2 percent of these cases closed below R3 and above S3.</w:t>
      </w:r>
    </w:p>
    <w:p>
      <w:pPr>
        <w:pStyle w:val="ListParagraph"/>
        <w:numPr>
          <w:ilvl w:val="0"/>
          <w:numId w:val="5"/>
        </w:numPr>
        <w:tabs>
          <w:tab w:pos="860" w:val="left" w:leader="none"/>
        </w:tabs>
        <w:spacing w:line="240" w:lineRule="auto" w:before="0" w:after="0"/>
        <w:ind w:left="859" w:right="138" w:hanging="360"/>
        <w:jc w:val="both"/>
        <w:rPr>
          <w:sz w:val="22"/>
        </w:rPr>
      </w:pPr>
      <w:r>
        <w:rPr>
          <w:sz w:val="22"/>
        </w:rPr>
        <w:t>Once a pivot is reached, the chances of reaching the next pivot significantly reduces by half.</w:t>
      </w:r>
    </w:p>
    <w:p>
      <w:pPr>
        <w:pStyle w:val="ListParagraph"/>
        <w:numPr>
          <w:ilvl w:val="0"/>
          <w:numId w:val="5"/>
        </w:numPr>
        <w:tabs>
          <w:tab w:pos="860" w:val="left" w:leader="none"/>
        </w:tabs>
        <w:spacing w:line="240" w:lineRule="auto" w:before="0" w:after="0"/>
        <w:ind w:left="859" w:right="138" w:hanging="360"/>
        <w:jc w:val="both"/>
        <w:rPr>
          <w:sz w:val="22"/>
        </w:rPr>
      </w:pPr>
      <w:r>
        <w:rPr>
          <w:sz w:val="22"/>
        </w:rPr>
        <w:t>You usually see trending movement beyond L2 on the days when the central pivot point is not touched.</w:t>
      </w:r>
    </w:p>
    <w:p>
      <w:pPr>
        <w:pStyle w:val="ListParagraph"/>
        <w:numPr>
          <w:ilvl w:val="0"/>
          <w:numId w:val="5"/>
        </w:numPr>
        <w:tabs>
          <w:tab w:pos="860" w:val="left" w:leader="none"/>
        </w:tabs>
        <w:spacing w:line="240" w:lineRule="auto" w:before="0" w:after="0"/>
        <w:ind w:left="859" w:right="135" w:hanging="360"/>
        <w:jc w:val="both"/>
        <w:rPr>
          <w:sz w:val="22"/>
        </w:rPr>
      </w:pPr>
      <w:r>
        <w:rPr>
          <w:sz w:val="22"/>
        </w:rPr>
        <w:t>When the central pivot is not touched, the instances of touches beyond</w:t>
      </w:r>
      <w:r>
        <w:rPr>
          <w:spacing w:val="40"/>
          <w:sz w:val="22"/>
        </w:rPr>
        <w:t> </w:t>
      </w:r>
      <w:r>
        <w:rPr>
          <w:sz w:val="22"/>
        </w:rPr>
        <w:t>L1 increase significantly, doubling in most cases.</w:t>
      </w:r>
    </w:p>
    <w:p>
      <w:pPr>
        <w:pStyle w:val="ListParagraph"/>
        <w:numPr>
          <w:ilvl w:val="0"/>
          <w:numId w:val="5"/>
        </w:numPr>
        <w:tabs>
          <w:tab w:pos="860" w:val="left" w:leader="none"/>
        </w:tabs>
        <w:spacing w:line="240" w:lineRule="auto" w:before="0" w:after="0"/>
        <w:ind w:left="859" w:right="135" w:hanging="361"/>
        <w:jc w:val="both"/>
        <w:rPr>
          <w:sz w:val="22"/>
        </w:rPr>
      </w:pPr>
      <w:r>
        <w:rPr>
          <w:sz w:val="22"/>
        </w:rPr>
        <w:t>When the central pivot is not touched, the instances of closures beyond L1 increase significantly, more than doubling in every case.</w:t>
      </w:r>
    </w:p>
    <w:p>
      <w:pPr>
        <w:pStyle w:val="ListParagraph"/>
        <w:numPr>
          <w:ilvl w:val="0"/>
          <w:numId w:val="5"/>
        </w:numPr>
        <w:tabs>
          <w:tab w:pos="861" w:val="left" w:leader="none"/>
        </w:tabs>
        <w:spacing w:line="240" w:lineRule="auto" w:before="0" w:after="0"/>
        <w:ind w:left="860" w:right="135" w:hanging="361"/>
        <w:jc w:val="both"/>
        <w:rPr>
          <w:sz w:val="22"/>
        </w:rPr>
      </w:pPr>
      <w:r>
        <w:rPr>
          <w:sz w:val="22"/>
        </w:rPr>
        <w:t>When</w:t>
      </w:r>
      <w:r>
        <w:rPr>
          <w:spacing w:val="-1"/>
          <w:sz w:val="22"/>
        </w:rPr>
        <w:t> </w:t>
      </w:r>
      <w:r>
        <w:rPr>
          <w:sz w:val="22"/>
        </w:rPr>
        <w:t>the</w:t>
      </w:r>
      <w:r>
        <w:rPr>
          <w:spacing w:val="-1"/>
          <w:sz w:val="22"/>
        </w:rPr>
        <w:t> </w:t>
      </w:r>
      <w:r>
        <w:rPr>
          <w:sz w:val="22"/>
        </w:rPr>
        <w:t>central</w:t>
      </w:r>
      <w:r>
        <w:rPr>
          <w:spacing w:val="-1"/>
          <w:sz w:val="22"/>
        </w:rPr>
        <w:t> </w:t>
      </w:r>
      <w:r>
        <w:rPr>
          <w:sz w:val="22"/>
        </w:rPr>
        <w:t>pivot</w:t>
      </w:r>
      <w:r>
        <w:rPr>
          <w:spacing w:val="-1"/>
          <w:sz w:val="22"/>
        </w:rPr>
        <w:t> </w:t>
      </w:r>
      <w:r>
        <w:rPr>
          <w:sz w:val="22"/>
        </w:rPr>
        <w:t>is</w:t>
      </w:r>
      <w:r>
        <w:rPr>
          <w:spacing w:val="-1"/>
          <w:sz w:val="22"/>
        </w:rPr>
        <w:t> </w:t>
      </w:r>
      <w:r>
        <w:rPr>
          <w:sz w:val="22"/>
        </w:rPr>
        <w:t>not</w:t>
      </w:r>
      <w:r>
        <w:rPr>
          <w:spacing w:val="-1"/>
          <w:sz w:val="22"/>
        </w:rPr>
        <w:t> </w:t>
      </w:r>
      <w:r>
        <w:rPr>
          <w:sz w:val="22"/>
        </w:rPr>
        <w:t>touched,</w:t>
      </w:r>
      <w:r>
        <w:rPr>
          <w:spacing w:val="-1"/>
          <w:sz w:val="22"/>
        </w:rPr>
        <w:t> </w:t>
      </w:r>
      <w:r>
        <w:rPr>
          <w:sz w:val="22"/>
        </w:rPr>
        <w:t>touches</w:t>
      </w:r>
      <w:r>
        <w:rPr>
          <w:spacing w:val="-1"/>
          <w:sz w:val="22"/>
        </w:rPr>
        <w:t> </w:t>
      </w:r>
      <w:r>
        <w:rPr>
          <w:sz w:val="22"/>
        </w:rPr>
        <w:t>at</w:t>
      </w:r>
      <w:r>
        <w:rPr>
          <w:spacing w:val="-1"/>
          <w:sz w:val="22"/>
        </w:rPr>
        <w:t> </w:t>
      </w:r>
      <w:r>
        <w:rPr>
          <w:sz w:val="22"/>
        </w:rPr>
        <w:t>L1</w:t>
      </w:r>
      <w:r>
        <w:rPr>
          <w:spacing w:val="-1"/>
          <w:sz w:val="22"/>
        </w:rPr>
        <w:t> </w:t>
      </w:r>
      <w:r>
        <w:rPr>
          <w:sz w:val="22"/>
        </w:rPr>
        <w:t>and</w:t>
      </w:r>
      <w:r>
        <w:rPr>
          <w:spacing w:val="-1"/>
          <w:sz w:val="22"/>
        </w:rPr>
        <w:t> </w:t>
      </w:r>
      <w:r>
        <w:rPr>
          <w:sz w:val="22"/>
        </w:rPr>
        <w:t>closures</w:t>
      </w:r>
      <w:r>
        <w:rPr>
          <w:spacing w:val="-1"/>
          <w:sz w:val="22"/>
        </w:rPr>
        <w:t> </w:t>
      </w:r>
      <w:r>
        <w:rPr>
          <w:sz w:val="22"/>
        </w:rPr>
        <w:t>beyond this level decrease, signifying an extended move beyond this layer.</w:t>
      </w:r>
    </w:p>
    <w:p>
      <w:pPr>
        <w:pStyle w:val="ListParagraph"/>
        <w:numPr>
          <w:ilvl w:val="0"/>
          <w:numId w:val="5"/>
        </w:numPr>
        <w:tabs>
          <w:tab w:pos="861" w:val="left" w:leader="none"/>
        </w:tabs>
        <w:spacing w:line="240" w:lineRule="auto" w:before="0" w:after="0"/>
        <w:ind w:left="860" w:right="137" w:hanging="361"/>
        <w:jc w:val="both"/>
        <w:rPr>
          <w:sz w:val="22"/>
        </w:rPr>
      </w:pPr>
      <w:r>
        <w:rPr>
          <w:sz w:val="22"/>
        </w:rPr>
        <w:t>Of the touches that occurred beyond L1, 61.9 percent of the L2 touches occurred</w:t>
      </w:r>
      <w:r>
        <w:rPr>
          <w:spacing w:val="21"/>
          <w:sz w:val="22"/>
        </w:rPr>
        <w:t> </w:t>
      </w:r>
      <w:r>
        <w:rPr>
          <w:sz w:val="22"/>
        </w:rPr>
        <w:t>when</w:t>
      </w:r>
      <w:r>
        <w:rPr>
          <w:spacing w:val="21"/>
          <w:sz w:val="22"/>
        </w:rPr>
        <w:t> </w:t>
      </w:r>
      <w:r>
        <w:rPr>
          <w:sz w:val="22"/>
        </w:rPr>
        <w:t>the</w:t>
      </w:r>
      <w:r>
        <w:rPr>
          <w:spacing w:val="21"/>
          <w:sz w:val="22"/>
        </w:rPr>
        <w:t> </w:t>
      </w:r>
      <w:r>
        <w:rPr>
          <w:sz w:val="22"/>
        </w:rPr>
        <w:t>central</w:t>
      </w:r>
      <w:r>
        <w:rPr>
          <w:spacing w:val="22"/>
          <w:sz w:val="22"/>
        </w:rPr>
        <w:t> </w:t>
      </w:r>
      <w:r>
        <w:rPr>
          <w:sz w:val="22"/>
        </w:rPr>
        <w:t>pivot</w:t>
      </w:r>
      <w:r>
        <w:rPr>
          <w:spacing w:val="21"/>
          <w:sz w:val="22"/>
        </w:rPr>
        <w:t> </w:t>
      </w:r>
      <w:r>
        <w:rPr>
          <w:sz w:val="22"/>
        </w:rPr>
        <w:t>was</w:t>
      </w:r>
      <w:r>
        <w:rPr>
          <w:spacing w:val="20"/>
          <w:sz w:val="22"/>
        </w:rPr>
        <w:t> </w:t>
      </w:r>
      <w:r>
        <w:rPr>
          <w:sz w:val="22"/>
        </w:rPr>
        <w:t>not</w:t>
      </w:r>
      <w:r>
        <w:rPr>
          <w:spacing w:val="21"/>
          <w:sz w:val="22"/>
        </w:rPr>
        <w:t> </w:t>
      </w:r>
      <w:r>
        <w:rPr>
          <w:sz w:val="22"/>
        </w:rPr>
        <w:t>touched</w:t>
      </w:r>
      <w:r>
        <w:rPr>
          <w:spacing w:val="21"/>
          <w:sz w:val="22"/>
        </w:rPr>
        <w:t> </w:t>
      </w:r>
      <w:r>
        <w:rPr>
          <w:sz w:val="22"/>
        </w:rPr>
        <w:t>on</w:t>
      </w:r>
      <w:r>
        <w:rPr>
          <w:spacing w:val="19"/>
          <w:sz w:val="22"/>
        </w:rPr>
        <w:t> </w:t>
      </w:r>
      <w:r>
        <w:rPr>
          <w:sz w:val="22"/>
        </w:rPr>
        <w:t>the</w:t>
      </w:r>
      <w:r>
        <w:rPr>
          <w:spacing w:val="21"/>
          <w:sz w:val="22"/>
        </w:rPr>
        <w:t> </w:t>
      </w:r>
      <w:r>
        <w:rPr>
          <w:sz w:val="22"/>
        </w:rPr>
        <w:t>day.</w:t>
      </w:r>
      <w:r>
        <w:rPr>
          <w:spacing w:val="21"/>
          <w:sz w:val="22"/>
        </w:rPr>
        <w:t> </w:t>
      </w:r>
      <w:r>
        <w:rPr>
          <w:sz w:val="22"/>
        </w:rPr>
        <w:t>Likewise,</w:t>
      </w:r>
    </w:p>
    <w:p>
      <w:pPr>
        <w:pStyle w:val="BodyText"/>
        <w:ind w:left="860" w:right="136"/>
        <w:jc w:val="both"/>
      </w:pPr>
      <w:r>
        <w:rPr/>
        <w:t>72.4 percent of the tests at L3, and 77.8 percent of the touches at L4 occurred when the central pivot was not reached.</w:t>
      </w:r>
    </w:p>
    <w:p>
      <w:pPr>
        <w:spacing w:after="0"/>
        <w:jc w:val="both"/>
        <w:sectPr>
          <w:pgSz w:w="8640" w:h="12960"/>
          <w:pgMar w:header="536" w:footer="1053" w:top="720" w:bottom="1260" w:left="580" w:right="580"/>
        </w:sectPr>
      </w:pPr>
    </w:p>
    <w:p>
      <w:pPr>
        <w:pStyle w:val="BodyText"/>
        <w:spacing w:before="5"/>
        <w:rPr>
          <w:sz w:val="18"/>
        </w:rPr>
      </w:pPr>
    </w:p>
    <w:p>
      <w:pPr>
        <w:pStyle w:val="ListParagraph"/>
        <w:numPr>
          <w:ilvl w:val="0"/>
          <w:numId w:val="5"/>
        </w:numPr>
        <w:tabs>
          <w:tab w:pos="501" w:val="left" w:leader="none"/>
        </w:tabs>
        <w:spacing w:line="240" w:lineRule="auto" w:before="64" w:after="0"/>
        <w:ind w:left="500" w:right="496" w:hanging="361"/>
        <w:jc w:val="both"/>
        <w:rPr>
          <w:sz w:val="22"/>
        </w:rPr>
      </w:pPr>
      <w:r>
        <w:rPr>
          <w:sz w:val="22"/>
        </w:rPr>
        <w:t>Of the closures that occurred beyond L1, 70 percent of closures beyond L2 (but below L3) occurred when the central pivot was not touched on the</w:t>
      </w:r>
      <w:r>
        <w:rPr>
          <w:spacing w:val="-2"/>
          <w:sz w:val="22"/>
        </w:rPr>
        <w:t> </w:t>
      </w:r>
      <w:r>
        <w:rPr>
          <w:sz w:val="22"/>
        </w:rPr>
        <w:t>day.</w:t>
      </w:r>
      <w:r>
        <w:rPr>
          <w:spacing w:val="-2"/>
          <w:sz w:val="22"/>
        </w:rPr>
        <w:t> </w:t>
      </w:r>
      <w:r>
        <w:rPr>
          <w:sz w:val="22"/>
        </w:rPr>
        <w:t>Likewise,</w:t>
      </w:r>
      <w:r>
        <w:rPr>
          <w:spacing w:val="-2"/>
          <w:sz w:val="22"/>
        </w:rPr>
        <w:t> </w:t>
      </w:r>
      <w:r>
        <w:rPr>
          <w:sz w:val="22"/>
        </w:rPr>
        <w:t>90.9</w:t>
      </w:r>
      <w:r>
        <w:rPr>
          <w:spacing w:val="-3"/>
          <w:sz w:val="22"/>
        </w:rPr>
        <w:t> </w:t>
      </w:r>
      <w:r>
        <w:rPr>
          <w:sz w:val="22"/>
        </w:rPr>
        <w:t>percent</w:t>
      </w:r>
      <w:r>
        <w:rPr>
          <w:spacing w:val="-2"/>
          <w:sz w:val="22"/>
        </w:rPr>
        <w:t> </w:t>
      </w:r>
      <w:r>
        <w:rPr>
          <w:sz w:val="22"/>
        </w:rPr>
        <w:t>of</w:t>
      </w:r>
      <w:r>
        <w:rPr>
          <w:spacing w:val="-2"/>
          <w:sz w:val="22"/>
        </w:rPr>
        <w:t> </w:t>
      </w:r>
      <w:r>
        <w:rPr>
          <w:sz w:val="22"/>
        </w:rPr>
        <w:t>the</w:t>
      </w:r>
      <w:r>
        <w:rPr>
          <w:spacing w:val="-2"/>
          <w:sz w:val="22"/>
        </w:rPr>
        <w:t> </w:t>
      </w:r>
      <w:r>
        <w:rPr>
          <w:sz w:val="22"/>
        </w:rPr>
        <w:t>closures</w:t>
      </w:r>
      <w:r>
        <w:rPr>
          <w:spacing w:val="-2"/>
          <w:sz w:val="22"/>
        </w:rPr>
        <w:t> </w:t>
      </w:r>
      <w:r>
        <w:rPr>
          <w:sz w:val="22"/>
        </w:rPr>
        <w:t>beyond</w:t>
      </w:r>
      <w:r>
        <w:rPr>
          <w:spacing w:val="-2"/>
          <w:sz w:val="22"/>
        </w:rPr>
        <w:t> </w:t>
      </w:r>
      <w:r>
        <w:rPr>
          <w:sz w:val="22"/>
        </w:rPr>
        <w:t>L3</w:t>
      </w:r>
      <w:r>
        <w:rPr>
          <w:spacing w:val="-3"/>
          <w:sz w:val="22"/>
        </w:rPr>
        <w:t> </w:t>
      </w:r>
      <w:r>
        <w:rPr>
          <w:sz w:val="22"/>
        </w:rPr>
        <w:t>(but</w:t>
      </w:r>
      <w:r>
        <w:rPr>
          <w:spacing w:val="-4"/>
          <w:sz w:val="22"/>
        </w:rPr>
        <w:t> </w:t>
      </w:r>
      <w:r>
        <w:rPr>
          <w:sz w:val="22"/>
        </w:rPr>
        <w:t>below</w:t>
      </w:r>
      <w:r>
        <w:rPr>
          <w:spacing w:val="-2"/>
          <w:sz w:val="22"/>
        </w:rPr>
        <w:t> </w:t>
      </w:r>
      <w:r>
        <w:rPr>
          <w:sz w:val="22"/>
        </w:rPr>
        <w:t>L4) and</w:t>
      </w:r>
      <w:r>
        <w:rPr>
          <w:spacing w:val="-3"/>
          <w:sz w:val="22"/>
        </w:rPr>
        <w:t> </w:t>
      </w:r>
      <w:r>
        <w:rPr>
          <w:sz w:val="22"/>
        </w:rPr>
        <w:t>80</w:t>
      </w:r>
      <w:r>
        <w:rPr>
          <w:spacing w:val="-3"/>
          <w:sz w:val="22"/>
        </w:rPr>
        <w:t> </w:t>
      </w:r>
      <w:r>
        <w:rPr>
          <w:sz w:val="22"/>
        </w:rPr>
        <w:t>percent</w:t>
      </w:r>
      <w:r>
        <w:rPr>
          <w:spacing w:val="-3"/>
          <w:sz w:val="22"/>
        </w:rPr>
        <w:t> </w:t>
      </w:r>
      <w:r>
        <w:rPr>
          <w:sz w:val="22"/>
        </w:rPr>
        <w:t>of</w:t>
      </w:r>
      <w:r>
        <w:rPr>
          <w:spacing w:val="-3"/>
          <w:sz w:val="22"/>
        </w:rPr>
        <w:t> </w:t>
      </w:r>
      <w:r>
        <w:rPr>
          <w:sz w:val="22"/>
        </w:rPr>
        <w:t>the</w:t>
      </w:r>
      <w:r>
        <w:rPr>
          <w:spacing w:val="-3"/>
          <w:sz w:val="22"/>
        </w:rPr>
        <w:t> </w:t>
      </w:r>
      <w:r>
        <w:rPr>
          <w:sz w:val="22"/>
        </w:rPr>
        <w:t>closures</w:t>
      </w:r>
      <w:r>
        <w:rPr>
          <w:spacing w:val="-3"/>
          <w:sz w:val="22"/>
        </w:rPr>
        <w:t> </w:t>
      </w:r>
      <w:r>
        <w:rPr>
          <w:sz w:val="22"/>
        </w:rPr>
        <w:t>beyond</w:t>
      </w:r>
      <w:r>
        <w:rPr>
          <w:spacing w:val="-5"/>
          <w:sz w:val="22"/>
        </w:rPr>
        <w:t> </w:t>
      </w:r>
      <w:r>
        <w:rPr>
          <w:sz w:val="22"/>
        </w:rPr>
        <w:t>L4</w:t>
      </w:r>
      <w:r>
        <w:rPr>
          <w:spacing w:val="-3"/>
          <w:sz w:val="22"/>
        </w:rPr>
        <w:t> </w:t>
      </w:r>
      <w:r>
        <w:rPr>
          <w:sz w:val="22"/>
        </w:rPr>
        <w:t>occurred</w:t>
      </w:r>
      <w:r>
        <w:rPr>
          <w:spacing w:val="-3"/>
          <w:sz w:val="22"/>
        </w:rPr>
        <w:t> </w:t>
      </w:r>
      <w:r>
        <w:rPr>
          <w:sz w:val="22"/>
        </w:rPr>
        <w:t>when</w:t>
      </w:r>
      <w:r>
        <w:rPr>
          <w:spacing w:val="-4"/>
          <w:sz w:val="22"/>
        </w:rPr>
        <w:t> </w:t>
      </w:r>
      <w:r>
        <w:rPr>
          <w:sz w:val="22"/>
        </w:rPr>
        <w:t>the</w:t>
      </w:r>
      <w:r>
        <w:rPr>
          <w:spacing w:val="-3"/>
          <w:sz w:val="22"/>
        </w:rPr>
        <w:t> </w:t>
      </w:r>
      <w:r>
        <w:rPr>
          <w:sz w:val="22"/>
        </w:rPr>
        <w:t>central</w:t>
      </w:r>
      <w:r>
        <w:rPr>
          <w:spacing w:val="-4"/>
          <w:sz w:val="22"/>
        </w:rPr>
        <w:t> </w:t>
      </w:r>
      <w:r>
        <w:rPr>
          <w:sz w:val="22"/>
        </w:rPr>
        <w:t>pivot was not reached.</w:t>
      </w:r>
    </w:p>
    <w:p>
      <w:pPr>
        <w:pStyle w:val="ListParagraph"/>
        <w:numPr>
          <w:ilvl w:val="0"/>
          <w:numId w:val="5"/>
        </w:numPr>
        <w:tabs>
          <w:tab w:pos="501" w:val="left" w:leader="none"/>
        </w:tabs>
        <w:spacing w:line="240" w:lineRule="auto" w:before="0" w:after="0"/>
        <w:ind w:left="500" w:right="494" w:hanging="361"/>
        <w:jc w:val="both"/>
        <w:rPr>
          <w:sz w:val="22"/>
        </w:rPr>
      </w:pPr>
      <w:r>
        <w:rPr>
          <w:sz w:val="22"/>
        </w:rPr>
        <w:t>Touches of L1 significantly dropped on the days when the central pivot was not touched, falling to 33.9 percent (down from 73.3 percent). This indicates the market is gapping past L1 on most occasions and</w:t>
      </w:r>
      <w:r>
        <w:rPr>
          <w:spacing w:val="80"/>
          <w:sz w:val="22"/>
        </w:rPr>
        <w:t> </w:t>
      </w:r>
      <w:r>
        <w:rPr>
          <w:sz w:val="22"/>
        </w:rPr>
        <w:t>continuing to push toward higher pivot levels.</w:t>
      </w:r>
    </w:p>
    <w:p>
      <w:pPr>
        <w:pStyle w:val="ListParagraph"/>
        <w:numPr>
          <w:ilvl w:val="0"/>
          <w:numId w:val="5"/>
        </w:numPr>
        <w:tabs>
          <w:tab w:pos="501" w:val="left" w:leader="none"/>
        </w:tabs>
        <w:spacing w:line="253" w:lineRule="exact" w:before="0" w:after="0"/>
        <w:ind w:left="500" w:right="0" w:hanging="361"/>
        <w:jc w:val="both"/>
        <w:rPr>
          <w:sz w:val="22"/>
        </w:rPr>
      </w:pPr>
      <w:r>
        <w:rPr>
          <w:sz w:val="22"/>
        </w:rPr>
        <w:t>Most</w:t>
      </w:r>
      <w:r>
        <w:rPr>
          <w:spacing w:val="5"/>
          <w:sz w:val="22"/>
        </w:rPr>
        <w:t> </w:t>
      </w:r>
      <w:r>
        <w:rPr>
          <w:sz w:val="22"/>
        </w:rPr>
        <w:t>importantly,</w:t>
      </w:r>
      <w:r>
        <w:rPr>
          <w:spacing w:val="6"/>
          <w:sz w:val="22"/>
        </w:rPr>
        <w:t> </w:t>
      </w:r>
      <w:r>
        <w:rPr>
          <w:sz w:val="22"/>
        </w:rPr>
        <w:t>on</w:t>
      </w:r>
      <w:r>
        <w:rPr>
          <w:spacing w:val="6"/>
          <w:sz w:val="22"/>
        </w:rPr>
        <w:t> </w:t>
      </w:r>
      <w:r>
        <w:rPr>
          <w:sz w:val="22"/>
        </w:rPr>
        <w:t>days</w:t>
      </w:r>
      <w:r>
        <w:rPr>
          <w:spacing w:val="5"/>
          <w:sz w:val="22"/>
        </w:rPr>
        <w:t> </w:t>
      </w:r>
      <w:r>
        <w:rPr>
          <w:sz w:val="22"/>
        </w:rPr>
        <w:t>when</w:t>
      </w:r>
      <w:r>
        <w:rPr>
          <w:spacing w:val="6"/>
          <w:sz w:val="22"/>
        </w:rPr>
        <w:t> </w:t>
      </w:r>
      <w:r>
        <w:rPr>
          <w:sz w:val="22"/>
        </w:rPr>
        <w:t>the</w:t>
      </w:r>
      <w:r>
        <w:rPr>
          <w:spacing w:val="6"/>
          <w:sz w:val="22"/>
        </w:rPr>
        <w:t> </w:t>
      </w:r>
      <w:r>
        <w:rPr>
          <w:sz w:val="22"/>
        </w:rPr>
        <w:t>central</w:t>
      </w:r>
      <w:r>
        <w:rPr>
          <w:spacing w:val="6"/>
          <w:sz w:val="22"/>
        </w:rPr>
        <w:t> </w:t>
      </w:r>
      <w:r>
        <w:rPr>
          <w:sz w:val="22"/>
        </w:rPr>
        <w:t>pivot</w:t>
      </w:r>
      <w:r>
        <w:rPr>
          <w:spacing w:val="6"/>
          <w:sz w:val="22"/>
        </w:rPr>
        <w:t> </w:t>
      </w:r>
      <w:r>
        <w:rPr>
          <w:sz w:val="22"/>
        </w:rPr>
        <w:t>is</w:t>
      </w:r>
      <w:r>
        <w:rPr>
          <w:spacing w:val="6"/>
          <w:sz w:val="22"/>
        </w:rPr>
        <w:t> </w:t>
      </w:r>
      <w:r>
        <w:rPr>
          <w:sz w:val="22"/>
        </w:rPr>
        <w:t>not</w:t>
      </w:r>
      <w:r>
        <w:rPr>
          <w:spacing w:val="6"/>
          <w:sz w:val="22"/>
        </w:rPr>
        <w:t> </w:t>
      </w:r>
      <w:r>
        <w:rPr>
          <w:sz w:val="22"/>
        </w:rPr>
        <w:t>tested,</w:t>
      </w:r>
      <w:r>
        <w:rPr>
          <w:spacing w:val="5"/>
          <w:sz w:val="22"/>
        </w:rPr>
        <w:t> </w:t>
      </w:r>
      <w:r>
        <w:rPr>
          <w:sz w:val="22"/>
        </w:rPr>
        <w:t>there</w:t>
      </w:r>
      <w:r>
        <w:rPr>
          <w:spacing w:val="6"/>
          <w:sz w:val="22"/>
        </w:rPr>
        <w:t> </w:t>
      </w:r>
      <w:r>
        <w:rPr>
          <w:sz w:val="22"/>
        </w:rPr>
        <w:t>is</w:t>
      </w:r>
      <w:r>
        <w:rPr>
          <w:spacing w:val="7"/>
          <w:sz w:val="22"/>
        </w:rPr>
        <w:t> </w:t>
      </w:r>
      <w:r>
        <w:rPr>
          <w:spacing w:val="-10"/>
          <w:sz w:val="22"/>
        </w:rPr>
        <w:t>a</w:t>
      </w:r>
    </w:p>
    <w:p>
      <w:pPr>
        <w:pStyle w:val="BodyText"/>
        <w:ind w:left="500" w:right="497"/>
        <w:jc w:val="both"/>
      </w:pPr>
      <w:r>
        <w:rPr/>
        <w:t>73.8 percent chance that the market will close </w:t>
      </w:r>
      <w:r>
        <w:rPr>
          <w:i/>
        </w:rPr>
        <w:t>beyond </w:t>
      </w:r>
      <w:r>
        <w:rPr/>
        <w:t>L1. This is up</w:t>
      </w:r>
      <w:r>
        <w:rPr>
          <w:spacing w:val="80"/>
        </w:rPr>
        <w:t> </w:t>
      </w:r>
      <w:r>
        <w:rPr/>
        <w:t>from the original 46.6 percent.</w:t>
      </w:r>
    </w:p>
    <w:p>
      <w:pPr>
        <w:spacing w:after="0"/>
        <w:jc w:val="both"/>
        <w:sectPr>
          <w:pgSz w:w="8640" w:h="12960"/>
          <w:pgMar w:header="579" w:footer="1060" w:top="760" w:bottom="126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2"/>
        <w:ind w:left="2273"/>
        <w:rPr>
          <w:sz w:val="180"/>
        </w:rPr>
      </w:pPr>
      <w:r>
        <w:rPr/>
        <w:pict>
          <v:line style="position:absolute;mso-position-horizontal-relative:page;mso-position-vertical-relative:paragraph;z-index:-19509760" from="55.560001pt,103.422295pt" to="390.000001pt,103.422295pt" stroked="true" strokeweight=".75pt" strokecolor="#000000">
            <v:stroke dashstyle="solid"/>
            <w10:wrap type="none"/>
          </v:line>
        </w:pict>
      </w:r>
      <w:bookmarkStart w:name="_TOC_250001" w:id="90"/>
      <w:r>
        <w:rPr>
          <w:w w:val="105"/>
        </w:rPr>
        <w:t>A</w:t>
      </w:r>
      <w:r>
        <w:rPr>
          <w:spacing w:val="-11"/>
          <w:w w:val="105"/>
        </w:rPr>
        <w:t> </w:t>
      </w:r>
      <w:r>
        <w:rPr>
          <w:w w:val="105"/>
        </w:rPr>
        <w:t>P</w:t>
      </w:r>
      <w:r>
        <w:rPr>
          <w:spacing w:val="-9"/>
          <w:w w:val="105"/>
        </w:rPr>
        <w:t> </w:t>
      </w:r>
      <w:r>
        <w:rPr>
          <w:w w:val="105"/>
        </w:rPr>
        <w:t>P</w:t>
      </w:r>
      <w:r>
        <w:rPr>
          <w:spacing w:val="-10"/>
          <w:w w:val="105"/>
        </w:rPr>
        <w:t> </w:t>
      </w:r>
      <w:r>
        <w:rPr>
          <w:w w:val="105"/>
        </w:rPr>
        <w:t>E</w:t>
      </w:r>
      <w:r>
        <w:rPr>
          <w:spacing w:val="-10"/>
          <w:w w:val="105"/>
        </w:rPr>
        <w:t> </w:t>
      </w:r>
      <w:r>
        <w:rPr>
          <w:w w:val="105"/>
        </w:rPr>
        <w:t>N</w:t>
      </w:r>
      <w:r>
        <w:rPr>
          <w:spacing w:val="-9"/>
          <w:w w:val="105"/>
        </w:rPr>
        <w:t> </w:t>
      </w:r>
      <w:r>
        <w:rPr>
          <w:w w:val="105"/>
        </w:rPr>
        <w:t>D</w:t>
      </w:r>
      <w:r>
        <w:rPr>
          <w:spacing w:val="-9"/>
          <w:w w:val="105"/>
        </w:rPr>
        <w:t> </w:t>
      </w:r>
      <w:r>
        <w:rPr>
          <w:w w:val="105"/>
        </w:rPr>
        <w:t>I</w:t>
      </w:r>
      <w:r>
        <w:rPr>
          <w:spacing w:val="-10"/>
          <w:w w:val="105"/>
        </w:rPr>
        <w:t> </w:t>
      </w:r>
      <w:r>
        <w:rPr>
          <w:w w:val="105"/>
        </w:rPr>
        <w:t>X</w:t>
      </w:r>
      <w:r>
        <w:rPr>
          <w:spacing w:val="-11"/>
          <w:w w:val="105"/>
        </w:rPr>
        <w:t> </w:t>
      </w:r>
      <w:bookmarkEnd w:id="90"/>
      <w:r>
        <w:rPr>
          <w:spacing w:val="-10"/>
          <w:w w:val="105"/>
          <w:sz w:val="180"/>
        </w:rPr>
        <w:t>B</w:t>
      </w:r>
    </w:p>
    <w:p>
      <w:pPr>
        <w:pStyle w:val="Heading1"/>
        <w:ind w:right="136"/>
        <w:jc w:val="right"/>
      </w:pPr>
      <w:r>
        <w:rPr>
          <w:smallCaps/>
          <w:w w:val="90"/>
        </w:rPr>
        <w:t>Custom</w:t>
      </w:r>
      <w:r>
        <w:rPr>
          <w:smallCaps/>
          <w:spacing w:val="-6"/>
        </w:rPr>
        <w:t> </w:t>
      </w:r>
      <w:r>
        <w:rPr>
          <w:smallCaps/>
          <w:spacing w:val="-4"/>
        </w:rPr>
        <w:t>Code</w:t>
      </w:r>
    </w:p>
    <w:p>
      <w:pPr>
        <w:spacing w:before="123"/>
        <w:ind w:left="0" w:right="138" w:firstLine="0"/>
        <w:jc w:val="right"/>
        <w:rPr>
          <w:sz w:val="72"/>
        </w:rPr>
      </w:pPr>
      <w:r>
        <w:rPr>
          <w:smallCaps/>
          <w:spacing w:val="-11"/>
          <w:sz w:val="72"/>
        </w:rPr>
        <w:t>Library</w:t>
      </w:r>
    </w:p>
    <w:p>
      <w:pPr>
        <w:pStyle w:val="BodyText"/>
        <w:rPr>
          <w:sz w:val="82"/>
        </w:rPr>
      </w:pPr>
    </w:p>
    <w:p>
      <w:pPr>
        <w:pStyle w:val="BodyText"/>
        <w:spacing w:before="596"/>
        <w:ind w:left="500" w:right="136" w:firstLine="432"/>
        <w:jc w:val="both"/>
      </w:pPr>
      <w:r>
        <w:rPr/>
        <w:t>For those of you that trade with OmniTrader Professional or VisualTrader Professional,</w:t>
      </w:r>
      <w:r>
        <w:rPr>
          <w:spacing w:val="40"/>
        </w:rPr>
        <w:t> </w:t>
      </w:r>
      <w:r>
        <w:rPr/>
        <w:t>I am including the exact VBA code of the</w:t>
      </w:r>
      <w:r>
        <w:rPr>
          <w:spacing w:val="80"/>
        </w:rPr>
        <w:t> </w:t>
      </w:r>
      <w:r>
        <w:rPr/>
        <w:t>various signals, stops, and indicators that I have covered throughout the</w:t>
      </w:r>
      <w:r>
        <w:rPr>
          <w:spacing w:val="40"/>
        </w:rPr>
        <w:t> </w:t>
      </w:r>
      <w:r>
        <w:rPr/>
        <w:t>book.</w:t>
      </w:r>
      <w:r>
        <w:rPr>
          <w:spacing w:val="40"/>
        </w:rPr>
        <w:t> </w:t>
      </w:r>
      <w:r>
        <w:rPr/>
        <w:t>While</w:t>
      </w:r>
      <w:r>
        <w:rPr>
          <w:spacing w:val="40"/>
        </w:rPr>
        <w:t> </w:t>
      </w:r>
      <w:r>
        <w:rPr/>
        <w:t>these</w:t>
      </w:r>
      <w:r>
        <w:rPr>
          <w:spacing w:val="40"/>
        </w:rPr>
        <w:t> </w:t>
      </w:r>
      <w:r>
        <w:rPr/>
        <w:t>scripts</w:t>
      </w:r>
      <w:r>
        <w:rPr>
          <w:spacing w:val="40"/>
        </w:rPr>
        <w:t> </w:t>
      </w:r>
      <w:r>
        <w:rPr/>
        <w:t>will</w:t>
      </w:r>
      <w:r>
        <w:rPr>
          <w:spacing w:val="40"/>
        </w:rPr>
        <w:t> </w:t>
      </w:r>
      <w:r>
        <w:rPr/>
        <w:t>allow</w:t>
      </w:r>
      <w:r>
        <w:rPr>
          <w:spacing w:val="40"/>
        </w:rPr>
        <w:t> </w:t>
      </w:r>
      <w:r>
        <w:rPr/>
        <w:t>you</w:t>
      </w:r>
      <w:r>
        <w:rPr>
          <w:spacing w:val="40"/>
        </w:rPr>
        <w:t> </w:t>
      </w:r>
      <w:r>
        <w:rPr/>
        <w:t>to</w:t>
      </w:r>
      <w:r>
        <w:rPr>
          <w:spacing w:val="40"/>
        </w:rPr>
        <w:t> </w:t>
      </w:r>
      <w:r>
        <w:rPr/>
        <w:t>see</w:t>
      </w:r>
      <w:r>
        <w:rPr>
          <w:spacing w:val="40"/>
        </w:rPr>
        <w:t> </w:t>
      </w:r>
      <w:r>
        <w:rPr/>
        <w:t>the</w:t>
      </w:r>
      <w:r>
        <w:rPr>
          <w:spacing w:val="40"/>
        </w:rPr>
        <w:t> </w:t>
      </w:r>
      <w:r>
        <w:rPr/>
        <w:t>same</w:t>
      </w:r>
      <w:r>
        <w:rPr>
          <w:spacing w:val="40"/>
        </w:rPr>
        <w:t> </w:t>
      </w:r>
      <w:r>
        <w:rPr/>
        <w:t>opportunities that I have covered, they also give you the ability to create incredibly powerful</w:t>
      </w:r>
      <w:r>
        <w:rPr>
          <w:spacing w:val="40"/>
        </w:rPr>
        <w:t> </w:t>
      </w:r>
      <w:r>
        <w:rPr/>
        <w:t>mechanical</w:t>
      </w:r>
      <w:r>
        <w:rPr>
          <w:spacing w:val="40"/>
        </w:rPr>
        <w:t> </w:t>
      </w:r>
      <w:r>
        <w:rPr/>
        <w:t>strategies.</w:t>
      </w:r>
      <w:r>
        <w:rPr>
          <w:spacing w:val="40"/>
        </w:rPr>
        <w:t> </w:t>
      </w:r>
      <w:r>
        <w:rPr/>
        <w:t>If</w:t>
      </w:r>
      <w:r>
        <w:rPr>
          <w:spacing w:val="40"/>
        </w:rPr>
        <w:t> </w:t>
      </w:r>
      <w:r>
        <w:rPr/>
        <w:t>you</w:t>
      </w:r>
      <w:r>
        <w:rPr>
          <w:spacing w:val="40"/>
        </w:rPr>
        <w:t> </w:t>
      </w:r>
      <w:r>
        <w:rPr/>
        <w:t>do</w:t>
      </w:r>
      <w:r>
        <w:rPr>
          <w:spacing w:val="40"/>
        </w:rPr>
        <w:t> </w:t>
      </w:r>
      <w:r>
        <w:rPr/>
        <w:t>not</w:t>
      </w:r>
      <w:r>
        <w:rPr>
          <w:spacing w:val="40"/>
        </w:rPr>
        <w:t> </w:t>
      </w:r>
      <w:r>
        <w:rPr/>
        <w:t>trade</w:t>
      </w:r>
      <w:r>
        <w:rPr>
          <w:spacing w:val="40"/>
        </w:rPr>
        <w:t> </w:t>
      </w:r>
      <w:r>
        <w:rPr/>
        <w:t>with</w:t>
      </w:r>
      <w:r>
        <w:rPr>
          <w:spacing w:val="40"/>
        </w:rPr>
        <w:t> </w:t>
      </w:r>
      <w:r>
        <w:rPr/>
        <w:t>these</w:t>
      </w:r>
      <w:r>
        <w:rPr>
          <w:spacing w:val="40"/>
        </w:rPr>
        <w:t> </w:t>
      </w:r>
      <w:r>
        <w:rPr/>
        <w:t>platforms, the</w:t>
      </w:r>
      <w:r>
        <w:rPr>
          <w:spacing w:val="40"/>
        </w:rPr>
        <w:t> </w:t>
      </w:r>
      <w:r>
        <w:rPr/>
        <w:t>easy</w:t>
      </w:r>
      <w:r>
        <w:rPr>
          <w:spacing w:val="40"/>
        </w:rPr>
        <w:t> </w:t>
      </w:r>
      <w:r>
        <w:rPr/>
        <w:t>language</w:t>
      </w:r>
      <w:r>
        <w:rPr>
          <w:spacing w:val="40"/>
        </w:rPr>
        <w:t> </w:t>
      </w:r>
      <w:r>
        <w:rPr/>
        <w:t>syntax</w:t>
      </w:r>
      <w:r>
        <w:rPr>
          <w:spacing w:val="40"/>
        </w:rPr>
        <w:t> </w:t>
      </w:r>
      <w:r>
        <w:rPr/>
        <w:t>is</w:t>
      </w:r>
      <w:r>
        <w:rPr>
          <w:spacing w:val="40"/>
        </w:rPr>
        <w:t> </w:t>
      </w:r>
      <w:r>
        <w:rPr/>
        <w:t>fairly</w:t>
      </w:r>
      <w:r>
        <w:rPr>
          <w:spacing w:val="40"/>
        </w:rPr>
        <w:t> </w:t>
      </w:r>
      <w:r>
        <w:rPr/>
        <w:t>close</w:t>
      </w:r>
      <w:r>
        <w:rPr>
          <w:spacing w:val="40"/>
        </w:rPr>
        <w:t> </w:t>
      </w:r>
      <w:r>
        <w:rPr/>
        <w:t>to</w:t>
      </w:r>
      <w:r>
        <w:rPr>
          <w:spacing w:val="40"/>
        </w:rPr>
        <w:t> </w:t>
      </w:r>
      <w:r>
        <w:rPr/>
        <w:t>that</w:t>
      </w:r>
      <w:r>
        <w:rPr>
          <w:spacing w:val="40"/>
        </w:rPr>
        <w:t> </w:t>
      </w:r>
      <w:r>
        <w:rPr/>
        <w:t>of</w:t>
      </w:r>
      <w:r>
        <w:rPr>
          <w:spacing w:val="40"/>
        </w:rPr>
        <w:t> </w:t>
      </w:r>
      <w:r>
        <w:rPr/>
        <w:t>other</w:t>
      </w:r>
      <w:r>
        <w:rPr>
          <w:spacing w:val="40"/>
        </w:rPr>
        <w:t> </w:t>
      </w:r>
      <w:r>
        <w:rPr/>
        <w:t>trading</w:t>
      </w:r>
      <w:r>
        <w:rPr>
          <w:spacing w:val="40"/>
        </w:rPr>
        <w:t> </w:t>
      </w:r>
      <w:r>
        <w:rPr/>
        <w:t>programs,</w:t>
      </w:r>
      <w:r>
        <w:rPr>
          <w:spacing w:val="45"/>
        </w:rPr>
        <w:t>  </w:t>
      </w:r>
      <w:r>
        <w:rPr/>
        <w:t>so</w:t>
      </w:r>
      <w:r>
        <w:rPr>
          <w:spacing w:val="44"/>
        </w:rPr>
        <w:t>  </w:t>
      </w:r>
      <w:r>
        <w:rPr/>
        <w:t>assimilating</w:t>
      </w:r>
      <w:r>
        <w:rPr>
          <w:spacing w:val="44"/>
        </w:rPr>
        <w:t>  </w:t>
      </w:r>
      <w:r>
        <w:rPr/>
        <w:t>the</w:t>
      </w:r>
      <w:r>
        <w:rPr>
          <w:spacing w:val="45"/>
        </w:rPr>
        <w:t>  </w:t>
      </w:r>
      <w:r>
        <w:rPr/>
        <w:t>information</w:t>
      </w:r>
      <w:r>
        <w:rPr>
          <w:spacing w:val="44"/>
        </w:rPr>
        <w:t>  </w:t>
      </w:r>
      <w:r>
        <w:rPr/>
        <w:t>should</w:t>
      </w:r>
      <w:r>
        <w:rPr>
          <w:spacing w:val="45"/>
        </w:rPr>
        <w:t>  </w:t>
      </w:r>
      <w:r>
        <w:rPr/>
        <w:t>be</w:t>
      </w:r>
      <w:r>
        <w:rPr>
          <w:spacing w:val="44"/>
        </w:rPr>
        <w:t>  </w:t>
      </w:r>
      <w:r>
        <w:rPr/>
        <w:t>fairly</w:t>
      </w:r>
      <w:r>
        <w:rPr>
          <w:spacing w:val="45"/>
        </w:rPr>
        <w:t>  </w:t>
      </w:r>
      <w:r>
        <w:rPr>
          <w:spacing w:val="-2"/>
        </w:rPr>
        <w:t>easy.</w:t>
      </w:r>
    </w:p>
    <w:p>
      <w:pPr>
        <w:spacing w:after="0"/>
        <w:jc w:val="both"/>
        <w:sectPr>
          <w:headerReference w:type="default" r:id="rId362"/>
          <w:footerReference w:type="default" r:id="rId363"/>
          <w:footerReference w:type="even" r:id="rId364"/>
          <w:pgSz w:w="8640" w:h="12960"/>
          <w:pgMar w:header="0" w:footer="1060" w:top="1480" w:bottom="1260" w:left="580" w:right="580"/>
          <w:pgNumType w:start="297"/>
        </w:sectPr>
      </w:pPr>
    </w:p>
    <w:p>
      <w:pPr>
        <w:pStyle w:val="BodyText"/>
        <w:rPr>
          <w:sz w:val="20"/>
        </w:rPr>
      </w:pPr>
    </w:p>
    <w:p>
      <w:pPr>
        <w:pStyle w:val="BodyText"/>
        <w:rPr>
          <w:sz w:val="20"/>
        </w:rPr>
      </w:pPr>
    </w:p>
    <w:p>
      <w:pPr>
        <w:pStyle w:val="BodyText"/>
        <w:spacing w:before="7"/>
        <w:rPr>
          <w:sz w:val="12"/>
        </w:rPr>
      </w:pPr>
    </w:p>
    <w:p>
      <w:pPr>
        <w:pStyle w:val="BodyText"/>
        <w:ind w:left="504"/>
        <w:rPr>
          <w:sz w:val="20"/>
        </w:rPr>
      </w:pPr>
      <w:r>
        <w:rPr>
          <w:sz w:val="20"/>
        </w:rPr>
        <w:pict>
          <v:group style="width:305.55pt;height:46pt;mso-position-horizontal-relative:char;mso-position-vertical-relative:line" id="docshapegroup1073" coordorigin="0,0" coordsize="6111,920">
            <v:rect style="position:absolute;left:19;top:0;width:6072;height:341" id="docshape1074" filled="true" fillcolor="#000000" stroked="false">
              <v:fill type="solid"/>
            </v:rect>
            <v:shape style="position:absolute;left:0;top:0;width:6111;height:341" id="docshape1075" coordorigin="0,0" coordsize="6111,341" path="m19,0l0,0,0,341,19,341,19,0xm6110,0l6091,0,6091,341,6110,341,6110,0xe" filled="true" fillcolor="#3f3f3f" stroked="false">
              <v:path arrowok="t"/>
              <v:fill type="solid"/>
            </v:shape>
            <v:rect style="position:absolute;left:19;top:340;width:6072;height:579" id="docshape1076" filled="true" fillcolor="#000000" stroked="false">
              <v:fill type="solid"/>
            </v:rect>
            <v:shape style="position:absolute;left:0;top:340;width:6111;height:579" id="docshape1077" coordorigin="0,341" coordsize="6111,579" path="m19,341l0,341,0,919,19,919,19,341xm6110,341l6091,341,6091,919,6110,919,6110,341xe" filled="true" fillcolor="#3f3f3f" stroked="false">
              <v:path arrowok="t"/>
              <v:fill type="solid"/>
            </v:shape>
            <v:shape style="position:absolute;left:19;top:0;width:6072;height:920" type="#_x0000_t202" id="docshape1078" filled="false" stroked="false">
              <v:textbox inset="0,0,0,0">
                <w:txbxContent>
                  <w:p>
                    <w:pPr>
                      <w:spacing w:line="340" w:lineRule="exact" w:before="0"/>
                      <w:ind w:left="1640" w:right="1641" w:firstLine="0"/>
                      <w:jc w:val="center"/>
                      <w:rPr>
                        <w:rFonts w:ascii="Verdana"/>
                        <w:sz w:val="28"/>
                      </w:rPr>
                    </w:pPr>
                    <w:r>
                      <w:rPr>
                        <w:rFonts w:ascii="Verdana"/>
                        <w:color w:val="FFFFFF"/>
                        <w:spacing w:val="-2"/>
                        <w:sz w:val="28"/>
                      </w:rPr>
                      <w:t>SYSTEMS</w:t>
                    </w:r>
                  </w:p>
                  <w:p>
                    <w:pPr>
                      <w:spacing w:line="237" w:lineRule="auto" w:before="2"/>
                      <w:ind w:left="1642" w:right="1641" w:firstLine="0"/>
                      <w:jc w:val="center"/>
                      <w:rPr>
                        <w:rFonts w:ascii="Verdana"/>
                        <w:sz w:val="24"/>
                      </w:rPr>
                    </w:pPr>
                    <w:r>
                      <w:rPr>
                        <w:rFonts w:ascii="Verdana"/>
                        <w:color w:val="FFFFFF"/>
                        <w:sz w:val="24"/>
                      </w:rPr>
                      <w:t>Wick Reversal System File</w:t>
                    </w:r>
                    <w:r>
                      <w:rPr>
                        <w:rFonts w:ascii="Verdana"/>
                        <w:color w:val="FFFFFF"/>
                        <w:spacing w:val="-22"/>
                        <w:sz w:val="24"/>
                      </w:rPr>
                      <w:t> </w:t>
                    </w:r>
                    <w:r>
                      <w:rPr>
                        <w:rFonts w:ascii="Verdana"/>
                        <w:color w:val="FFFFFF"/>
                        <w:sz w:val="24"/>
                      </w:rPr>
                      <w:t>Name:</w:t>
                    </w:r>
                    <w:r>
                      <w:rPr>
                        <w:rFonts w:ascii="Verdana"/>
                        <w:color w:val="FFFFFF"/>
                        <w:spacing w:val="-22"/>
                        <w:sz w:val="24"/>
                      </w:rPr>
                      <w:t> </w:t>
                    </w:r>
                    <w:r>
                      <w:rPr>
                        <w:rFonts w:ascii="Verdana"/>
                        <w:color w:val="FFFFFF"/>
                        <w:sz w:val="24"/>
                      </w:rPr>
                      <w:t>sysWickRev</w:t>
                    </w:r>
                  </w:p>
                </w:txbxContent>
              </v:textbox>
              <w10:wrap type="none"/>
            </v:shape>
          </v:group>
        </w:pict>
      </w:r>
      <w:r>
        <w:rPr>
          <w:sz w:val="20"/>
        </w:rPr>
      </w:r>
    </w:p>
    <w:p>
      <w:pPr>
        <w:pStyle w:val="BodyText"/>
        <w:spacing w:before="3"/>
        <w:rPr>
          <w:sz w:val="10"/>
        </w:rPr>
      </w:pPr>
    </w:p>
    <w:p>
      <w:pPr>
        <w:spacing w:before="77"/>
        <w:ind w:left="140" w:right="0" w:firstLine="0"/>
        <w:jc w:val="left"/>
        <w:rPr>
          <w:rFonts w:ascii="Courier New"/>
          <w:sz w:val="20"/>
        </w:rPr>
      </w:pPr>
      <w:r>
        <w:rPr>
          <w:rFonts w:ascii="Courier New"/>
          <w:spacing w:val="-2"/>
          <w:sz w:val="20"/>
        </w:rPr>
        <w:t>#System</w:t>
      </w:r>
    </w:p>
    <w:p>
      <w:pPr>
        <w:pStyle w:val="BodyText"/>
        <w:rPr>
          <w:rFonts w:ascii="Courier New"/>
          <w:sz w:val="20"/>
        </w:rPr>
      </w:pPr>
    </w:p>
    <w:p>
      <w:pPr>
        <w:spacing w:before="0"/>
        <w:ind w:left="140" w:right="0" w:firstLine="0"/>
        <w:jc w:val="left"/>
        <w:rPr>
          <w:rFonts w:ascii="Courier New"/>
          <w:sz w:val="20"/>
        </w:rPr>
      </w:pPr>
      <w:r>
        <w:rPr>
          <w:rFonts w:ascii="Courier New"/>
          <w:sz w:val="20"/>
        </w:rPr>
        <w:t>#PARAM</w:t>
      </w:r>
      <w:r>
        <w:rPr>
          <w:rFonts w:ascii="Courier New"/>
          <w:spacing w:val="-10"/>
          <w:sz w:val="20"/>
        </w:rPr>
        <w:t> </w:t>
      </w:r>
      <w:r>
        <w:rPr>
          <w:rFonts w:ascii="Courier New"/>
          <w:sz w:val="20"/>
        </w:rPr>
        <w:t>"Wick_Multiplier",</w:t>
      </w:r>
      <w:r>
        <w:rPr>
          <w:rFonts w:ascii="Courier New"/>
          <w:spacing w:val="-9"/>
          <w:sz w:val="20"/>
        </w:rPr>
        <w:t> </w:t>
      </w:r>
      <w:r>
        <w:rPr>
          <w:rFonts w:ascii="Courier New"/>
          <w:sz w:val="20"/>
        </w:rPr>
        <w:t>2.5,</w:t>
      </w:r>
      <w:r>
        <w:rPr>
          <w:rFonts w:ascii="Courier New"/>
          <w:spacing w:val="-9"/>
          <w:sz w:val="20"/>
        </w:rPr>
        <w:t> </w:t>
      </w:r>
      <w:r>
        <w:rPr>
          <w:rFonts w:ascii="Courier New"/>
          <w:sz w:val="20"/>
        </w:rPr>
        <w:t>.5,</w:t>
      </w:r>
      <w:r>
        <w:rPr>
          <w:rFonts w:ascii="Courier New"/>
          <w:spacing w:val="-10"/>
          <w:sz w:val="20"/>
        </w:rPr>
        <w:t> </w:t>
      </w:r>
      <w:r>
        <w:rPr>
          <w:rFonts w:ascii="Courier New"/>
          <w:spacing w:val="-5"/>
          <w:sz w:val="20"/>
        </w:rPr>
        <w:t>20</w:t>
      </w:r>
    </w:p>
    <w:p>
      <w:pPr>
        <w:spacing w:before="0"/>
        <w:ind w:left="140" w:right="0" w:firstLine="0"/>
        <w:jc w:val="left"/>
        <w:rPr>
          <w:rFonts w:ascii="Courier New"/>
          <w:sz w:val="20"/>
        </w:rPr>
      </w:pPr>
      <w:r>
        <w:rPr>
          <w:rFonts w:ascii="Courier New"/>
          <w:sz w:val="20"/>
        </w:rPr>
        <w:t>#PARAM</w:t>
      </w:r>
      <w:r>
        <w:rPr>
          <w:rFonts w:ascii="Courier New"/>
          <w:spacing w:val="-10"/>
          <w:sz w:val="20"/>
        </w:rPr>
        <w:t> </w:t>
      </w:r>
      <w:r>
        <w:rPr>
          <w:rFonts w:ascii="Courier New"/>
          <w:sz w:val="20"/>
        </w:rPr>
        <w:t>"Body_Percentage",</w:t>
      </w:r>
      <w:r>
        <w:rPr>
          <w:rFonts w:ascii="Courier New"/>
          <w:spacing w:val="-9"/>
          <w:sz w:val="20"/>
        </w:rPr>
        <w:t> </w:t>
      </w:r>
      <w:r>
        <w:rPr>
          <w:rFonts w:ascii="Courier New"/>
          <w:sz w:val="20"/>
        </w:rPr>
        <w:t>.25,</w:t>
      </w:r>
      <w:r>
        <w:rPr>
          <w:rFonts w:ascii="Courier New"/>
          <w:spacing w:val="-9"/>
          <w:sz w:val="20"/>
        </w:rPr>
        <w:t> </w:t>
      </w:r>
      <w:r>
        <w:rPr>
          <w:rFonts w:ascii="Courier New"/>
          <w:sz w:val="20"/>
        </w:rPr>
        <w:t>.1,</w:t>
      </w:r>
      <w:r>
        <w:rPr>
          <w:rFonts w:ascii="Courier New"/>
          <w:spacing w:val="-10"/>
          <w:sz w:val="20"/>
        </w:rPr>
        <w:t> 1</w:t>
      </w:r>
    </w:p>
    <w:p>
      <w:pPr>
        <w:pStyle w:val="BodyText"/>
        <w:spacing w:before="11"/>
        <w:rPr>
          <w:rFonts w:ascii="Courier New"/>
          <w:sz w:val="19"/>
        </w:rPr>
      </w:pPr>
    </w:p>
    <w:p>
      <w:pPr>
        <w:spacing w:before="0"/>
        <w:ind w:left="140" w:right="0" w:firstLine="0"/>
        <w:jc w:val="left"/>
        <w:rPr>
          <w:rFonts w:ascii="Courier New"/>
          <w:sz w:val="20"/>
        </w:rPr>
      </w:pPr>
      <w:r>
        <w:rPr>
          <w:rFonts w:ascii="Courier New"/>
          <w:sz w:val="20"/>
        </w:rPr>
        <w:t>If</w:t>
      </w:r>
      <w:r>
        <w:rPr>
          <w:rFonts w:ascii="Courier New"/>
          <w:spacing w:val="-4"/>
          <w:sz w:val="20"/>
        </w:rPr>
        <w:t> </w:t>
      </w:r>
      <w:r>
        <w:rPr>
          <w:rFonts w:ascii="Courier New"/>
          <w:sz w:val="20"/>
        </w:rPr>
        <w:t>C</w:t>
      </w:r>
      <w:r>
        <w:rPr>
          <w:rFonts w:ascii="Courier New"/>
          <w:spacing w:val="-1"/>
          <w:sz w:val="20"/>
        </w:rPr>
        <w:t> </w:t>
      </w:r>
      <w:r>
        <w:rPr>
          <w:rFonts w:ascii="Courier New"/>
          <w:sz w:val="20"/>
        </w:rPr>
        <w:t>&gt;</w:t>
      </w:r>
      <w:r>
        <w:rPr>
          <w:rFonts w:ascii="Courier New"/>
          <w:spacing w:val="-2"/>
          <w:sz w:val="20"/>
        </w:rPr>
        <w:t> </w:t>
      </w:r>
      <w:r>
        <w:rPr>
          <w:rFonts w:ascii="Courier New"/>
          <w:sz w:val="20"/>
        </w:rPr>
        <w:t>O</w:t>
      </w:r>
      <w:r>
        <w:rPr>
          <w:rFonts w:ascii="Courier New"/>
          <w:spacing w:val="-1"/>
          <w:sz w:val="20"/>
        </w:rPr>
        <w:t> </w:t>
      </w:r>
      <w:r>
        <w:rPr>
          <w:rFonts w:ascii="Courier New"/>
          <w:spacing w:val="-10"/>
          <w:sz w:val="20"/>
        </w:rPr>
        <w:t>_</w:t>
      </w:r>
    </w:p>
    <w:p>
      <w:pPr>
        <w:spacing w:before="0"/>
        <w:ind w:left="140" w:right="2052" w:firstLine="0"/>
        <w:jc w:val="both"/>
        <w:rPr>
          <w:rFonts w:ascii="Courier New"/>
          <w:sz w:val="20"/>
        </w:rPr>
      </w:pPr>
      <w:r>
        <w:rPr>
          <w:rFonts w:ascii="Courier New"/>
          <w:sz w:val="20"/>
        </w:rPr>
        <w:t>AND</w:t>
      </w:r>
      <w:r>
        <w:rPr>
          <w:rFonts w:ascii="Courier New"/>
          <w:spacing w:val="-4"/>
          <w:sz w:val="20"/>
        </w:rPr>
        <w:t> </w:t>
      </w:r>
      <w:r>
        <w:rPr>
          <w:rFonts w:ascii="Courier New"/>
          <w:sz w:val="20"/>
        </w:rPr>
        <w:t>(O</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&gt;=</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O)</w:t>
      </w:r>
      <w:r>
        <w:rPr>
          <w:rFonts w:ascii="Courier New"/>
          <w:spacing w:val="-4"/>
          <w:sz w:val="20"/>
        </w:rPr>
        <w:t> </w:t>
      </w:r>
      <w:r>
        <w:rPr>
          <w:rFonts w:ascii="Courier New"/>
          <w:sz w:val="20"/>
        </w:rPr>
        <w:t>*</w:t>
      </w:r>
      <w:r>
        <w:rPr>
          <w:rFonts w:ascii="Courier New"/>
          <w:spacing w:val="-4"/>
          <w:sz w:val="20"/>
        </w:rPr>
        <w:t> </w:t>
      </w:r>
      <w:r>
        <w:rPr>
          <w:rFonts w:ascii="Courier New"/>
          <w:sz w:val="20"/>
        </w:rPr>
        <w:t>Wick_Multiplier)</w:t>
      </w:r>
      <w:r>
        <w:rPr>
          <w:rFonts w:ascii="Courier New"/>
          <w:spacing w:val="-4"/>
          <w:sz w:val="20"/>
        </w:rPr>
        <w:t> </w:t>
      </w:r>
      <w:r>
        <w:rPr>
          <w:rFonts w:ascii="Courier New"/>
          <w:sz w:val="20"/>
        </w:rPr>
        <w:t>_ AND</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C)</w:t>
      </w:r>
      <w:r>
        <w:rPr>
          <w:rFonts w:ascii="Courier New"/>
          <w:spacing w:val="-4"/>
          <w:sz w:val="20"/>
        </w:rPr>
        <w:t> </w:t>
      </w:r>
      <w:r>
        <w:rPr>
          <w:rFonts w:ascii="Courier New"/>
          <w:sz w:val="20"/>
        </w:rPr>
        <w:t>&lt;=</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w:t>
      </w:r>
      <w:r>
        <w:rPr>
          <w:rFonts w:ascii="Courier New"/>
          <w:spacing w:val="-4"/>
          <w:sz w:val="20"/>
        </w:rPr>
        <w:t> </w:t>
      </w:r>
      <w:r>
        <w:rPr>
          <w:rFonts w:ascii="Courier New"/>
          <w:sz w:val="20"/>
        </w:rPr>
        <w:t>Body_Percentage)</w:t>
      </w:r>
      <w:r>
        <w:rPr>
          <w:rFonts w:ascii="Courier New"/>
          <w:spacing w:val="-4"/>
          <w:sz w:val="20"/>
        </w:rPr>
        <w:t> </w:t>
      </w:r>
      <w:r>
        <w:rPr>
          <w:rFonts w:ascii="Courier New"/>
          <w:sz w:val="20"/>
        </w:rPr>
        <w:t>_ OR C &lt; O _</w:t>
      </w:r>
    </w:p>
    <w:p>
      <w:pPr>
        <w:spacing w:before="0"/>
        <w:ind w:left="140" w:right="2052" w:firstLine="0"/>
        <w:jc w:val="both"/>
        <w:rPr>
          <w:rFonts w:ascii="Courier New"/>
          <w:sz w:val="20"/>
        </w:rPr>
      </w:pPr>
      <w:r>
        <w:rPr>
          <w:rFonts w:ascii="Courier New"/>
          <w:sz w:val="20"/>
        </w:rPr>
        <w:t>AND</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&gt;=</w:t>
      </w:r>
      <w:r>
        <w:rPr>
          <w:rFonts w:ascii="Courier New"/>
          <w:spacing w:val="-4"/>
          <w:sz w:val="20"/>
        </w:rPr>
        <w:t> </w:t>
      </w:r>
      <w:r>
        <w:rPr>
          <w:rFonts w:ascii="Courier New"/>
          <w:sz w:val="20"/>
        </w:rPr>
        <w:t>((O</w:t>
      </w:r>
      <w:r>
        <w:rPr>
          <w:rFonts w:ascii="Courier New"/>
          <w:spacing w:val="-4"/>
          <w:sz w:val="20"/>
        </w:rPr>
        <w:t> </w:t>
      </w:r>
      <w:r>
        <w:rPr>
          <w:rFonts w:ascii="Courier New"/>
          <w:sz w:val="20"/>
        </w:rPr>
        <w:t>-</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Wick_Multiplier)</w:t>
      </w:r>
      <w:r>
        <w:rPr>
          <w:rFonts w:ascii="Courier New"/>
          <w:spacing w:val="-4"/>
          <w:sz w:val="20"/>
        </w:rPr>
        <w:t> </w:t>
      </w:r>
      <w:r>
        <w:rPr>
          <w:rFonts w:ascii="Courier New"/>
          <w:sz w:val="20"/>
        </w:rPr>
        <w:t>_ AND</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C)</w:t>
      </w:r>
      <w:r>
        <w:rPr>
          <w:rFonts w:ascii="Courier New"/>
          <w:spacing w:val="-4"/>
          <w:sz w:val="20"/>
        </w:rPr>
        <w:t> </w:t>
      </w:r>
      <w:r>
        <w:rPr>
          <w:rFonts w:ascii="Courier New"/>
          <w:sz w:val="20"/>
        </w:rPr>
        <w:t>&lt;=</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w:t>
      </w:r>
      <w:r>
        <w:rPr>
          <w:rFonts w:ascii="Courier New"/>
          <w:spacing w:val="-4"/>
          <w:sz w:val="20"/>
        </w:rPr>
        <w:t> </w:t>
      </w:r>
      <w:r>
        <w:rPr>
          <w:rFonts w:ascii="Courier New"/>
          <w:sz w:val="20"/>
        </w:rPr>
        <w:t>Body_Percentage)</w:t>
      </w:r>
      <w:r>
        <w:rPr>
          <w:rFonts w:ascii="Courier New"/>
          <w:spacing w:val="-4"/>
          <w:sz w:val="20"/>
        </w:rPr>
        <w:t> </w:t>
      </w:r>
      <w:r>
        <w:rPr>
          <w:rFonts w:ascii="Courier New"/>
          <w:sz w:val="20"/>
        </w:rPr>
        <w:t>_ OR C = O AND NOT C = H _</w:t>
      </w:r>
    </w:p>
    <w:p>
      <w:pPr>
        <w:spacing w:before="0"/>
        <w:ind w:left="140" w:right="2052" w:firstLine="0"/>
        <w:jc w:val="both"/>
        <w:rPr>
          <w:rFonts w:ascii="Courier New"/>
          <w:sz w:val="20"/>
        </w:rPr>
      </w:pPr>
      <w:r>
        <w:rPr>
          <w:rFonts w:ascii="Courier New"/>
          <w:sz w:val="20"/>
        </w:rPr>
        <w:t>AND</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&gt;=</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Wick_Multiplier)</w:t>
      </w:r>
      <w:r>
        <w:rPr>
          <w:rFonts w:ascii="Courier New"/>
          <w:spacing w:val="-4"/>
          <w:sz w:val="20"/>
        </w:rPr>
        <w:t> </w:t>
      </w:r>
      <w:r>
        <w:rPr>
          <w:rFonts w:ascii="Courier New"/>
          <w:sz w:val="20"/>
        </w:rPr>
        <w:t>_ AND</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C)</w:t>
      </w:r>
      <w:r>
        <w:rPr>
          <w:rFonts w:ascii="Courier New"/>
          <w:spacing w:val="-4"/>
          <w:sz w:val="20"/>
        </w:rPr>
        <w:t> </w:t>
      </w:r>
      <w:r>
        <w:rPr>
          <w:rFonts w:ascii="Courier New"/>
          <w:sz w:val="20"/>
        </w:rPr>
        <w:t>&lt;=</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w:t>
      </w:r>
      <w:r>
        <w:rPr>
          <w:rFonts w:ascii="Courier New"/>
          <w:spacing w:val="-4"/>
          <w:sz w:val="20"/>
        </w:rPr>
        <w:t> </w:t>
      </w:r>
      <w:r>
        <w:rPr>
          <w:rFonts w:ascii="Courier New"/>
          <w:sz w:val="20"/>
        </w:rPr>
        <w:t>Body_Percentage)</w:t>
      </w:r>
      <w:r>
        <w:rPr>
          <w:rFonts w:ascii="Courier New"/>
          <w:spacing w:val="-4"/>
          <w:sz w:val="20"/>
        </w:rPr>
        <w:t> </w:t>
      </w:r>
      <w:r>
        <w:rPr>
          <w:rFonts w:ascii="Courier New"/>
          <w:sz w:val="20"/>
        </w:rPr>
        <w:t>_ OR O = H AND C = H _</w:t>
      </w:r>
    </w:p>
    <w:p>
      <w:pPr>
        <w:spacing w:line="226" w:lineRule="exact" w:before="0"/>
        <w:ind w:left="140" w:right="0" w:firstLine="0"/>
        <w:jc w:val="both"/>
        <w:rPr>
          <w:rFonts w:ascii="Courier New"/>
          <w:sz w:val="20"/>
        </w:rPr>
      </w:pPr>
      <w:r>
        <w:rPr>
          <w:rFonts w:ascii="Courier New"/>
          <w:sz w:val="20"/>
        </w:rPr>
        <w:t>AND</w:t>
      </w:r>
      <w:r>
        <w:rPr>
          <w:rFonts w:ascii="Courier New"/>
          <w:spacing w:val="-4"/>
          <w:sz w:val="20"/>
        </w:rPr>
        <w:t> </w:t>
      </w:r>
      <w:r>
        <w:rPr>
          <w:rFonts w:ascii="Courier New"/>
          <w:sz w:val="20"/>
        </w:rPr>
        <w:t>H</w:t>
      </w:r>
      <w:r>
        <w:rPr>
          <w:rFonts w:ascii="Courier New"/>
          <w:spacing w:val="-3"/>
          <w:sz w:val="20"/>
        </w:rPr>
        <w:t> </w:t>
      </w:r>
      <w:r>
        <w:rPr>
          <w:rFonts w:ascii="Courier New"/>
          <w:sz w:val="20"/>
        </w:rPr>
        <w:t>-</w:t>
      </w:r>
      <w:r>
        <w:rPr>
          <w:rFonts w:ascii="Courier New"/>
          <w:spacing w:val="-3"/>
          <w:sz w:val="20"/>
        </w:rPr>
        <w:t> </w:t>
      </w:r>
      <w:r>
        <w:rPr>
          <w:rFonts w:ascii="Courier New"/>
          <w:sz w:val="20"/>
        </w:rPr>
        <w:t>L</w:t>
      </w:r>
      <w:r>
        <w:rPr>
          <w:rFonts w:ascii="Courier New"/>
          <w:spacing w:val="-4"/>
          <w:sz w:val="20"/>
        </w:rPr>
        <w:t> </w:t>
      </w:r>
      <w:r>
        <w:rPr>
          <w:rFonts w:ascii="Courier New"/>
          <w:sz w:val="20"/>
        </w:rPr>
        <w:t>&gt;=</w:t>
      </w:r>
      <w:r>
        <w:rPr>
          <w:rFonts w:ascii="Courier New"/>
          <w:spacing w:val="-3"/>
          <w:sz w:val="20"/>
        </w:rPr>
        <w:t> </w:t>
      </w:r>
      <w:r>
        <w:rPr>
          <w:rFonts w:ascii="Courier New"/>
          <w:sz w:val="20"/>
        </w:rPr>
        <w:t>AVG(H-L,</w:t>
      </w:r>
      <w:r>
        <w:rPr>
          <w:rFonts w:ascii="Courier New"/>
          <w:spacing w:val="-3"/>
          <w:sz w:val="20"/>
        </w:rPr>
        <w:t> </w:t>
      </w:r>
      <w:r>
        <w:rPr>
          <w:rFonts w:ascii="Courier New"/>
          <w:sz w:val="20"/>
        </w:rPr>
        <w:t>50)</w:t>
      </w:r>
      <w:r>
        <w:rPr>
          <w:rFonts w:ascii="Courier New"/>
          <w:spacing w:val="-3"/>
          <w:sz w:val="20"/>
        </w:rPr>
        <w:t> </w:t>
      </w:r>
      <w:r>
        <w:rPr>
          <w:rFonts w:ascii="Courier New"/>
          <w:spacing w:val="-4"/>
          <w:sz w:val="20"/>
        </w:rPr>
        <w:t>Then</w:t>
      </w:r>
    </w:p>
    <w:p>
      <w:pPr>
        <w:spacing w:before="1"/>
        <w:ind w:left="860" w:right="0" w:firstLine="0"/>
        <w:jc w:val="left"/>
        <w:rPr>
          <w:rFonts w:ascii="Courier New"/>
          <w:sz w:val="20"/>
        </w:rPr>
      </w:pPr>
      <w:r>
        <w:rPr>
          <w:rFonts w:ascii="Courier New"/>
          <w:sz w:val="20"/>
        </w:rPr>
        <w:t>Signal</w:t>
      </w:r>
      <w:r>
        <w:rPr>
          <w:rFonts w:ascii="Courier New"/>
          <w:spacing w:val="-5"/>
          <w:sz w:val="20"/>
        </w:rPr>
        <w:t> </w:t>
      </w:r>
      <w:r>
        <w:rPr>
          <w:rFonts w:ascii="Courier New"/>
          <w:sz w:val="20"/>
        </w:rPr>
        <w:t>=</w:t>
      </w:r>
      <w:r>
        <w:rPr>
          <w:rFonts w:ascii="Courier New"/>
          <w:spacing w:val="-4"/>
          <w:sz w:val="20"/>
        </w:rPr>
        <w:t> </w:t>
      </w:r>
      <w:r>
        <w:rPr>
          <w:rFonts w:ascii="Courier New"/>
          <w:spacing w:val="-2"/>
          <w:sz w:val="20"/>
        </w:rPr>
        <w:t>LongSignal</w:t>
      </w:r>
    </w:p>
    <w:p>
      <w:pPr>
        <w:pStyle w:val="BodyText"/>
        <w:rPr>
          <w:rFonts w:ascii="Courier New"/>
          <w:sz w:val="20"/>
        </w:rPr>
      </w:pPr>
    </w:p>
    <w:p>
      <w:pPr>
        <w:spacing w:line="226" w:lineRule="exact" w:before="0"/>
        <w:ind w:left="140" w:right="0" w:firstLine="0"/>
        <w:jc w:val="both"/>
        <w:rPr>
          <w:rFonts w:ascii="Courier New"/>
          <w:sz w:val="20"/>
        </w:rPr>
      </w:pPr>
      <w:r>
        <w:rPr>
          <w:rFonts w:ascii="Courier New"/>
          <w:sz w:val="20"/>
        </w:rPr>
        <w:t>ElseIf</w:t>
      </w:r>
      <w:r>
        <w:rPr>
          <w:rFonts w:ascii="Courier New"/>
          <w:spacing w:val="-3"/>
          <w:sz w:val="20"/>
        </w:rPr>
        <w:t> </w:t>
      </w:r>
      <w:r>
        <w:rPr>
          <w:rFonts w:ascii="Courier New"/>
          <w:sz w:val="20"/>
        </w:rPr>
        <w:t>C</w:t>
      </w:r>
      <w:r>
        <w:rPr>
          <w:rFonts w:ascii="Courier New"/>
          <w:spacing w:val="-3"/>
          <w:sz w:val="20"/>
        </w:rPr>
        <w:t> </w:t>
      </w:r>
      <w:r>
        <w:rPr>
          <w:rFonts w:ascii="Courier New"/>
          <w:sz w:val="20"/>
        </w:rPr>
        <w:t>&lt;</w:t>
      </w:r>
      <w:r>
        <w:rPr>
          <w:rFonts w:ascii="Courier New"/>
          <w:spacing w:val="-3"/>
          <w:sz w:val="20"/>
        </w:rPr>
        <w:t> </w:t>
      </w:r>
      <w:r>
        <w:rPr>
          <w:rFonts w:ascii="Courier New"/>
          <w:sz w:val="20"/>
        </w:rPr>
        <w:t>O</w:t>
      </w:r>
      <w:r>
        <w:rPr>
          <w:rFonts w:ascii="Courier New"/>
          <w:spacing w:val="-2"/>
          <w:sz w:val="20"/>
        </w:rPr>
        <w:t> </w:t>
      </w:r>
      <w:r>
        <w:rPr>
          <w:rFonts w:ascii="Courier New"/>
          <w:spacing w:val="-10"/>
          <w:sz w:val="20"/>
        </w:rPr>
        <w:t>_</w:t>
      </w:r>
    </w:p>
    <w:p>
      <w:pPr>
        <w:spacing w:before="0"/>
        <w:ind w:left="140" w:right="2052" w:firstLine="0"/>
        <w:jc w:val="both"/>
        <w:rPr>
          <w:rFonts w:ascii="Courier New"/>
          <w:sz w:val="20"/>
        </w:rPr>
      </w:pPr>
      <w:r>
        <w:rPr>
          <w:rFonts w:ascii="Courier New"/>
          <w:sz w:val="20"/>
        </w:rPr>
        <w:t>AND</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O)</w:t>
      </w:r>
      <w:r>
        <w:rPr>
          <w:rFonts w:ascii="Courier New"/>
          <w:spacing w:val="-4"/>
          <w:sz w:val="20"/>
        </w:rPr>
        <w:t> </w:t>
      </w:r>
      <w:r>
        <w:rPr>
          <w:rFonts w:ascii="Courier New"/>
          <w:sz w:val="20"/>
        </w:rPr>
        <w:t>&gt;=</w:t>
      </w:r>
      <w:r>
        <w:rPr>
          <w:rFonts w:ascii="Courier New"/>
          <w:spacing w:val="-4"/>
          <w:sz w:val="20"/>
        </w:rPr>
        <w:t> </w:t>
      </w:r>
      <w:r>
        <w:rPr>
          <w:rFonts w:ascii="Courier New"/>
          <w:sz w:val="20"/>
        </w:rPr>
        <w:t>((O</w:t>
      </w:r>
      <w:r>
        <w:rPr>
          <w:rFonts w:ascii="Courier New"/>
          <w:spacing w:val="-4"/>
          <w:sz w:val="20"/>
        </w:rPr>
        <w:t> </w:t>
      </w:r>
      <w:r>
        <w:rPr>
          <w:rFonts w:ascii="Courier New"/>
          <w:sz w:val="20"/>
        </w:rPr>
        <w:t>-</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Wick_Multiplier)</w:t>
      </w:r>
      <w:r>
        <w:rPr>
          <w:rFonts w:ascii="Courier New"/>
          <w:spacing w:val="-4"/>
          <w:sz w:val="20"/>
        </w:rPr>
        <w:t> </w:t>
      </w:r>
      <w:r>
        <w:rPr>
          <w:rFonts w:ascii="Courier New"/>
          <w:sz w:val="20"/>
        </w:rPr>
        <w:t>_ AND</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&lt;=</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w:t>
      </w:r>
      <w:r>
        <w:rPr>
          <w:rFonts w:ascii="Courier New"/>
          <w:spacing w:val="-4"/>
          <w:sz w:val="20"/>
        </w:rPr>
        <w:t> </w:t>
      </w:r>
      <w:r>
        <w:rPr>
          <w:rFonts w:ascii="Courier New"/>
          <w:sz w:val="20"/>
        </w:rPr>
        <w:t>Body_Percentage)</w:t>
      </w:r>
      <w:r>
        <w:rPr>
          <w:rFonts w:ascii="Courier New"/>
          <w:spacing w:val="-4"/>
          <w:sz w:val="20"/>
        </w:rPr>
        <w:t> </w:t>
      </w:r>
      <w:r>
        <w:rPr>
          <w:rFonts w:ascii="Courier New"/>
          <w:sz w:val="20"/>
        </w:rPr>
        <w:t>_ OR C &gt; O _</w:t>
      </w:r>
    </w:p>
    <w:p>
      <w:pPr>
        <w:spacing w:before="0"/>
        <w:ind w:left="140" w:right="2052" w:firstLine="0"/>
        <w:jc w:val="both"/>
        <w:rPr>
          <w:rFonts w:ascii="Courier New"/>
          <w:sz w:val="20"/>
        </w:rPr>
      </w:pPr>
      <w:r>
        <w:rPr>
          <w:rFonts w:ascii="Courier New"/>
          <w:sz w:val="20"/>
        </w:rPr>
        <w:t>AND</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C)</w:t>
      </w:r>
      <w:r>
        <w:rPr>
          <w:rFonts w:ascii="Courier New"/>
          <w:spacing w:val="-4"/>
          <w:sz w:val="20"/>
        </w:rPr>
        <w:t> </w:t>
      </w:r>
      <w:r>
        <w:rPr>
          <w:rFonts w:ascii="Courier New"/>
          <w:sz w:val="20"/>
        </w:rPr>
        <w:t>&gt;=</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O)</w:t>
      </w:r>
      <w:r>
        <w:rPr>
          <w:rFonts w:ascii="Courier New"/>
          <w:spacing w:val="-4"/>
          <w:sz w:val="20"/>
        </w:rPr>
        <w:t> </w:t>
      </w:r>
      <w:r>
        <w:rPr>
          <w:rFonts w:ascii="Courier New"/>
          <w:sz w:val="20"/>
        </w:rPr>
        <w:t>*</w:t>
      </w:r>
      <w:r>
        <w:rPr>
          <w:rFonts w:ascii="Courier New"/>
          <w:spacing w:val="-4"/>
          <w:sz w:val="20"/>
        </w:rPr>
        <w:t> </w:t>
      </w:r>
      <w:r>
        <w:rPr>
          <w:rFonts w:ascii="Courier New"/>
          <w:sz w:val="20"/>
        </w:rPr>
        <w:t>Wick_Multiplier)</w:t>
      </w:r>
      <w:r>
        <w:rPr>
          <w:rFonts w:ascii="Courier New"/>
          <w:spacing w:val="-4"/>
          <w:sz w:val="20"/>
        </w:rPr>
        <w:t> </w:t>
      </w:r>
      <w:r>
        <w:rPr>
          <w:rFonts w:ascii="Courier New"/>
          <w:sz w:val="20"/>
        </w:rPr>
        <w:t>_ AND</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&lt;=</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w:t>
      </w:r>
      <w:r>
        <w:rPr>
          <w:rFonts w:ascii="Courier New"/>
          <w:spacing w:val="-4"/>
          <w:sz w:val="20"/>
        </w:rPr>
        <w:t> </w:t>
      </w:r>
      <w:r>
        <w:rPr>
          <w:rFonts w:ascii="Courier New"/>
          <w:sz w:val="20"/>
        </w:rPr>
        <w:t>Body_Percentage)</w:t>
      </w:r>
      <w:r>
        <w:rPr>
          <w:rFonts w:ascii="Courier New"/>
          <w:spacing w:val="-4"/>
          <w:sz w:val="20"/>
        </w:rPr>
        <w:t> </w:t>
      </w:r>
      <w:r>
        <w:rPr>
          <w:rFonts w:ascii="Courier New"/>
          <w:sz w:val="20"/>
        </w:rPr>
        <w:t>_ OR C = O AND NOT C = L _</w:t>
      </w:r>
    </w:p>
    <w:p>
      <w:pPr>
        <w:spacing w:before="0"/>
        <w:ind w:left="140" w:right="2052" w:firstLine="0"/>
        <w:jc w:val="both"/>
        <w:rPr>
          <w:rFonts w:ascii="Courier New"/>
          <w:sz w:val="20"/>
        </w:rPr>
      </w:pPr>
      <w:r>
        <w:rPr>
          <w:rFonts w:ascii="Courier New"/>
          <w:sz w:val="20"/>
        </w:rPr>
        <w:t>AND</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&gt;=</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w:t>
      </w:r>
      <w:r>
        <w:rPr>
          <w:rFonts w:ascii="Courier New"/>
          <w:spacing w:val="-4"/>
          <w:sz w:val="20"/>
        </w:rPr>
        <w:t> </w:t>
      </w:r>
      <w:r>
        <w:rPr>
          <w:rFonts w:ascii="Courier New"/>
          <w:sz w:val="20"/>
        </w:rPr>
        <w:t>Wick_Multiplier)</w:t>
      </w:r>
      <w:r>
        <w:rPr>
          <w:rFonts w:ascii="Courier New"/>
          <w:spacing w:val="-4"/>
          <w:sz w:val="20"/>
        </w:rPr>
        <w:t> </w:t>
      </w:r>
      <w:r>
        <w:rPr>
          <w:rFonts w:ascii="Courier New"/>
          <w:sz w:val="20"/>
        </w:rPr>
        <w:t>_ AND</w:t>
      </w:r>
      <w:r>
        <w:rPr>
          <w:rFonts w:ascii="Courier New"/>
          <w:spacing w:val="-4"/>
          <w:sz w:val="20"/>
        </w:rPr>
        <w:t> </w:t>
      </w:r>
      <w:r>
        <w:rPr>
          <w:rFonts w:ascii="Courier New"/>
          <w:sz w:val="20"/>
        </w:rPr>
        <w:t>(C</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&lt;=</w:t>
      </w:r>
      <w:r>
        <w:rPr>
          <w:rFonts w:ascii="Courier New"/>
          <w:spacing w:val="-4"/>
          <w:sz w:val="20"/>
        </w:rPr>
        <w:t> </w:t>
      </w:r>
      <w:r>
        <w:rPr>
          <w:rFonts w:ascii="Courier New"/>
          <w:sz w:val="20"/>
        </w:rPr>
        <w:t>((H</w:t>
      </w:r>
      <w:r>
        <w:rPr>
          <w:rFonts w:ascii="Courier New"/>
          <w:spacing w:val="-4"/>
          <w:sz w:val="20"/>
        </w:rPr>
        <w:t> </w:t>
      </w:r>
      <w:r>
        <w:rPr>
          <w:rFonts w:ascii="Courier New"/>
          <w:sz w:val="20"/>
        </w:rPr>
        <w:t>-</w:t>
      </w:r>
      <w:r>
        <w:rPr>
          <w:rFonts w:ascii="Courier New"/>
          <w:spacing w:val="-4"/>
          <w:sz w:val="20"/>
        </w:rPr>
        <w:t> </w:t>
      </w:r>
      <w:r>
        <w:rPr>
          <w:rFonts w:ascii="Courier New"/>
          <w:sz w:val="20"/>
        </w:rPr>
        <w:t>L)</w:t>
      </w:r>
      <w:r>
        <w:rPr>
          <w:rFonts w:ascii="Courier New"/>
          <w:spacing w:val="-4"/>
          <w:sz w:val="20"/>
        </w:rPr>
        <w:t> </w:t>
      </w:r>
      <w:r>
        <w:rPr>
          <w:rFonts w:ascii="Courier New"/>
          <w:sz w:val="20"/>
        </w:rPr>
        <w:t>*</w:t>
      </w:r>
      <w:r>
        <w:rPr>
          <w:rFonts w:ascii="Courier New"/>
          <w:spacing w:val="-4"/>
          <w:sz w:val="20"/>
        </w:rPr>
        <w:t> </w:t>
      </w:r>
      <w:r>
        <w:rPr>
          <w:rFonts w:ascii="Courier New"/>
          <w:sz w:val="20"/>
        </w:rPr>
        <w:t>Body_Percentage)</w:t>
      </w:r>
      <w:r>
        <w:rPr>
          <w:rFonts w:ascii="Courier New"/>
          <w:spacing w:val="-4"/>
          <w:sz w:val="20"/>
        </w:rPr>
        <w:t> </w:t>
      </w:r>
      <w:r>
        <w:rPr>
          <w:rFonts w:ascii="Courier New"/>
          <w:sz w:val="20"/>
        </w:rPr>
        <w:t>_ OR O = L AND C = L _</w:t>
      </w:r>
    </w:p>
    <w:p>
      <w:pPr>
        <w:spacing w:line="226" w:lineRule="exact" w:before="0"/>
        <w:ind w:left="140" w:right="0" w:firstLine="0"/>
        <w:jc w:val="both"/>
        <w:rPr>
          <w:rFonts w:ascii="Courier New"/>
          <w:sz w:val="20"/>
        </w:rPr>
      </w:pPr>
      <w:r>
        <w:rPr>
          <w:rFonts w:ascii="Courier New"/>
          <w:sz w:val="20"/>
        </w:rPr>
        <w:t>AND</w:t>
      </w:r>
      <w:r>
        <w:rPr>
          <w:rFonts w:ascii="Courier New"/>
          <w:spacing w:val="-4"/>
          <w:sz w:val="20"/>
        </w:rPr>
        <w:t> </w:t>
      </w:r>
      <w:r>
        <w:rPr>
          <w:rFonts w:ascii="Courier New"/>
          <w:sz w:val="20"/>
        </w:rPr>
        <w:t>H</w:t>
      </w:r>
      <w:r>
        <w:rPr>
          <w:rFonts w:ascii="Courier New"/>
          <w:spacing w:val="-3"/>
          <w:sz w:val="20"/>
        </w:rPr>
        <w:t> </w:t>
      </w:r>
      <w:r>
        <w:rPr>
          <w:rFonts w:ascii="Courier New"/>
          <w:sz w:val="20"/>
        </w:rPr>
        <w:t>-</w:t>
      </w:r>
      <w:r>
        <w:rPr>
          <w:rFonts w:ascii="Courier New"/>
          <w:spacing w:val="-3"/>
          <w:sz w:val="20"/>
        </w:rPr>
        <w:t> </w:t>
      </w:r>
      <w:r>
        <w:rPr>
          <w:rFonts w:ascii="Courier New"/>
          <w:sz w:val="20"/>
        </w:rPr>
        <w:t>L</w:t>
      </w:r>
      <w:r>
        <w:rPr>
          <w:rFonts w:ascii="Courier New"/>
          <w:spacing w:val="-4"/>
          <w:sz w:val="20"/>
        </w:rPr>
        <w:t> </w:t>
      </w:r>
      <w:r>
        <w:rPr>
          <w:rFonts w:ascii="Courier New"/>
          <w:sz w:val="20"/>
        </w:rPr>
        <w:t>&gt;=</w:t>
      </w:r>
      <w:r>
        <w:rPr>
          <w:rFonts w:ascii="Courier New"/>
          <w:spacing w:val="-3"/>
          <w:sz w:val="20"/>
        </w:rPr>
        <w:t> </w:t>
      </w:r>
      <w:r>
        <w:rPr>
          <w:rFonts w:ascii="Courier New"/>
          <w:sz w:val="20"/>
        </w:rPr>
        <w:t>AVG(H-L,</w:t>
      </w:r>
      <w:r>
        <w:rPr>
          <w:rFonts w:ascii="Courier New"/>
          <w:spacing w:val="-3"/>
          <w:sz w:val="20"/>
        </w:rPr>
        <w:t> </w:t>
      </w:r>
      <w:r>
        <w:rPr>
          <w:rFonts w:ascii="Courier New"/>
          <w:sz w:val="20"/>
        </w:rPr>
        <w:t>50)</w:t>
      </w:r>
      <w:r>
        <w:rPr>
          <w:rFonts w:ascii="Courier New"/>
          <w:spacing w:val="-3"/>
          <w:sz w:val="20"/>
        </w:rPr>
        <w:t> </w:t>
      </w:r>
      <w:r>
        <w:rPr>
          <w:rFonts w:ascii="Courier New"/>
          <w:spacing w:val="-4"/>
          <w:sz w:val="20"/>
        </w:rPr>
        <w:t>Then</w:t>
      </w:r>
    </w:p>
    <w:p>
      <w:pPr>
        <w:spacing w:line="480" w:lineRule="auto" w:before="0"/>
        <w:ind w:left="140" w:right="4023" w:firstLine="720"/>
        <w:jc w:val="left"/>
        <w:rPr>
          <w:rFonts w:ascii="Courier New"/>
          <w:sz w:val="20"/>
        </w:rPr>
      </w:pPr>
      <w:r>
        <w:rPr>
          <w:rFonts w:ascii="Courier New"/>
          <w:sz w:val="20"/>
        </w:rPr>
        <w:t>Signal</w:t>
      </w:r>
      <w:r>
        <w:rPr>
          <w:rFonts w:ascii="Courier New"/>
          <w:spacing w:val="-18"/>
          <w:sz w:val="20"/>
        </w:rPr>
        <w:t> </w:t>
      </w:r>
      <w:r>
        <w:rPr>
          <w:rFonts w:ascii="Courier New"/>
          <w:sz w:val="20"/>
        </w:rPr>
        <w:t>=</w:t>
      </w:r>
      <w:r>
        <w:rPr>
          <w:rFonts w:ascii="Courier New"/>
          <w:spacing w:val="-18"/>
          <w:sz w:val="20"/>
        </w:rPr>
        <w:t> </w:t>
      </w:r>
      <w:r>
        <w:rPr>
          <w:rFonts w:ascii="Courier New"/>
          <w:sz w:val="20"/>
        </w:rPr>
        <w:t>ShortSignal End If</w:t>
      </w:r>
    </w:p>
    <w:p>
      <w:pPr>
        <w:spacing w:after="0" w:line="480" w:lineRule="auto"/>
        <w:jc w:val="left"/>
        <w:rPr>
          <w:rFonts w:ascii="Courier New"/>
          <w:sz w:val="20"/>
        </w:rPr>
        <w:sectPr>
          <w:headerReference w:type="even" r:id="rId365"/>
          <w:headerReference w:type="default" r:id="rId366"/>
          <w:pgSz w:w="8640" w:h="12960"/>
          <w:pgMar w:header="579" w:footer="1060" w:top="760" w:bottom="1260" w:left="580" w:right="580"/>
        </w:sectPr>
      </w:pPr>
    </w:p>
    <w:p>
      <w:pPr>
        <w:pStyle w:val="BodyText"/>
        <w:rPr>
          <w:rFonts w:ascii="Courier New"/>
          <w:sz w:val="20"/>
        </w:rPr>
      </w:pPr>
    </w:p>
    <w:p>
      <w:pPr>
        <w:pStyle w:val="BodyText"/>
        <w:rPr>
          <w:rFonts w:ascii="Courier New"/>
          <w:sz w:val="20"/>
        </w:rPr>
      </w:pPr>
    </w:p>
    <w:p>
      <w:pPr>
        <w:pStyle w:val="BodyText"/>
        <w:spacing w:before="6"/>
        <w:rPr>
          <w:rFonts w:ascii="Courier New"/>
          <w:sz w:val="10"/>
        </w:rPr>
      </w:pPr>
    </w:p>
    <w:p>
      <w:pPr>
        <w:pStyle w:val="BodyText"/>
        <w:ind w:left="864"/>
        <w:rPr>
          <w:rFonts w:ascii="Courier New"/>
          <w:sz w:val="20"/>
        </w:rPr>
      </w:pPr>
      <w:r>
        <w:rPr>
          <w:rFonts w:ascii="Courier New"/>
          <w:sz w:val="20"/>
        </w:rPr>
        <w:pict>
          <v:group style="width:305.55pt;height:29pt;mso-position-horizontal-relative:char;mso-position-vertical-relative:line" id="docshapegroup1083" coordorigin="0,0" coordsize="6111,580">
            <v:rect style="position:absolute;left:19;top:0;width:6072;height:580" id="docshape1084" filled="true" fillcolor="#000000" stroked="false">
              <v:fill type="solid"/>
            </v:rect>
            <v:shape style="position:absolute;left:0;top:0;width:6111;height:580" id="docshape1085" coordorigin="0,0" coordsize="6111,580" path="m19,0l0,0,0,580,19,580,19,0xm6110,0l6091,0,6091,580,6110,580,6110,0xe" filled="true" fillcolor="#3f3f3f" stroked="false">
              <v:path arrowok="t"/>
              <v:fill type="solid"/>
            </v:shape>
            <v:shape style="position:absolute;left:19;top:0;width:6072;height:580" type="#_x0000_t202" id="docshape1086" filled="false" stroked="false">
              <v:textbox inset="0,0,0,0">
                <w:txbxContent>
                  <w:p>
                    <w:pPr>
                      <w:spacing w:line="237" w:lineRule="auto" w:before="1"/>
                      <w:ind w:left="1432" w:right="1340" w:firstLine="64"/>
                      <w:jc w:val="left"/>
                      <w:rPr>
                        <w:rFonts w:ascii="Verdana"/>
                        <w:sz w:val="24"/>
                      </w:rPr>
                    </w:pPr>
                    <w:r>
                      <w:rPr>
                        <w:rFonts w:ascii="Verdana"/>
                        <w:color w:val="FFFFFF"/>
                        <w:sz w:val="24"/>
                      </w:rPr>
                      <w:t>Extreme</w:t>
                    </w:r>
                    <w:r>
                      <w:rPr>
                        <w:rFonts w:ascii="Verdana"/>
                        <w:color w:val="FFFFFF"/>
                        <w:spacing w:val="-5"/>
                        <w:sz w:val="24"/>
                      </w:rPr>
                      <w:t> </w:t>
                    </w:r>
                    <w:r>
                      <w:rPr>
                        <w:rFonts w:ascii="Verdana"/>
                        <w:color w:val="FFFFFF"/>
                        <w:sz w:val="24"/>
                      </w:rPr>
                      <w:t>Reversal</w:t>
                    </w:r>
                    <w:r>
                      <w:rPr>
                        <w:rFonts w:ascii="Verdana"/>
                        <w:color w:val="FFFFFF"/>
                        <w:spacing w:val="-5"/>
                        <w:sz w:val="24"/>
                      </w:rPr>
                      <w:t> </w:t>
                    </w:r>
                    <w:r>
                      <w:rPr>
                        <w:rFonts w:ascii="Verdana"/>
                        <w:color w:val="FFFFFF"/>
                        <w:sz w:val="24"/>
                      </w:rPr>
                      <w:t>System </w:t>
                    </w:r>
                    <w:r>
                      <w:rPr>
                        <w:rFonts w:ascii="Verdana"/>
                        <w:color w:val="FFFFFF"/>
                        <w:spacing w:val="-2"/>
                        <w:sz w:val="24"/>
                      </w:rPr>
                      <w:t>File</w:t>
                    </w:r>
                    <w:r>
                      <w:rPr>
                        <w:rFonts w:ascii="Verdana"/>
                        <w:color w:val="FFFFFF"/>
                        <w:spacing w:val="-18"/>
                        <w:sz w:val="24"/>
                      </w:rPr>
                      <w:t> </w:t>
                    </w:r>
                    <w:r>
                      <w:rPr>
                        <w:rFonts w:ascii="Verdana"/>
                        <w:color w:val="FFFFFF"/>
                        <w:spacing w:val="-2"/>
                        <w:sz w:val="24"/>
                      </w:rPr>
                      <w:t>Name:</w:t>
                    </w:r>
                    <w:r>
                      <w:rPr>
                        <w:rFonts w:ascii="Verdana"/>
                        <w:color w:val="FFFFFF"/>
                        <w:spacing w:val="-16"/>
                        <w:sz w:val="24"/>
                      </w:rPr>
                      <w:t> </w:t>
                    </w:r>
                    <w:r>
                      <w:rPr>
                        <w:rFonts w:ascii="Verdana"/>
                        <w:color w:val="FFFFFF"/>
                        <w:spacing w:val="-2"/>
                        <w:sz w:val="24"/>
                      </w:rPr>
                      <w:t>sysExtremeRev</w:t>
                    </w:r>
                  </w:p>
                </w:txbxContent>
              </v:textbox>
              <w10:wrap type="none"/>
            </v:shape>
          </v:group>
        </w:pict>
      </w:r>
      <w:r>
        <w:rPr>
          <w:rFonts w:ascii="Courier New"/>
          <w:sz w:val="20"/>
        </w:rPr>
      </w:r>
    </w:p>
    <w:p>
      <w:pPr>
        <w:pStyle w:val="BodyText"/>
        <w:spacing w:before="9"/>
        <w:rPr>
          <w:rFonts w:ascii="Courier New"/>
          <w:sz w:val="12"/>
        </w:rPr>
      </w:pPr>
    </w:p>
    <w:p>
      <w:pPr>
        <w:spacing w:before="77"/>
        <w:ind w:left="500" w:right="0" w:firstLine="0"/>
        <w:jc w:val="left"/>
        <w:rPr>
          <w:rFonts w:ascii="Courier New"/>
          <w:sz w:val="20"/>
        </w:rPr>
      </w:pPr>
      <w:r>
        <w:rPr>
          <w:rFonts w:ascii="Courier New"/>
          <w:spacing w:val="-2"/>
          <w:sz w:val="20"/>
        </w:rPr>
        <w:t>#System</w:t>
      </w:r>
    </w:p>
    <w:p>
      <w:pPr>
        <w:pStyle w:val="BodyText"/>
        <w:rPr>
          <w:rFonts w:ascii="Courier New"/>
          <w:sz w:val="20"/>
        </w:rPr>
      </w:pPr>
    </w:p>
    <w:p>
      <w:pPr>
        <w:spacing w:before="0"/>
        <w:ind w:left="500" w:right="0" w:firstLine="0"/>
        <w:jc w:val="left"/>
        <w:rPr>
          <w:rFonts w:ascii="Courier New"/>
          <w:sz w:val="20"/>
        </w:rPr>
      </w:pPr>
      <w:r>
        <w:rPr>
          <w:rFonts w:ascii="Courier New"/>
          <w:sz w:val="20"/>
        </w:rPr>
        <w:t>#PARAM</w:t>
      </w:r>
      <w:r>
        <w:rPr>
          <w:rFonts w:ascii="Courier New"/>
          <w:spacing w:val="-8"/>
          <w:sz w:val="20"/>
        </w:rPr>
        <w:t> </w:t>
      </w:r>
      <w:r>
        <w:rPr>
          <w:rFonts w:ascii="Courier New"/>
          <w:sz w:val="20"/>
        </w:rPr>
        <w:t>"BodySize",</w:t>
      </w:r>
      <w:r>
        <w:rPr>
          <w:rFonts w:ascii="Courier New"/>
          <w:spacing w:val="-8"/>
          <w:sz w:val="20"/>
        </w:rPr>
        <w:t> </w:t>
      </w:r>
      <w:r>
        <w:rPr>
          <w:rFonts w:ascii="Courier New"/>
          <w:sz w:val="20"/>
        </w:rPr>
        <w:t>.525,</w:t>
      </w:r>
      <w:r>
        <w:rPr>
          <w:rFonts w:ascii="Courier New"/>
          <w:spacing w:val="-8"/>
          <w:sz w:val="20"/>
        </w:rPr>
        <w:t> </w:t>
      </w:r>
      <w:r>
        <w:rPr>
          <w:rFonts w:ascii="Courier New"/>
          <w:sz w:val="20"/>
        </w:rPr>
        <w:t>.05,</w:t>
      </w:r>
      <w:r>
        <w:rPr>
          <w:rFonts w:ascii="Courier New"/>
          <w:spacing w:val="-8"/>
          <w:sz w:val="20"/>
        </w:rPr>
        <w:t> </w:t>
      </w:r>
      <w:r>
        <w:rPr>
          <w:rFonts w:ascii="Courier New"/>
          <w:spacing w:val="-10"/>
          <w:sz w:val="20"/>
        </w:rPr>
        <w:t>1</w:t>
      </w:r>
    </w:p>
    <w:p>
      <w:pPr>
        <w:spacing w:line="226" w:lineRule="exact" w:before="0"/>
        <w:ind w:left="500" w:right="0" w:firstLine="0"/>
        <w:jc w:val="left"/>
        <w:rPr>
          <w:rFonts w:ascii="Courier New"/>
          <w:sz w:val="20"/>
        </w:rPr>
      </w:pPr>
      <w:r>
        <w:rPr>
          <w:rFonts w:ascii="Courier New"/>
          <w:sz w:val="20"/>
        </w:rPr>
        <w:t>#PARAM</w:t>
      </w:r>
      <w:r>
        <w:rPr>
          <w:rFonts w:ascii="Courier New"/>
          <w:spacing w:val="-7"/>
          <w:sz w:val="20"/>
        </w:rPr>
        <w:t> </w:t>
      </w:r>
      <w:r>
        <w:rPr>
          <w:rFonts w:ascii="Courier New"/>
          <w:sz w:val="20"/>
        </w:rPr>
        <w:t>"BarsBack",</w:t>
      </w:r>
      <w:r>
        <w:rPr>
          <w:rFonts w:ascii="Courier New"/>
          <w:spacing w:val="-7"/>
          <w:sz w:val="20"/>
        </w:rPr>
        <w:t> </w:t>
      </w:r>
      <w:r>
        <w:rPr>
          <w:rFonts w:ascii="Courier New"/>
          <w:sz w:val="20"/>
        </w:rPr>
        <w:t>50,</w:t>
      </w:r>
      <w:r>
        <w:rPr>
          <w:rFonts w:ascii="Courier New"/>
          <w:spacing w:val="-6"/>
          <w:sz w:val="20"/>
        </w:rPr>
        <w:t> </w:t>
      </w:r>
      <w:r>
        <w:rPr>
          <w:rFonts w:ascii="Courier New"/>
          <w:sz w:val="20"/>
        </w:rPr>
        <w:t>1,</w:t>
      </w:r>
      <w:r>
        <w:rPr>
          <w:rFonts w:ascii="Courier New"/>
          <w:spacing w:val="-7"/>
          <w:sz w:val="20"/>
        </w:rPr>
        <w:t> </w:t>
      </w:r>
      <w:r>
        <w:rPr>
          <w:rFonts w:ascii="Courier New"/>
          <w:spacing w:val="-5"/>
          <w:sz w:val="20"/>
        </w:rPr>
        <w:t>50</w:t>
      </w:r>
    </w:p>
    <w:p>
      <w:pPr>
        <w:spacing w:line="226" w:lineRule="exact" w:before="0"/>
        <w:ind w:left="500" w:right="0" w:firstLine="0"/>
        <w:jc w:val="left"/>
        <w:rPr>
          <w:rFonts w:ascii="Courier New"/>
          <w:sz w:val="20"/>
        </w:rPr>
      </w:pPr>
      <w:r>
        <w:rPr>
          <w:rFonts w:ascii="Courier New"/>
          <w:sz w:val="20"/>
        </w:rPr>
        <w:t>#PARAM</w:t>
      </w:r>
      <w:r>
        <w:rPr>
          <w:rFonts w:ascii="Courier New"/>
          <w:spacing w:val="-9"/>
          <w:sz w:val="20"/>
        </w:rPr>
        <w:t> </w:t>
      </w:r>
      <w:r>
        <w:rPr>
          <w:rFonts w:ascii="Courier New"/>
          <w:sz w:val="20"/>
        </w:rPr>
        <w:t>"BodyMultiplier",</w:t>
      </w:r>
      <w:r>
        <w:rPr>
          <w:rFonts w:ascii="Courier New"/>
          <w:spacing w:val="-9"/>
          <w:sz w:val="20"/>
        </w:rPr>
        <w:t> </w:t>
      </w:r>
      <w:r>
        <w:rPr>
          <w:rFonts w:ascii="Courier New"/>
          <w:sz w:val="20"/>
        </w:rPr>
        <w:t>2,</w:t>
      </w:r>
      <w:r>
        <w:rPr>
          <w:rFonts w:ascii="Courier New"/>
          <w:spacing w:val="-9"/>
          <w:sz w:val="20"/>
        </w:rPr>
        <w:t> </w:t>
      </w:r>
      <w:r>
        <w:rPr>
          <w:rFonts w:ascii="Courier New"/>
          <w:sz w:val="20"/>
        </w:rPr>
        <w:t>.25,</w:t>
      </w:r>
      <w:r>
        <w:rPr>
          <w:rFonts w:ascii="Courier New"/>
          <w:spacing w:val="-8"/>
          <w:sz w:val="20"/>
        </w:rPr>
        <w:t> </w:t>
      </w:r>
      <w:r>
        <w:rPr>
          <w:rFonts w:ascii="Courier New"/>
          <w:spacing w:val="-10"/>
          <w:sz w:val="20"/>
        </w:rPr>
        <w:t>5</w:t>
      </w:r>
    </w:p>
    <w:p>
      <w:pPr>
        <w:pStyle w:val="BodyText"/>
        <w:spacing w:before="1"/>
        <w:rPr>
          <w:rFonts w:ascii="Courier New"/>
          <w:sz w:val="20"/>
        </w:rPr>
      </w:pPr>
    </w:p>
    <w:p>
      <w:pPr>
        <w:tabs>
          <w:tab w:pos="3382" w:val="left" w:leader="none"/>
        </w:tabs>
        <w:spacing w:before="0"/>
        <w:ind w:left="50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AverageBody</w:t>
      </w:r>
      <w:r>
        <w:rPr>
          <w:rFonts w:ascii="Courier New"/>
          <w:sz w:val="20"/>
        </w:rPr>
        <w:tab/>
        <w:t>As</w:t>
      </w:r>
      <w:r>
        <w:rPr>
          <w:rFonts w:ascii="Courier New"/>
          <w:spacing w:val="-3"/>
          <w:sz w:val="20"/>
        </w:rPr>
        <w:t> </w:t>
      </w:r>
      <w:r>
        <w:rPr>
          <w:rFonts w:ascii="Courier New"/>
          <w:spacing w:val="-2"/>
          <w:sz w:val="20"/>
        </w:rPr>
        <w:t>Single</w:t>
      </w:r>
    </w:p>
    <w:p>
      <w:pPr>
        <w:tabs>
          <w:tab w:pos="3382" w:val="left" w:leader="none"/>
        </w:tabs>
        <w:spacing w:before="0"/>
        <w:ind w:left="50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myBodySize</w:t>
      </w:r>
      <w:r>
        <w:rPr>
          <w:rFonts w:ascii="Courier New"/>
          <w:sz w:val="20"/>
        </w:rPr>
        <w:tab/>
        <w:t>As</w:t>
      </w:r>
      <w:r>
        <w:rPr>
          <w:rFonts w:ascii="Courier New"/>
          <w:spacing w:val="-3"/>
          <w:sz w:val="20"/>
        </w:rPr>
        <w:t> </w:t>
      </w:r>
      <w:r>
        <w:rPr>
          <w:rFonts w:ascii="Courier New"/>
          <w:spacing w:val="-2"/>
          <w:sz w:val="20"/>
        </w:rPr>
        <w:t>Single</w:t>
      </w:r>
    </w:p>
    <w:p>
      <w:pPr>
        <w:tabs>
          <w:tab w:pos="3382" w:val="left" w:leader="none"/>
        </w:tabs>
        <w:spacing w:line="226" w:lineRule="exact" w:before="0"/>
        <w:ind w:left="50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myCandleSize</w:t>
      </w:r>
      <w:r>
        <w:rPr>
          <w:rFonts w:ascii="Courier New"/>
          <w:sz w:val="20"/>
        </w:rPr>
        <w:tab/>
        <w:t>As</w:t>
      </w:r>
      <w:r>
        <w:rPr>
          <w:rFonts w:ascii="Courier New"/>
          <w:spacing w:val="-3"/>
          <w:sz w:val="20"/>
        </w:rPr>
        <w:t> </w:t>
      </w:r>
      <w:r>
        <w:rPr>
          <w:rFonts w:ascii="Courier New"/>
          <w:spacing w:val="-2"/>
          <w:sz w:val="20"/>
        </w:rPr>
        <w:t>Single</w:t>
      </w:r>
    </w:p>
    <w:p>
      <w:pPr>
        <w:tabs>
          <w:tab w:pos="3382" w:val="left" w:leader="none"/>
        </w:tabs>
        <w:spacing w:line="226" w:lineRule="exact" w:before="0"/>
        <w:ind w:left="50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AverageCandle</w:t>
      </w:r>
      <w:r>
        <w:rPr>
          <w:rFonts w:ascii="Courier New"/>
          <w:sz w:val="20"/>
        </w:rPr>
        <w:tab/>
        <w:t>As</w:t>
      </w:r>
      <w:r>
        <w:rPr>
          <w:rFonts w:ascii="Courier New"/>
          <w:spacing w:val="-3"/>
          <w:sz w:val="20"/>
        </w:rPr>
        <w:t> </w:t>
      </w:r>
      <w:r>
        <w:rPr>
          <w:rFonts w:ascii="Courier New"/>
          <w:spacing w:val="-2"/>
          <w:sz w:val="20"/>
        </w:rPr>
        <w:t>Single</w:t>
      </w:r>
    </w:p>
    <w:p>
      <w:pPr>
        <w:pStyle w:val="BodyText"/>
        <w:spacing w:before="1"/>
        <w:rPr>
          <w:rFonts w:ascii="Courier New"/>
          <w:sz w:val="20"/>
        </w:rPr>
      </w:pPr>
    </w:p>
    <w:p>
      <w:pPr>
        <w:spacing w:before="0"/>
        <w:ind w:left="500" w:right="0" w:firstLine="0"/>
        <w:jc w:val="left"/>
        <w:rPr>
          <w:rFonts w:ascii="Courier New"/>
          <w:sz w:val="20"/>
        </w:rPr>
      </w:pPr>
      <w:r>
        <w:rPr>
          <w:rFonts w:ascii="Courier New"/>
          <w:sz w:val="20"/>
        </w:rPr>
        <w:t>myBodySize</w:t>
      </w:r>
      <w:r>
        <w:rPr>
          <w:rFonts w:ascii="Courier New"/>
          <w:spacing w:val="-6"/>
          <w:sz w:val="20"/>
        </w:rPr>
        <w:t> </w:t>
      </w:r>
      <w:r>
        <w:rPr>
          <w:rFonts w:ascii="Courier New"/>
          <w:sz w:val="20"/>
        </w:rPr>
        <w:t>=</w:t>
      </w:r>
      <w:r>
        <w:rPr>
          <w:rFonts w:ascii="Courier New"/>
          <w:spacing w:val="-5"/>
          <w:sz w:val="20"/>
        </w:rPr>
        <w:t> </w:t>
      </w:r>
      <w:r>
        <w:rPr>
          <w:rFonts w:ascii="Courier New"/>
          <w:sz w:val="20"/>
        </w:rPr>
        <w:t>ABS(C</w:t>
      </w:r>
      <w:r>
        <w:rPr>
          <w:rFonts w:ascii="Courier New"/>
          <w:spacing w:val="-5"/>
          <w:sz w:val="20"/>
        </w:rPr>
        <w:t> </w:t>
      </w:r>
      <w:r>
        <w:rPr>
          <w:rFonts w:ascii="Courier New"/>
          <w:sz w:val="20"/>
        </w:rPr>
        <w:t>-</w:t>
      </w:r>
      <w:r>
        <w:rPr>
          <w:rFonts w:ascii="Courier New"/>
          <w:spacing w:val="-5"/>
          <w:sz w:val="20"/>
        </w:rPr>
        <w:t> O)</w:t>
      </w:r>
    </w:p>
    <w:p>
      <w:pPr>
        <w:spacing w:before="0"/>
        <w:ind w:left="500" w:right="1187" w:firstLine="0"/>
        <w:jc w:val="left"/>
        <w:rPr>
          <w:rFonts w:ascii="Courier New"/>
          <w:sz w:val="20"/>
        </w:rPr>
      </w:pPr>
      <w:r>
        <w:rPr>
          <w:rFonts w:ascii="Courier New"/>
          <w:sz w:val="20"/>
        </w:rPr>
        <w:t>AverageBody</w:t>
      </w:r>
      <w:r>
        <w:rPr>
          <w:rFonts w:ascii="Courier New"/>
          <w:spacing w:val="-17"/>
          <w:sz w:val="20"/>
        </w:rPr>
        <w:t> </w:t>
      </w:r>
      <w:r>
        <w:rPr>
          <w:rFonts w:ascii="Courier New"/>
          <w:sz w:val="20"/>
        </w:rPr>
        <w:t>=</w:t>
      </w:r>
      <w:r>
        <w:rPr>
          <w:rFonts w:ascii="Courier New"/>
          <w:spacing w:val="-17"/>
          <w:sz w:val="20"/>
        </w:rPr>
        <w:t> </w:t>
      </w:r>
      <w:r>
        <w:rPr>
          <w:rFonts w:ascii="Courier New"/>
          <w:sz w:val="20"/>
        </w:rPr>
        <w:t>Average(myBodySize,BarsBack) myCandleSize = (H - L)</w:t>
      </w:r>
    </w:p>
    <w:p>
      <w:pPr>
        <w:spacing w:line="226" w:lineRule="exact" w:before="0"/>
        <w:ind w:left="500" w:right="0" w:firstLine="0"/>
        <w:jc w:val="left"/>
        <w:rPr>
          <w:rFonts w:ascii="Courier New"/>
          <w:sz w:val="20"/>
        </w:rPr>
      </w:pPr>
      <w:r>
        <w:rPr>
          <w:rFonts w:ascii="Courier New"/>
          <w:sz w:val="20"/>
        </w:rPr>
        <w:t>AverageCandle</w:t>
      </w:r>
      <w:r>
        <w:rPr>
          <w:rFonts w:ascii="Courier New"/>
          <w:spacing w:val="-9"/>
          <w:sz w:val="20"/>
        </w:rPr>
        <w:t> </w:t>
      </w:r>
      <w:r>
        <w:rPr>
          <w:rFonts w:ascii="Courier New"/>
          <w:sz w:val="20"/>
        </w:rPr>
        <w:t>=</w:t>
      </w:r>
      <w:r>
        <w:rPr>
          <w:rFonts w:ascii="Courier New"/>
          <w:spacing w:val="-8"/>
          <w:sz w:val="20"/>
        </w:rPr>
        <w:t> </w:t>
      </w:r>
      <w:r>
        <w:rPr>
          <w:rFonts w:ascii="Courier New"/>
          <w:spacing w:val="-2"/>
          <w:sz w:val="20"/>
        </w:rPr>
        <w:t>Average(myCandleSize,BarsBack)</w:t>
      </w:r>
    </w:p>
    <w:p>
      <w:pPr>
        <w:pStyle w:val="BodyText"/>
        <w:rPr>
          <w:rFonts w:ascii="Courier New"/>
          <w:sz w:val="20"/>
        </w:rPr>
      </w:pPr>
    </w:p>
    <w:p>
      <w:pPr>
        <w:spacing w:before="0"/>
        <w:ind w:left="500" w:right="0" w:firstLine="0"/>
        <w:jc w:val="left"/>
        <w:rPr>
          <w:rFonts w:ascii="Courier New"/>
          <w:sz w:val="20"/>
        </w:rPr>
      </w:pPr>
      <w:r>
        <w:rPr>
          <w:rFonts w:ascii="Courier New"/>
          <w:sz w:val="20"/>
        </w:rPr>
        <w:t>If</w:t>
      </w:r>
      <w:r>
        <w:rPr>
          <w:rFonts w:ascii="Courier New"/>
          <w:spacing w:val="-5"/>
          <w:sz w:val="20"/>
        </w:rPr>
        <w:t> </w:t>
      </w:r>
      <w:r>
        <w:rPr>
          <w:rFonts w:ascii="Courier New"/>
          <w:sz w:val="20"/>
        </w:rPr>
        <w:t>((O[1]</w:t>
      </w:r>
      <w:r>
        <w:rPr>
          <w:rFonts w:ascii="Courier New"/>
          <w:spacing w:val="-5"/>
          <w:sz w:val="20"/>
        </w:rPr>
        <w:t> </w:t>
      </w:r>
      <w:r>
        <w:rPr>
          <w:rFonts w:ascii="Courier New"/>
          <w:sz w:val="20"/>
        </w:rPr>
        <w:t>-</w:t>
      </w:r>
      <w:r>
        <w:rPr>
          <w:rFonts w:ascii="Courier New"/>
          <w:spacing w:val="-4"/>
          <w:sz w:val="20"/>
        </w:rPr>
        <w:t> </w:t>
      </w:r>
      <w:r>
        <w:rPr>
          <w:rFonts w:ascii="Courier New"/>
          <w:sz w:val="20"/>
        </w:rPr>
        <w:t>C[1])</w:t>
      </w:r>
      <w:r>
        <w:rPr>
          <w:rFonts w:ascii="Courier New"/>
          <w:spacing w:val="-5"/>
          <w:sz w:val="20"/>
        </w:rPr>
        <w:t> </w:t>
      </w:r>
      <w:r>
        <w:rPr>
          <w:rFonts w:ascii="Courier New"/>
          <w:sz w:val="20"/>
        </w:rPr>
        <w:t>&gt;=</w:t>
      </w:r>
      <w:r>
        <w:rPr>
          <w:rFonts w:ascii="Courier New"/>
          <w:spacing w:val="-4"/>
          <w:sz w:val="20"/>
        </w:rPr>
        <w:t> </w:t>
      </w:r>
      <w:r>
        <w:rPr>
          <w:rFonts w:ascii="Courier New"/>
          <w:sz w:val="20"/>
        </w:rPr>
        <w:t>(BodySize</w:t>
      </w:r>
      <w:r>
        <w:rPr>
          <w:rFonts w:ascii="Courier New"/>
          <w:spacing w:val="-5"/>
          <w:sz w:val="20"/>
        </w:rPr>
        <w:t> </w:t>
      </w:r>
      <w:r>
        <w:rPr>
          <w:rFonts w:ascii="Courier New"/>
          <w:sz w:val="20"/>
        </w:rPr>
        <w:t>*</w:t>
      </w:r>
      <w:r>
        <w:rPr>
          <w:rFonts w:ascii="Courier New"/>
          <w:spacing w:val="-5"/>
          <w:sz w:val="20"/>
        </w:rPr>
        <w:t> </w:t>
      </w:r>
      <w:r>
        <w:rPr>
          <w:rFonts w:ascii="Courier New"/>
          <w:sz w:val="20"/>
        </w:rPr>
        <w:t>(H[1]</w:t>
      </w:r>
      <w:r>
        <w:rPr>
          <w:rFonts w:ascii="Courier New"/>
          <w:spacing w:val="-4"/>
          <w:sz w:val="20"/>
        </w:rPr>
        <w:t> </w:t>
      </w:r>
      <w:r>
        <w:rPr>
          <w:rFonts w:ascii="Courier New"/>
          <w:sz w:val="20"/>
        </w:rPr>
        <w:t>-</w:t>
      </w:r>
      <w:r>
        <w:rPr>
          <w:rFonts w:ascii="Courier New"/>
          <w:spacing w:val="-5"/>
          <w:sz w:val="20"/>
        </w:rPr>
        <w:t> </w:t>
      </w:r>
      <w:r>
        <w:rPr>
          <w:rFonts w:ascii="Courier New"/>
          <w:sz w:val="20"/>
        </w:rPr>
        <w:t>L[1])))</w:t>
      </w:r>
      <w:r>
        <w:rPr>
          <w:rFonts w:ascii="Courier New"/>
          <w:spacing w:val="-4"/>
          <w:sz w:val="20"/>
        </w:rPr>
        <w:t> </w:t>
      </w:r>
      <w:r>
        <w:rPr>
          <w:rFonts w:ascii="Courier New"/>
          <w:sz w:val="20"/>
        </w:rPr>
        <w:t>AND</w:t>
      </w:r>
      <w:r>
        <w:rPr>
          <w:rFonts w:ascii="Courier New"/>
          <w:spacing w:val="-5"/>
          <w:sz w:val="20"/>
        </w:rPr>
        <w:t> </w:t>
      </w:r>
      <w:r>
        <w:rPr>
          <w:rFonts w:ascii="Courier New"/>
          <w:spacing w:val="-10"/>
          <w:sz w:val="20"/>
        </w:rPr>
        <w:t>_</w:t>
      </w:r>
    </w:p>
    <w:p>
      <w:pPr>
        <w:spacing w:before="1"/>
        <w:ind w:left="500" w:right="0" w:firstLine="0"/>
        <w:jc w:val="left"/>
        <w:rPr>
          <w:rFonts w:ascii="Courier New"/>
          <w:sz w:val="20"/>
        </w:rPr>
      </w:pPr>
      <w:r>
        <w:rPr>
          <w:rFonts w:ascii="Courier New"/>
          <w:sz w:val="20"/>
        </w:rPr>
        <w:t>((H[1]</w:t>
      </w:r>
      <w:r>
        <w:rPr>
          <w:rFonts w:ascii="Courier New"/>
          <w:spacing w:val="-4"/>
          <w:sz w:val="20"/>
        </w:rPr>
        <w:t> </w:t>
      </w:r>
      <w:r>
        <w:rPr>
          <w:rFonts w:ascii="Courier New"/>
          <w:sz w:val="20"/>
        </w:rPr>
        <w:t>-</w:t>
      </w:r>
      <w:r>
        <w:rPr>
          <w:rFonts w:ascii="Courier New"/>
          <w:spacing w:val="-4"/>
          <w:sz w:val="20"/>
        </w:rPr>
        <w:t> </w:t>
      </w:r>
      <w:r>
        <w:rPr>
          <w:rFonts w:ascii="Courier New"/>
          <w:sz w:val="20"/>
        </w:rPr>
        <w:t>L[1])</w:t>
      </w:r>
      <w:r>
        <w:rPr>
          <w:rFonts w:ascii="Courier New"/>
          <w:spacing w:val="-4"/>
          <w:sz w:val="20"/>
        </w:rPr>
        <w:t> </w:t>
      </w:r>
      <w:r>
        <w:rPr>
          <w:rFonts w:ascii="Courier New"/>
          <w:sz w:val="20"/>
        </w:rPr>
        <w:t>&gt;</w:t>
      </w:r>
      <w:r>
        <w:rPr>
          <w:rFonts w:ascii="Courier New"/>
          <w:spacing w:val="-4"/>
          <w:sz w:val="20"/>
        </w:rPr>
        <w:t> </w:t>
      </w:r>
      <w:r>
        <w:rPr>
          <w:rFonts w:ascii="Courier New"/>
          <w:sz w:val="20"/>
        </w:rPr>
        <w:t>(AverageCandle</w:t>
      </w:r>
      <w:r>
        <w:rPr>
          <w:rFonts w:ascii="Courier New"/>
          <w:spacing w:val="-4"/>
          <w:sz w:val="20"/>
        </w:rPr>
        <w:t> </w:t>
      </w:r>
      <w:r>
        <w:rPr>
          <w:rFonts w:ascii="Courier New"/>
          <w:sz w:val="20"/>
        </w:rPr>
        <w:t>*</w:t>
      </w:r>
      <w:r>
        <w:rPr>
          <w:rFonts w:ascii="Courier New"/>
          <w:spacing w:val="-4"/>
          <w:sz w:val="20"/>
        </w:rPr>
        <w:t> </w:t>
      </w:r>
      <w:r>
        <w:rPr>
          <w:rFonts w:ascii="Courier New"/>
          <w:sz w:val="20"/>
        </w:rPr>
        <w:t>BodyMultiplier))</w:t>
      </w:r>
      <w:r>
        <w:rPr>
          <w:rFonts w:ascii="Courier New"/>
          <w:spacing w:val="-4"/>
          <w:sz w:val="20"/>
        </w:rPr>
        <w:t> </w:t>
      </w:r>
      <w:r>
        <w:rPr>
          <w:rFonts w:ascii="Courier New"/>
          <w:sz w:val="20"/>
        </w:rPr>
        <w:t>AND</w:t>
      </w:r>
      <w:r>
        <w:rPr>
          <w:rFonts w:ascii="Courier New"/>
          <w:spacing w:val="-4"/>
          <w:sz w:val="20"/>
        </w:rPr>
        <w:t> </w:t>
      </w:r>
      <w:r>
        <w:rPr>
          <w:rFonts w:ascii="Courier New"/>
          <w:sz w:val="20"/>
        </w:rPr>
        <w:t>_ ((O[1] - C[1]) &gt; AverageBody) AND _</w:t>
      </w:r>
    </w:p>
    <w:p>
      <w:pPr>
        <w:spacing w:line="226" w:lineRule="exact" w:before="0"/>
        <w:ind w:left="500" w:right="0" w:firstLine="0"/>
        <w:jc w:val="left"/>
        <w:rPr>
          <w:rFonts w:ascii="Courier New"/>
          <w:sz w:val="20"/>
        </w:rPr>
      </w:pPr>
      <w:r>
        <w:rPr>
          <w:rFonts w:ascii="Courier New"/>
          <w:sz w:val="20"/>
        </w:rPr>
        <w:t>(C</w:t>
      </w:r>
      <w:r>
        <w:rPr>
          <w:rFonts w:ascii="Courier New"/>
          <w:spacing w:val="-4"/>
          <w:sz w:val="20"/>
        </w:rPr>
        <w:t> </w:t>
      </w:r>
      <w:r>
        <w:rPr>
          <w:rFonts w:ascii="Courier New"/>
          <w:sz w:val="20"/>
        </w:rPr>
        <w:t>&gt;</w:t>
      </w:r>
      <w:r>
        <w:rPr>
          <w:rFonts w:ascii="Courier New"/>
          <w:spacing w:val="-2"/>
          <w:sz w:val="20"/>
        </w:rPr>
        <w:t> </w:t>
      </w:r>
      <w:r>
        <w:rPr>
          <w:rFonts w:ascii="Courier New"/>
          <w:sz w:val="20"/>
        </w:rPr>
        <w:t>O)</w:t>
      </w:r>
      <w:r>
        <w:rPr>
          <w:rFonts w:ascii="Courier New"/>
          <w:spacing w:val="-2"/>
          <w:sz w:val="20"/>
        </w:rPr>
        <w:t> </w:t>
      </w:r>
      <w:r>
        <w:rPr>
          <w:rFonts w:ascii="Courier New"/>
          <w:spacing w:val="-4"/>
          <w:sz w:val="20"/>
        </w:rPr>
        <w:t>Then</w:t>
      </w:r>
    </w:p>
    <w:p>
      <w:pPr>
        <w:spacing w:line="226" w:lineRule="exact" w:before="0"/>
        <w:ind w:left="1220" w:right="0" w:firstLine="0"/>
        <w:jc w:val="left"/>
        <w:rPr>
          <w:rFonts w:ascii="Courier New"/>
          <w:sz w:val="20"/>
        </w:rPr>
      </w:pPr>
      <w:r>
        <w:rPr>
          <w:rFonts w:ascii="Courier New"/>
          <w:sz w:val="20"/>
        </w:rPr>
        <w:t>Signal</w:t>
      </w:r>
      <w:r>
        <w:rPr>
          <w:rFonts w:ascii="Courier New"/>
          <w:spacing w:val="-5"/>
          <w:sz w:val="20"/>
        </w:rPr>
        <w:t> </w:t>
      </w:r>
      <w:r>
        <w:rPr>
          <w:rFonts w:ascii="Courier New"/>
          <w:sz w:val="20"/>
        </w:rPr>
        <w:t>=</w:t>
      </w:r>
      <w:r>
        <w:rPr>
          <w:rFonts w:ascii="Courier New"/>
          <w:spacing w:val="-4"/>
          <w:sz w:val="20"/>
        </w:rPr>
        <w:t> </w:t>
      </w:r>
      <w:r>
        <w:rPr>
          <w:rFonts w:ascii="Courier New"/>
          <w:spacing w:val="-2"/>
          <w:sz w:val="20"/>
        </w:rPr>
        <w:t>LongSignal</w:t>
      </w:r>
    </w:p>
    <w:p>
      <w:pPr>
        <w:pStyle w:val="BodyText"/>
        <w:rPr>
          <w:rFonts w:ascii="Courier New"/>
          <w:sz w:val="20"/>
        </w:rPr>
      </w:pPr>
    </w:p>
    <w:p>
      <w:pPr>
        <w:spacing w:before="1"/>
        <w:ind w:left="500" w:right="0" w:firstLine="0"/>
        <w:jc w:val="left"/>
        <w:rPr>
          <w:rFonts w:ascii="Courier New"/>
          <w:sz w:val="20"/>
        </w:rPr>
      </w:pPr>
      <w:r>
        <w:rPr>
          <w:rFonts w:ascii="Courier New"/>
          <w:sz w:val="20"/>
        </w:rPr>
        <w:t>ElseIf</w:t>
      </w:r>
      <w:r>
        <w:rPr>
          <w:rFonts w:ascii="Courier New"/>
          <w:spacing w:val="-5"/>
          <w:sz w:val="20"/>
        </w:rPr>
        <w:t> </w:t>
      </w:r>
      <w:r>
        <w:rPr>
          <w:rFonts w:ascii="Courier New"/>
          <w:sz w:val="20"/>
        </w:rPr>
        <w:t>((C[1]</w:t>
      </w:r>
      <w:r>
        <w:rPr>
          <w:rFonts w:ascii="Courier New"/>
          <w:spacing w:val="-5"/>
          <w:sz w:val="20"/>
        </w:rPr>
        <w:t> </w:t>
      </w:r>
      <w:r>
        <w:rPr>
          <w:rFonts w:ascii="Courier New"/>
          <w:sz w:val="20"/>
        </w:rPr>
        <w:t>-</w:t>
      </w:r>
      <w:r>
        <w:rPr>
          <w:rFonts w:ascii="Courier New"/>
          <w:spacing w:val="-5"/>
          <w:sz w:val="20"/>
        </w:rPr>
        <w:t> </w:t>
      </w:r>
      <w:r>
        <w:rPr>
          <w:rFonts w:ascii="Courier New"/>
          <w:sz w:val="20"/>
        </w:rPr>
        <w:t>O[1])</w:t>
      </w:r>
      <w:r>
        <w:rPr>
          <w:rFonts w:ascii="Courier New"/>
          <w:spacing w:val="-5"/>
          <w:sz w:val="20"/>
        </w:rPr>
        <w:t> </w:t>
      </w:r>
      <w:r>
        <w:rPr>
          <w:rFonts w:ascii="Courier New"/>
          <w:sz w:val="20"/>
        </w:rPr>
        <w:t>&gt;=</w:t>
      </w:r>
      <w:r>
        <w:rPr>
          <w:rFonts w:ascii="Courier New"/>
          <w:spacing w:val="-4"/>
          <w:sz w:val="20"/>
        </w:rPr>
        <w:t> </w:t>
      </w:r>
      <w:r>
        <w:rPr>
          <w:rFonts w:ascii="Courier New"/>
          <w:sz w:val="20"/>
        </w:rPr>
        <w:t>BodySize</w:t>
      </w:r>
      <w:r>
        <w:rPr>
          <w:rFonts w:ascii="Courier New"/>
          <w:spacing w:val="-5"/>
          <w:sz w:val="20"/>
        </w:rPr>
        <w:t> </w:t>
      </w:r>
      <w:r>
        <w:rPr>
          <w:rFonts w:ascii="Courier New"/>
          <w:sz w:val="20"/>
        </w:rPr>
        <w:t>*</w:t>
      </w:r>
      <w:r>
        <w:rPr>
          <w:rFonts w:ascii="Courier New"/>
          <w:spacing w:val="-5"/>
          <w:sz w:val="20"/>
        </w:rPr>
        <w:t> </w:t>
      </w:r>
      <w:r>
        <w:rPr>
          <w:rFonts w:ascii="Courier New"/>
          <w:sz w:val="20"/>
        </w:rPr>
        <w:t>(H[1]</w:t>
      </w:r>
      <w:r>
        <w:rPr>
          <w:rFonts w:ascii="Courier New"/>
          <w:spacing w:val="-5"/>
          <w:sz w:val="20"/>
        </w:rPr>
        <w:t> </w:t>
      </w:r>
      <w:r>
        <w:rPr>
          <w:rFonts w:ascii="Courier New"/>
          <w:sz w:val="20"/>
        </w:rPr>
        <w:t>-</w:t>
      </w:r>
      <w:r>
        <w:rPr>
          <w:rFonts w:ascii="Courier New"/>
          <w:spacing w:val="-5"/>
          <w:sz w:val="20"/>
        </w:rPr>
        <w:t> </w:t>
      </w:r>
      <w:r>
        <w:rPr>
          <w:rFonts w:ascii="Courier New"/>
          <w:sz w:val="20"/>
        </w:rPr>
        <w:t>L[1]))</w:t>
      </w:r>
      <w:r>
        <w:rPr>
          <w:rFonts w:ascii="Courier New"/>
          <w:spacing w:val="-4"/>
          <w:sz w:val="20"/>
        </w:rPr>
        <w:t> </w:t>
      </w:r>
      <w:r>
        <w:rPr>
          <w:rFonts w:ascii="Courier New"/>
          <w:sz w:val="20"/>
        </w:rPr>
        <w:t>AND</w:t>
      </w:r>
      <w:r>
        <w:rPr>
          <w:rFonts w:ascii="Courier New"/>
          <w:spacing w:val="-5"/>
          <w:sz w:val="20"/>
        </w:rPr>
        <w:t> </w:t>
      </w:r>
      <w:r>
        <w:rPr>
          <w:rFonts w:ascii="Courier New"/>
          <w:spacing w:val="-10"/>
          <w:sz w:val="20"/>
        </w:rPr>
        <w:t>_</w:t>
      </w:r>
    </w:p>
    <w:p>
      <w:pPr>
        <w:spacing w:before="0"/>
        <w:ind w:left="500" w:right="0" w:firstLine="0"/>
        <w:jc w:val="left"/>
        <w:rPr>
          <w:rFonts w:ascii="Courier New"/>
          <w:sz w:val="20"/>
        </w:rPr>
      </w:pPr>
      <w:r>
        <w:rPr>
          <w:rFonts w:ascii="Courier New"/>
          <w:sz w:val="20"/>
        </w:rPr>
        <w:t>((H[1]</w:t>
      </w:r>
      <w:r>
        <w:rPr>
          <w:rFonts w:ascii="Courier New"/>
          <w:spacing w:val="-4"/>
          <w:sz w:val="20"/>
        </w:rPr>
        <w:t> </w:t>
      </w:r>
      <w:r>
        <w:rPr>
          <w:rFonts w:ascii="Courier New"/>
          <w:sz w:val="20"/>
        </w:rPr>
        <w:t>-</w:t>
      </w:r>
      <w:r>
        <w:rPr>
          <w:rFonts w:ascii="Courier New"/>
          <w:spacing w:val="-4"/>
          <w:sz w:val="20"/>
        </w:rPr>
        <w:t> </w:t>
      </w:r>
      <w:r>
        <w:rPr>
          <w:rFonts w:ascii="Courier New"/>
          <w:sz w:val="20"/>
        </w:rPr>
        <w:t>L[1])</w:t>
      </w:r>
      <w:r>
        <w:rPr>
          <w:rFonts w:ascii="Courier New"/>
          <w:spacing w:val="-4"/>
          <w:sz w:val="20"/>
        </w:rPr>
        <w:t> </w:t>
      </w:r>
      <w:r>
        <w:rPr>
          <w:rFonts w:ascii="Courier New"/>
          <w:sz w:val="20"/>
        </w:rPr>
        <w:t>&gt;</w:t>
      </w:r>
      <w:r>
        <w:rPr>
          <w:rFonts w:ascii="Courier New"/>
          <w:spacing w:val="-4"/>
          <w:sz w:val="20"/>
        </w:rPr>
        <w:t> </w:t>
      </w:r>
      <w:r>
        <w:rPr>
          <w:rFonts w:ascii="Courier New"/>
          <w:sz w:val="20"/>
        </w:rPr>
        <w:t>(AverageCandle</w:t>
      </w:r>
      <w:r>
        <w:rPr>
          <w:rFonts w:ascii="Courier New"/>
          <w:spacing w:val="-4"/>
          <w:sz w:val="20"/>
        </w:rPr>
        <w:t> </w:t>
      </w:r>
      <w:r>
        <w:rPr>
          <w:rFonts w:ascii="Courier New"/>
          <w:sz w:val="20"/>
        </w:rPr>
        <w:t>*</w:t>
      </w:r>
      <w:r>
        <w:rPr>
          <w:rFonts w:ascii="Courier New"/>
          <w:spacing w:val="-4"/>
          <w:sz w:val="20"/>
        </w:rPr>
        <w:t> </w:t>
      </w:r>
      <w:r>
        <w:rPr>
          <w:rFonts w:ascii="Courier New"/>
          <w:sz w:val="20"/>
        </w:rPr>
        <w:t>BodyMultiplier))</w:t>
      </w:r>
      <w:r>
        <w:rPr>
          <w:rFonts w:ascii="Courier New"/>
          <w:spacing w:val="-4"/>
          <w:sz w:val="20"/>
        </w:rPr>
        <w:t> </w:t>
      </w:r>
      <w:r>
        <w:rPr>
          <w:rFonts w:ascii="Courier New"/>
          <w:sz w:val="20"/>
        </w:rPr>
        <w:t>AND</w:t>
      </w:r>
      <w:r>
        <w:rPr>
          <w:rFonts w:ascii="Courier New"/>
          <w:spacing w:val="-4"/>
          <w:sz w:val="20"/>
        </w:rPr>
        <w:t> </w:t>
      </w:r>
      <w:r>
        <w:rPr>
          <w:rFonts w:ascii="Courier New"/>
          <w:sz w:val="20"/>
        </w:rPr>
        <w:t>_ ((C[1] - O[1]) &gt; AverageBody) AND _</w:t>
      </w:r>
    </w:p>
    <w:p>
      <w:pPr>
        <w:spacing w:line="226" w:lineRule="exact" w:before="0"/>
        <w:ind w:left="500" w:right="0" w:firstLine="0"/>
        <w:jc w:val="left"/>
        <w:rPr>
          <w:rFonts w:ascii="Courier New"/>
          <w:sz w:val="20"/>
        </w:rPr>
      </w:pPr>
      <w:r>
        <w:rPr>
          <w:rFonts w:ascii="Courier New"/>
          <w:sz w:val="20"/>
        </w:rPr>
        <w:t>(O</w:t>
      </w:r>
      <w:r>
        <w:rPr>
          <w:rFonts w:ascii="Courier New"/>
          <w:spacing w:val="-4"/>
          <w:sz w:val="20"/>
        </w:rPr>
        <w:t> </w:t>
      </w:r>
      <w:r>
        <w:rPr>
          <w:rFonts w:ascii="Courier New"/>
          <w:sz w:val="20"/>
        </w:rPr>
        <w:t>&gt;</w:t>
      </w:r>
      <w:r>
        <w:rPr>
          <w:rFonts w:ascii="Courier New"/>
          <w:spacing w:val="-2"/>
          <w:sz w:val="20"/>
        </w:rPr>
        <w:t> </w:t>
      </w:r>
      <w:r>
        <w:rPr>
          <w:rFonts w:ascii="Courier New"/>
          <w:sz w:val="20"/>
        </w:rPr>
        <w:t>C)</w:t>
      </w:r>
      <w:r>
        <w:rPr>
          <w:rFonts w:ascii="Courier New"/>
          <w:spacing w:val="-2"/>
          <w:sz w:val="20"/>
        </w:rPr>
        <w:t> </w:t>
      </w:r>
      <w:r>
        <w:rPr>
          <w:rFonts w:ascii="Courier New"/>
          <w:spacing w:val="-4"/>
          <w:sz w:val="20"/>
        </w:rPr>
        <w:t>Then</w:t>
      </w:r>
    </w:p>
    <w:p>
      <w:pPr>
        <w:spacing w:line="480" w:lineRule="auto" w:before="0"/>
        <w:ind w:left="500" w:right="3806" w:firstLine="720"/>
        <w:jc w:val="left"/>
        <w:rPr>
          <w:rFonts w:ascii="Courier New"/>
          <w:sz w:val="20"/>
        </w:rPr>
      </w:pPr>
      <w:r>
        <w:rPr>
          <w:rFonts w:ascii="Courier New"/>
          <w:sz w:val="20"/>
        </w:rPr>
        <w:t>Signal</w:t>
      </w:r>
      <w:r>
        <w:rPr>
          <w:rFonts w:ascii="Courier New"/>
          <w:spacing w:val="-18"/>
          <w:sz w:val="20"/>
        </w:rPr>
        <w:t> </w:t>
      </w:r>
      <w:r>
        <w:rPr>
          <w:rFonts w:ascii="Courier New"/>
          <w:sz w:val="20"/>
        </w:rPr>
        <w:t>=</w:t>
      </w:r>
      <w:r>
        <w:rPr>
          <w:rFonts w:ascii="Courier New"/>
          <w:spacing w:val="-18"/>
          <w:sz w:val="20"/>
        </w:rPr>
        <w:t> </w:t>
      </w:r>
      <w:r>
        <w:rPr>
          <w:rFonts w:ascii="Courier New"/>
          <w:sz w:val="20"/>
        </w:rPr>
        <w:t>ShortSignal End If</w:t>
      </w:r>
    </w:p>
    <w:p>
      <w:pPr>
        <w:spacing w:after="0" w:line="480" w:lineRule="auto"/>
        <w:jc w:val="left"/>
        <w:rPr>
          <w:rFonts w:ascii="Courier New"/>
          <w:sz w:val="20"/>
        </w:rPr>
        <w:sectPr>
          <w:footerReference w:type="default" r:id="rId367"/>
          <w:footerReference w:type="even" r:id="rId368"/>
          <w:pgSz w:w="8640" w:h="12960"/>
          <w:pgMar w:footer="1060" w:header="536" w:top="720" w:bottom="1260" w:left="580" w:right="580"/>
          <w:pgNumType w:start="299"/>
        </w:sectPr>
      </w:pPr>
    </w:p>
    <w:p>
      <w:pPr>
        <w:pStyle w:val="BodyText"/>
        <w:rPr>
          <w:rFonts w:ascii="Courier New"/>
          <w:sz w:val="20"/>
        </w:rPr>
      </w:pPr>
    </w:p>
    <w:p>
      <w:pPr>
        <w:pStyle w:val="BodyText"/>
        <w:spacing w:before="7"/>
        <w:rPr>
          <w:rFonts w:ascii="Courier New"/>
          <w:sz w:val="24"/>
        </w:rPr>
      </w:pPr>
    </w:p>
    <w:p>
      <w:pPr>
        <w:pStyle w:val="BodyText"/>
        <w:ind w:left="504"/>
        <w:rPr>
          <w:rFonts w:ascii="Courier New"/>
          <w:sz w:val="20"/>
        </w:rPr>
      </w:pPr>
      <w:r>
        <w:rPr>
          <w:rFonts w:ascii="Courier New"/>
          <w:sz w:val="20"/>
        </w:rPr>
        <w:pict>
          <v:group style="width:305.55pt;height:29pt;mso-position-horizontal-relative:char;mso-position-vertical-relative:line" id="docshapegroup1087" coordorigin="0,0" coordsize="6111,580">
            <v:rect style="position:absolute;left:19;top:0;width:6072;height:580" id="docshape1088" filled="true" fillcolor="#000000" stroked="false">
              <v:fill type="solid"/>
            </v:rect>
            <v:shape style="position:absolute;left:0;top:0;width:6111;height:580" id="docshape1089" coordorigin="0,0" coordsize="6111,580" path="m19,0l0,0,0,580,19,580,19,0xm6110,0l6091,0,6091,580,6110,580,6110,0xe" filled="true" fillcolor="#3f3f3f" stroked="false">
              <v:path arrowok="t"/>
              <v:fill type="solid"/>
            </v:shape>
            <v:shape style="position:absolute;left:19;top:0;width:6072;height:580" type="#_x0000_t202" id="docshape1090" filled="false" stroked="false">
              <v:textbox inset="0,0,0,0">
                <w:txbxContent>
                  <w:p>
                    <w:pPr>
                      <w:spacing w:line="237" w:lineRule="auto" w:before="1"/>
                      <w:ind w:left="1474" w:right="1340" w:firstLine="64"/>
                      <w:jc w:val="left"/>
                      <w:rPr>
                        <w:rFonts w:ascii="Verdana"/>
                        <w:sz w:val="24"/>
                      </w:rPr>
                    </w:pPr>
                    <w:r>
                      <w:rPr>
                        <w:rFonts w:ascii="Verdana"/>
                        <w:color w:val="FFFFFF"/>
                        <w:sz w:val="24"/>
                      </w:rPr>
                      <w:t>Outside</w:t>
                    </w:r>
                    <w:r>
                      <w:rPr>
                        <w:rFonts w:ascii="Verdana"/>
                        <w:color w:val="FFFFFF"/>
                        <w:spacing w:val="-1"/>
                        <w:sz w:val="24"/>
                      </w:rPr>
                      <w:t> </w:t>
                    </w:r>
                    <w:r>
                      <w:rPr>
                        <w:rFonts w:ascii="Verdana"/>
                        <w:color w:val="FFFFFF"/>
                        <w:sz w:val="24"/>
                      </w:rPr>
                      <w:t>Reversal</w:t>
                    </w:r>
                    <w:r>
                      <w:rPr>
                        <w:rFonts w:ascii="Verdana"/>
                        <w:color w:val="FFFFFF"/>
                        <w:spacing w:val="-1"/>
                        <w:sz w:val="24"/>
                      </w:rPr>
                      <w:t> </w:t>
                    </w:r>
                    <w:r>
                      <w:rPr>
                        <w:rFonts w:ascii="Verdana"/>
                        <w:color w:val="FFFFFF"/>
                        <w:sz w:val="24"/>
                      </w:rPr>
                      <w:t>System File</w:t>
                    </w:r>
                    <w:r>
                      <w:rPr>
                        <w:rFonts w:ascii="Verdana"/>
                        <w:color w:val="FFFFFF"/>
                        <w:spacing w:val="-22"/>
                        <w:sz w:val="24"/>
                      </w:rPr>
                      <w:t> </w:t>
                    </w:r>
                    <w:r>
                      <w:rPr>
                        <w:rFonts w:ascii="Verdana"/>
                        <w:color w:val="FFFFFF"/>
                        <w:sz w:val="24"/>
                      </w:rPr>
                      <w:t>Name:</w:t>
                    </w:r>
                    <w:r>
                      <w:rPr>
                        <w:rFonts w:ascii="Verdana"/>
                        <w:color w:val="FFFFFF"/>
                        <w:spacing w:val="-21"/>
                        <w:sz w:val="24"/>
                      </w:rPr>
                      <w:t> </w:t>
                    </w:r>
                    <w:r>
                      <w:rPr>
                        <w:rFonts w:ascii="Verdana"/>
                        <w:color w:val="FFFFFF"/>
                        <w:spacing w:val="-2"/>
                        <w:sz w:val="24"/>
                      </w:rPr>
                      <w:t>sysOutsideRev</w:t>
                    </w:r>
                  </w:p>
                </w:txbxContent>
              </v:textbox>
              <w10:wrap type="none"/>
            </v:shape>
          </v:group>
        </w:pict>
      </w:r>
      <w:r>
        <w:rPr>
          <w:rFonts w:ascii="Courier New"/>
          <w:sz w:val="20"/>
        </w:rPr>
      </w:r>
    </w:p>
    <w:p>
      <w:pPr>
        <w:pStyle w:val="BodyText"/>
        <w:spacing w:before="11"/>
        <w:rPr>
          <w:rFonts w:ascii="Courier New"/>
          <w:sz w:val="10"/>
        </w:rPr>
      </w:pPr>
    </w:p>
    <w:p>
      <w:pPr>
        <w:spacing w:before="76"/>
        <w:ind w:left="140" w:right="0" w:firstLine="0"/>
        <w:jc w:val="left"/>
        <w:rPr>
          <w:rFonts w:ascii="Courier New"/>
          <w:sz w:val="20"/>
        </w:rPr>
      </w:pPr>
      <w:r>
        <w:rPr>
          <w:rFonts w:ascii="Courier New"/>
          <w:spacing w:val="-2"/>
          <w:sz w:val="20"/>
        </w:rPr>
        <w:t>#System</w:t>
      </w:r>
    </w:p>
    <w:p>
      <w:pPr>
        <w:pStyle w:val="BodyText"/>
        <w:spacing w:before="10"/>
        <w:rPr>
          <w:rFonts w:ascii="Courier New"/>
          <w:sz w:val="19"/>
        </w:rPr>
      </w:pPr>
    </w:p>
    <w:p>
      <w:pPr>
        <w:spacing w:before="0"/>
        <w:ind w:left="140" w:right="0" w:firstLine="0"/>
        <w:jc w:val="left"/>
        <w:rPr>
          <w:rFonts w:ascii="Courier New"/>
          <w:sz w:val="20"/>
        </w:rPr>
      </w:pPr>
      <w:r>
        <w:rPr>
          <w:rFonts w:ascii="Courier New"/>
          <w:sz w:val="20"/>
        </w:rPr>
        <w:t>#PARAM</w:t>
      </w:r>
      <w:r>
        <w:rPr>
          <w:rFonts w:ascii="Courier New"/>
          <w:spacing w:val="-10"/>
          <w:sz w:val="20"/>
        </w:rPr>
        <w:t> </w:t>
      </w:r>
      <w:r>
        <w:rPr>
          <w:rFonts w:ascii="Courier New"/>
          <w:sz w:val="20"/>
        </w:rPr>
        <w:t>"BarMultiplier",</w:t>
      </w:r>
      <w:r>
        <w:rPr>
          <w:rFonts w:ascii="Courier New"/>
          <w:spacing w:val="-9"/>
          <w:sz w:val="20"/>
        </w:rPr>
        <w:t> </w:t>
      </w:r>
      <w:r>
        <w:rPr>
          <w:rFonts w:ascii="Courier New"/>
          <w:sz w:val="20"/>
        </w:rPr>
        <w:t>1.25,</w:t>
      </w:r>
      <w:r>
        <w:rPr>
          <w:rFonts w:ascii="Courier New"/>
          <w:spacing w:val="-9"/>
          <w:sz w:val="20"/>
        </w:rPr>
        <w:t> </w:t>
      </w:r>
      <w:r>
        <w:rPr>
          <w:rFonts w:ascii="Courier New"/>
          <w:sz w:val="20"/>
        </w:rPr>
        <w:t>.05,</w:t>
      </w:r>
      <w:r>
        <w:rPr>
          <w:rFonts w:ascii="Courier New"/>
          <w:spacing w:val="-10"/>
          <w:sz w:val="20"/>
        </w:rPr>
        <w:t> </w:t>
      </w:r>
      <w:r>
        <w:rPr>
          <w:rFonts w:ascii="Courier New"/>
          <w:spacing w:val="-5"/>
          <w:sz w:val="20"/>
        </w:rPr>
        <w:t>3.5</w:t>
      </w:r>
    </w:p>
    <w:p>
      <w:pPr>
        <w:spacing w:before="1"/>
        <w:ind w:left="140" w:right="0" w:firstLine="0"/>
        <w:jc w:val="left"/>
        <w:rPr>
          <w:rFonts w:ascii="Courier New"/>
          <w:sz w:val="20"/>
        </w:rPr>
      </w:pPr>
      <w:r>
        <w:rPr>
          <w:rFonts w:ascii="Courier New"/>
          <w:sz w:val="20"/>
        </w:rPr>
        <w:t>#PARAM</w:t>
      </w:r>
      <w:r>
        <w:rPr>
          <w:rFonts w:ascii="Courier New"/>
          <w:spacing w:val="-7"/>
          <w:sz w:val="20"/>
        </w:rPr>
        <w:t> </w:t>
      </w:r>
      <w:r>
        <w:rPr>
          <w:rFonts w:ascii="Courier New"/>
          <w:sz w:val="20"/>
        </w:rPr>
        <w:t>"BarsBack",</w:t>
      </w:r>
      <w:r>
        <w:rPr>
          <w:rFonts w:ascii="Courier New"/>
          <w:spacing w:val="-7"/>
          <w:sz w:val="20"/>
        </w:rPr>
        <w:t> </w:t>
      </w:r>
      <w:r>
        <w:rPr>
          <w:rFonts w:ascii="Courier New"/>
          <w:sz w:val="20"/>
        </w:rPr>
        <w:t>50,</w:t>
      </w:r>
      <w:r>
        <w:rPr>
          <w:rFonts w:ascii="Courier New"/>
          <w:spacing w:val="-6"/>
          <w:sz w:val="20"/>
        </w:rPr>
        <w:t> </w:t>
      </w:r>
      <w:r>
        <w:rPr>
          <w:rFonts w:ascii="Courier New"/>
          <w:sz w:val="20"/>
        </w:rPr>
        <w:t>1,</w:t>
      </w:r>
      <w:r>
        <w:rPr>
          <w:rFonts w:ascii="Courier New"/>
          <w:spacing w:val="-7"/>
          <w:sz w:val="20"/>
        </w:rPr>
        <w:t> </w:t>
      </w:r>
      <w:r>
        <w:rPr>
          <w:rFonts w:ascii="Courier New"/>
          <w:spacing w:val="-5"/>
          <w:sz w:val="20"/>
        </w:rPr>
        <w:t>250</w:t>
      </w:r>
    </w:p>
    <w:p>
      <w:pPr>
        <w:pStyle w:val="BodyText"/>
        <w:rPr>
          <w:rFonts w:ascii="Courier New"/>
          <w:sz w:val="20"/>
        </w:rPr>
      </w:pPr>
    </w:p>
    <w:p>
      <w:pPr>
        <w:tabs>
          <w:tab w:pos="3022" w:val="left" w:leader="none"/>
        </w:tabs>
        <w:spacing w:line="226" w:lineRule="exact" w:before="0"/>
        <w:ind w:left="14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AverageCandle</w:t>
      </w:r>
      <w:r>
        <w:rPr>
          <w:rFonts w:ascii="Courier New"/>
          <w:sz w:val="20"/>
        </w:rPr>
        <w:tab/>
        <w:t>As</w:t>
      </w:r>
      <w:r>
        <w:rPr>
          <w:rFonts w:ascii="Courier New"/>
          <w:spacing w:val="-3"/>
          <w:sz w:val="20"/>
        </w:rPr>
        <w:t> </w:t>
      </w:r>
      <w:r>
        <w:rPr>
          <w:rFonts w:ascii="Courier New"/>
          <w:spacing w:val="-2"/>
          <w:sz w:val="20"/>
        </w:rPr>
        <w:t>Single</w:t>
      </w:r>
    </w:p>
    <w:p>
      <w:pPr>
        <w:tabs>
          <w:tab w:pos="3022" w:val="left" w:leader="none"/>
        </w:tabs>
        <w:spacing w:line="226" w:lineRule="exact" w:before="0"/>
        <w:ind w:left="14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myCandleSize</w:t>
      </w:r>
      <w:r>
        <w:rPr>
          <w:rFonts w:ascii="Courier New"/>
          <w:sz w:val="20"/>
        </w:rPr>
        <w:tab/>
        <w:t>As</w:t>
      </w:r>
      <w:r>
        <w:rPr>
          <w:rFonts w:ascii="Courier New"/>
          <w:spacing w:val="-3"/>
          <w:sz w:val="20"/>
        </w:rPr>
        <w:t> </w:t>
      </w:r>
      <w:r>
        <w:rPr>
          <w:rFonts w:ascii="Courier New"/>
          <w:spacing w:val="-2"/>
          <w:sz w:val="20"/>
        </w:rPr>
        <w:t>Single</w:t>
      </w:r>
    </w:p>
    <w:p>
      <w:pPr>
        <w:pStyle w:val="BodyText"/>
        <w:rPr>
          <w:rFonts w:ascii="Courier New"/>
          <w:sz w:val="20"/>
        </w:rPr>
      </w:pPr>
    </w:p>
    <w:p>
      <w:pPr>
        <w:spacing w:before="0"/>
        <w:ind w:left="140" w:right="0" w:firstLine="0"/>
        <w:jc w:val="left"/>
        <w:rPr>
          <w:rFonts w:ascii="Courier New"/>
          <w:sz w:val="20"/>
        </w:rPr>
      </w:pPr>
      <w:r>
        <w:rPr>
          <w:rFonts w:ascii="Courier New"/>
          <w:sz w:val="20"/>
        </w:rPr>
        <w:t>myCandleSize</w:t>
      </w:r>
      <w:r>
        <w:rPr>
          <w:rFonts w:ascii="Courier New"/>
          <w:spacing w:val="-5"/>
          <w:sz w:val="20"/>
        </w:rPr>
        <w:t> </w:t>
      </w:r>
      <w:r>
        <w:rPr>
          <w:rFonts w:ascii="Courier New"/>
          <w:sz w:val="20"/>
        </w:rPr>
        <w:t>=</w:t>
      </w:r>
      <w:r>
        <w:rPr>
          <w:rFonts w:ascii="Courier New"/>
          <w:spacing w:val="-5"/>
          <w:sz w:val="20"/>
        </w:rPr>
        <w:t> </w:t>
      </w:r>
      <w:r>
        <w:rPr>
          <w:rFonts w:ascii="Courier New"/>
          <w:sz w:val="20"/>
        </w:rPr>
        <w:t>(H</w:t>
      </w:r>
      <w:r>
        <w:rPr>
          <w:rFonts w:ascii="Courier New"/>
          <w:spacing w:val="-5"/>
          <w:sz w:val="20"/>
        </w:rPr>
        <w:t> </w:t>
      </w:r>
      <w:r>
        <w:rPr>
          <w:rFonts w:ascii="Courier New"/>
          <w:sz w:val="20"/>
        </w:rPr>
        <w:t>-</w:t>
      </w:r>
      <w:r>
        <w:rPr>
          <w:rFonts w:ascii="Courier New"/>
          <w:spacing w:val="-5"/>
          <w:sz w:val="20"/>
        </w:rPr>
        <w:t> L)</w:t>
      </w:r>
    </w:p>
    <w:p>
      <w:pPr>
        <w:spacing w:before="1"/>
        <w:ind w:left="140" w:right="0" w:firstLine="0"/>
        <w:jc w:val="left"/>
        <w:rPr>
          <w:rFonts w:ascii="Courier New"/>
          <w:sz w:val="20"/>
        </w:rPr>
      </w:pPr>
      <w:r>
        <w:rPr>
          <w:rFonts w:ascii="Courier New"/>
          <w:sz w:val="20"/>
        </w:rPr>
        <w:t>AverageCandle</w:t>
      </w:r>
      <w:r>
        <w:rPr>
          <w:rFonts w:ascii="Courier New"/>
          <w:spacing w:val="-9"/>
          <w:sz w:val="20"/>
        </w:rPr>
        <w:t> </w:t>
      </w:r>
      <w:r>
        <w:rPr>
          <w:rFonts w:ascii="Courier New"/>
          <w:sz w:val="20"/>
        </w:rPr>
        <w:t>=</w:t>
      </w:r>
      <w:r>
        <w:rPr>
          <w:rFonts w:ascii="Courier New"/>
          <w:spacing w:val="-8"/>
          <w:sz w:val="20"/>
        </w:rPr>
        <w:t> </w:t>
      </w:r>
      <w:r>
        <w:rPr>
          <w:rFonts w:ascii="Courier New"/>
          <w:spacing w:val="-2"/>
          <w:sz w:val="20"/>
        </w:rPr>
        <w:t>Average(myCandleSize,BarsBack)</w:t>
      </w:r>
    </w:p>
    <w:p>
      <w:pPr>
        <w:pStyle w:val="BodyText"/>
        <w:spacing w:before="10"/>
        <w:rPr>
          <w:rFonts w:ascii="Courier New"/>
          <w:sz w:val="19"/>
        </w:rPr>
      </w:pPr>
    </w:p>
    <w:p>
      <w:pPr>
        <w:spacing w:before="0"/>
        <w:ind w:left="140" w:right="0" w:firstLine="0"/>
        <w:jc w:val="left"/>
        <w:rPr>
          <w:rFonts w:ascii="Courier New"/>
          <w:sz w:val="20"/>
        </w:rPr>
      </w:pPr>
      <w:r>
        <w:rPr>
          <w:rFonts w:ascii="Courier New"/>
          <w:sz w:val="20"/>
        </w:rPr>
        <w:t>If</w:t>
      </w:r>
      <w:r>
        <w:rPr>
          <w:rFonts w:ascii="Courier New"/>
          <w:spacing w:val="-5"/>
          <w:sz w:val="20"/>
        </w:rPr>
        <w:t> </w:t>
      </w:r>
      <w:r>
        <w:rPr>
          <w:rFonts w:ascii="Courier New"/>
          <w:sz w:val="20"/>
        </w:rPr>
        <w:t>L</w:t>
      </w:r>
      <w:r>
        <w:rPr>
          <w:rFonts w:ascii="Courier New"/>
          <w:spacing w:val="-3"/>
          <w:sz w:val="20"/>
        </w:rPr>
        <w:t> </w:t>
      </w:r>
      <w:r>
        <w:rPr>
          <w:rFonts w:ascii="Courier New"/>
          <w:sz w:val="20"/>
        </w:rPr>
        <w:t>&lt;</w:t>
      </w:r>
      <w:r>
        <w:rPr>
          <w:rFonts w:ascii="Courier New"/>
          <w:spacing w:val="-2"/>
          <w:sz w:val="20"/>
        </w:rPr>
        <w:t> </w:t>
      </w:r>
      <w:r>
        <w:rPr>
          <w:rFonts w:ascii="Courier New"/>
          <w:sz w:val="20"/>
        </w:rPr>
        <w:t>L[1]</w:t>
      </w:r>
      <w:r>
        <w:rPr>
          <w:rFonts w:ascii="Courier New"/>
          <w:spacing w:val="-3"/>
          <w:sz w:val="20"/>
        </w:rPr>
        <w:t> </w:t>
      </w:r>
      <w:r>
        <w:rPr>
          <w:rFonts w:ascii="Courier New"/>
          <w:sz w:val="20"/>
        </w:rPr>
        <w:t>AND</w:t>
      </w:r>
      <w:r>
        <w:rPr>
          <w:rFonts w:ascii="Courier New"/>
          <w:spacing w:val="-3"/>
          <w:sz w:val="20"/>
        </w:rPr>
        <w:t> </w:t>
      </w:r>
      <w:r>
        <w:rPr>
          <w:rFonts w:ascii="Courier New"/>
          <w:sz w:val="20"/>
        </w:rPr>
        <w:t>C</w:t>
      </w:r>
      <w:r>
        <w:rPr>
          <w:rFonts w:ascii="Courier New"/>
          <w:spacing w:val="-2"/>
          <w:sz w:val="20"/>
        </w:rPr>
        <w:t> </w:t>
      </w:r>
      <w:r>
        <w:rPr>
          <w:rFonts w:ascii="Courier New"/>
          <w:sz w:val="20"/>
        </w:rPr>
        <w:t>&gt;</w:t>
      </w:r>
      <w:r>
        <w:rPr>
          <w:rFonts w:ascii="Courier New"/>
          <w:spacing w:val="-3"/>
          <w:sz w:val="20"/>
        </w:rPr>
        <w:t> </w:t>
      </w:r>
      <w:r>
        <w:rPr>
          <w:rFonts w:ascii="Courier New"/>
          <w:sz w:val="20"/>
        </w:rPr>
        <w:t>H[1]</w:t>
      </w:r>
      <w:r>
        <w:rPr>
          <w:rFonts w:ascii="Courier New"/>
          <w:spacing w:val="-3"/>
          <w:sz w:val="20"/>
        </w:rPr>
        <w:t> </w:t>
      </w:r>
      <w:r>
        <w:rPr>
          <w:rFonts w:ascii="Courier New"/>
          <w:sz w:val="20"/>
        </w:rPr>
        <w:t>AND</w:t>
      </w:r>
      <w:r>
        <w:rPr>
          <w:rFonts w:ascii="Courier New"/>
          <w:spacing w:val="-2"/>
          <w:sz w:val="20"/>
        </w:rPr>
        <w:t> </w:t>
      </w:r>
      <w:r>
        <w:rPr>
          <w:rFonts w:ascii="Courier New"/>
          <w:spacing w:val="-10"/>
          <w:sz w:val="20"/>
        </w:rPr>
        <w:t>_</w:t>
      </w:r>
    </w:p>
    <w:p>
      <w:pPr>
        <w:spacing w:before="0"/>
        <w:ind w:left="860" w:right="1187" w:hanging="721"/>
        <w:jc w:val="left"/>
        <w:rPr>
          <w:rFonts w:ascii="Courier New"/>
          <w:sz w:val="20"/>
        </w:rPr>
      </w:pPr>
      <w:r>
        <w:rPr>
          <w:rFonts w:ascii="Courier New"/>
          <w:sz w:val="20"/>
        </w:rPr>
        <w:t>((H</w:t>
      </w:r>
      <w:r>
        <w:rPr>
          <w:rFonts w:ascii="Courier New"/>
          <w:spacing w:val="-5"/>
          <w:sz w:val="20"/>
        </w:rPr>
        <w:t> </w:t>
      </w:r>
      <w:r>
        <w:rPr>
          <w:rFonts w:ascii="Courier New"/>
          <w:sz w:val="20"/>
        </w:rPr>
        <w:t>-</w:t>
      </w:r>
      <w:r>
        <w:rPr>
          <w:rFonts w:ascii="Courier New"/>
          <w:spacing w:val="-5"/>
          <w:sz w:val="20"/>
        </w:rPr>
        <w:t> </w:t>
      </w:r>
      <w:r>
        <w:rPr>
          <w:rFonts w:ascii="Courier New"/>
          <w:sz w:val="20"/>
        </w:rPr>
        <w:t>L)</w:t>
      </w:r>
      <w:r>
        <w:rPr>
          <w:rFonts w:ascii="Courier New"/>
          <w:spacing w:val="-5"/>
          <w:sz w:val="20"/>
        </w:rPr>
        <w:t> </w:t>
      </w:r>
      <w:r>
        <w:rPr>
          <w:rFonts w:ascii="Courier New"/>
          <w:sz w:val="20"/>
        </w:rPr>
        <w:t>&gt;=</w:t>
      </w:r>
      <w:r>
        <w:rPr>
          <w:rFonts w:ascii="Courier New"/>
          <w:spacing w:val="-5"/>
          <w:sz w:val="20"/>
        </w:rPr>
        <w:t> </w:t>
      </w:r>
      <w:r>
        <w:rPr>
          <w:rFonts w:ascii="Courier New"/>
          <w:sz w:val="20"/>
        </w:rPr>
        <w:t>(AverageCandle</w:t>
      </w:r>
      <w:r>
        <w:rPr>
          <w:rFonts w:ascii="Courier New"/>
          <w:spacing w:val="-5"/>
          <w:sz w:val="20"/>
        </w:rPr>
        <w:t> </w:t>
      </w:r>
      <w:r>
        <w:rPr>
          <w:rFonts w:ascii="Courier New"/>
          <w:sz w:val="20"/>
        </w:rPr>
        <w:t>*</w:t>
      </w:r>
      <w:r>
        <w:rPr>
          <w:rFonts w:ascii="Courier New"/>
          <w:spacing w:val="-5"/>
          <w:sz w:val="20"/>
        </w:rPr>
        <w:t> </w:t>
      </w:r>
      <w:r>
        <w:rPr>
          <w:rFonts w:ascii="Courier New"/>
          <w:sz w:val="20"/>
        </w:rPr>
        <w:t>BarMultiplier))</w:t>
      </w:r>
      <w:r>
        <w:rPr>
          <w:rFonts w:ascii="Courier New"/>
          <w:spacing w:val="-5"/>
          <w:sz w:val="20"/>
        </w:rPr>
        <w:t> </w:t>
      </w:r>
      <w:r>
        <w:rPr>
          <w:rFonts w:ascii="Courier New"/>
          <w:sz w:val="20"/>
        </w:rPr>
        <w:t>Then Signal = LongSignal</w:t>
      </w:r>
    </w:p>
    <w:p>
      <w:pPr>
        <w:pStyle w:val="BodyText"/>
        <w:spacing w:before="1"/>
        <w:rPr>
          <w:rFonts w:ascii="Courier New"/>
          <w:sz w:val="20"/>
        </w:rPr>
      </w:pPr>
    </w:p>
    <w:p>
      <w:pPr>
        <w:spacing w:line="226" w:lineRule="exact" w:before="0"/>
        <w:ind w:left="140" w:right="0" w:firstLine="0"/>
        <w:jc w:val="left"/>
        <w:rPr>
          <w:rFonts w:ascii="Courier New"/>
          <w:sz w:val="20"/>
        </w:rPr>
      </w:pPr>
      <w:r>
        <w:rPr>
          <w:rFonts w:ascii="Courier New"/>
          <w:sz w:val="20"/>
        </w:rPr>
        <w:t>ElseIf</w:t>
      </w:r>
      <w:r>
        <w:rPr>
          <w:rFonts w:ascii="Courier New"/>
          <w:spacing w:val="-4"/>
          <w:sz w:val="20"/>
        </w:rPr>
        <w:t> </w:t>
      </w:r>
      <w:r>
        <w:rPr>
          <w:rFonts w:ascii="Courier New"/>
          <w:sz w:val="20"/>
        </w:rPr>
        <w:t>H</w:t>
      </w:r>
      <w:r>
        <w:rPr>
          <w:rFonts w:ascii="Courier New"/>
          <w:spacing w:val="-3"/>
          <w:sz w:val="20"/>
        </w:rPr>
        <w:t> </w:t>
      </w:r>
      <w:r>
        <w:rPr>
          <w:rFonts w:ascii="Courier New"/>
          <w:sz w:val="20"/>
        </w:rPr>
        <w:t>&gt;</w:t>
      </w:r>
      <w:r>
        <w:rPr>
          <w:rFonts w:ascii="Courier New"/>
          <w:spacing w:val="-3"/>
          <w:sz w:val="20"/>
        </w:rPr>
        <w:t> </w:t>
      </w:r>
      <w:r>
        <w:rPr>
          <w:rFonts w:ascii="Courier New"/>
          <w:sz w:val="20"/>
        </w:rPr>
        <w:t>H[1]</w:t>
      </w:r>
      <w:r>
        <w:rPr>
          <w:rFonts w:ascii="Courier New"/>
          <w:spacing w:val="-3"/>
          <w:sz w:val="20"/>
        </w:rPr>
        <w:t> </w:t>
      </w:r>
      <w:r>
        <w:rPr>
          <w:rFonts w:ascii="Courier New"/>
          <w:sz w:val="20"/>
        </w:rPr>
        <w:t>AND</w:t>
      </w:r>
      <w:r>
        <w:rPr>
          <w:rFonts w:ascii="Courier New"/>
          <w:spacing w:val="-3"/>
          <w:sz w:val="20"/>
        </w:rPr>
        <w:t> </w:t>
      </w:r>
      <w:r>
        <w:rPr>
          <w:rFonts w:ascii="Courier New"/>
          <w:sz w:val="20"/>
        </w:rPr>
        <w:t>C</w:t>
      </w:r>
      <w:r>
        <w:rPr>
          <w:rFonts w:ascii="Courier New"/>
          <w:spacing w:val="-4"/>
          <w:sz w:val="20"/>
        </w:rPr>
        <w:t> </w:t>
      </w:r>
      <w:r>
        <w:rPr>
          <w:rFonts w:ascii="Courier New"/>
          <w:sz w:val="20"/>
        </w:rPr>
        <w:t>&lt;</w:t>
      </w:r>
      <w:r>
        <w:rPr>
          <w:rFonts w:ascii="Courier New"/>
          <w:spacing w:val="-3"/>
          <w:sz w:val="20"/>
        </w:rPr>
        <w:t> </w:t>
      </w:r>
      <w:r>
        <w:rPr>
          <w:rFonts w:ascii="Courier New"/>
          <w:sz w:val="20"/>
        </w:rPr>
        <w:t>L[1]</w:t>
      </w:r>
      <w:r>
        <w:rPr>
          <w:rFonts w:ascii="Courier New"/>
          <w:spacing w:val="-3"/>
          <w:sz w:val="20"/>
        </w:rPr>
        <w:t> </w:t>
      </w:r>
      <w:r>
        <w:rPr>
          <w:rFonts w:ascii="Courier New"/>
          <w:sz w:val="20"/>
        </w:rPr>
        <w:t>AND</w:t>
      </w:r>
      <w:r>
        <w:rPr>
          <w:rFonts w:ascii="Courier New"/>
          <w:spacing w:val="-3"/>
          <w:sz w:val="20"/>
        </w:rPr>
        <w:t> </w:t>
      </w:r>
      <w:r>
        <w:rPr>
          <w:rFonts w:ascii="Courier New"/>
          <w:spacing w:val="-10"/>
          <w:sz w:val="20"/>
        </w:rPr>
        <w:t>_</w:t>
      </w:r>
    </w:p>
    <w:p>
      <w:pPr>
        <w:spacing w:before="0"/>
        <w:ind w:left="860" w:right="1187" w:hanging="721"/>
        <w:jc w:val="left"/>
        <w:rPr>
          <w:rFonts w:ascii="Courier New"/>
          <w:sz w:val="20"/>
        </w:rPr>
      </w:pPr>
      <w:r>
        <w:rPr>
          <w:rFonts w:ascii="Courier New"/>
          <w:sz w:val="20"/>
        </w:rPr>
        <w:t>((H</w:t>
      </w:r>
      <w:r>
        <w:rPr>
          <w:rFonts w:ascii="Courier New"/>
          <w:spacing w:val="-5"/>
          <w:sz w:val="20"/>
        </w:rPr>
        <w:t> </w:t>
      </w:r>
      <w:r>
        <w:rPr>
          <w:rFonts w:ascii="Courier New"/>
          <w:sz w:val="20"/>
        </w:rPr>
        <w:t>-</w:t>
      </w:r>
      <w:r>
        <w:rPr>
          <w:rFonts w:ascii="Courier New"/>
          <w:spacing w:val="-5"/>
          <w:sz w:val="20"/>
        </w:rPr>
        <w:t> </w:t>
      </w:r>
      <w:r>
        <w:rPr>
          <w:rFonts w:ascii="Courier New"/>
          <w:sz w:val="20"/>
        </w:rPr>
        <w:t>L)</w:t>
      </w:r>
      <w:r>
        <w:rPr>
          <w:rFonts w:ascii="Courier New"/>
          <w:spacing w:val="-5"/>
          <w:sz w:val="20"/>
        </w:rPr>
        <w:t> </w:t>
      </w:r>
      <w:r>
        <w:rPr>
          <w:rFonts w:ascii="Courier New"/>
          <w:sz w:val="20"/>
        </w:rPr>
        <w:t>&gt;=</w:t>
      </w:r>
      <w:r>
        <w:rPr>
          <w:rFonts w:ascii="Courier New"/>
          <w:spacing w:val="-5"/>
          <w:sz w:val="20"/>
        </w:rPr>
        <w:t> </w:t>
      </w:r>
      <w:r>
        <w:rPr>
          <w:rFonts w:ascii="Courier New"/>
          <w:sz w:val="20"/>
        </w:rPr>
        <w:t>(AverageCandle</w:t>
      </w:r>
      <w:r>
        <w:rPr>
          <w:rFonts w:ascii="Courier New"/>
          <w:spacing w:val="-5"/>
          <w:sz w:val="20"/>
        </w:rPr>
        <w:t> </w:t>
      </w:r>
      <w:r>
        <w:rPr>
          <w:rFonts w:ascii="Courier New"/>
          <w:sz w:val="20"/>
        </w:rPr>
        <w:t>*</w:t>
      </w:r>
      <w:r>
        <w:rPr>
          <w:rFonts w:ascii="Courier New"/>
          <w:spacing w:val="-5"/>
          <w:sz w:val="20"/>
        </w:rPr>
        <w:t> </w:t>
      </w:r>
      <w:r>
        <w:rPr>
          <w:rFonts w:ascii="Courier New"/>
          <w:sz w:val="20"/>
        </w:rPr>
        <w:t>BarMultiplier))</w:t>
      </w:r>
      <w:r>
        <w:rPr>
          <w:rFonts w:ascii="Courier New"/>
          <w:spacing w:val="-5"/>
          <w:sz w:val="20"/>
        </w:rPr>
        <w:t> </w:t>
      </w:r>
      <w:r>
        <w:rPr>
          <w:rFonts w:ascii="Courier New"/>
          <w:sz w:val="20"/>
        </w:rPr>
        <w:t>Then Signal = ShortSignal</w:t>
      </w:r>
    </w:p>
    <w:p>
      <w:pPr>
        <w:pStyle w:val="BodyText"/>
        <w:rPr>
          <w:rFonts w:ascii="Courier New"/>
          <w:sz w:val="20"/>
        </w:rPr>
      </w:pPr>
    </w:p>
    <w:p>
      <w:pPr>
        <w:spacing w:before="0"/>
        <w:ind w:left="1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spacing w:after="0"/>
        <w:jc w:val="left"/>
        <w:rPr>
          <w:rFonts w:ascii="Courier New"/>
          <w:sz w:val="20"/>
        </w:rPr>
        <w:sectPr>
          <w:pgSz w:w="8640" w:h="12960"/>
          <w:pgMar w:header="579" w:footer="1060" w:top="760" w:bottom="1260" w:left="580" w:right="580"/>
        </w:sectPr>
      </w:pPr>
    </w:p>
    <w:p>
      <w:pPr>
        <w:pStyle w:val="BodyText"/>
        <w:rPr>
          <w:rFonts w:ascii="Courier New"/>
          <w:sz w:val="20"/>
        </w:rPr>
      </w:pPr>
    </w:p>
    <w:p>
      <w:pPr>
        <w:pStyle w:val="BodyText"/>
        <w:spacing w:before="5" w:after="1"/>
        <w:rPr>
          <w:rFonts w:ascii="Courier New"/>
          <w:sz w:val="28"/>
        </w:rPr>
      </w:pPr>
    </w:p>
    <w:p>
      <w:pPr>
        <w:pStyle w:val="BodyText"/>
        <w:ind w:left="864"/>
        <w:rPr>
          <w:rFonts w:ascii="Courier New"/>
          <w:sz w:val="20"/>
        </w:rPr>
      </w:pPr>
      <w:r>
        <w:rPr>
          <w:rFonts w:ascii="Courier New"/>
          <w:sz w:val="20"/>
        </w:rPr>
        <w:pict>
          <v:group style="width:305.55pt;height:29pt;mso-position-horizontal-relative:char;mso-position-vertical-relative:line" id="docshapegroup1091" coordorigin="0,0" coordsize="6111,580">
            <v:rect style="position:absolute;left:19;top:0;width:6072;height:580" id="docshape1092" filled="true" fillcolor="#000000" stroked="false">
              <v:fill type="solid"/>
            </v:rect>
            <v:shape style="position:absolute;left:0;top:0;width:6111;height:580" id="docshape1093" coordorigin="0,0" coordsize="6111,580" path="m19,0l0,0,0,580,19,580,19,0xm6110,0l6091,0,6091,580,6110,580,6110,0xe" filled="true" fillcolor="#3f3f3f" stroked="false">
              <v:path arrowok="t"/>
              <v:fill type="solid"/>
            </v:shape>
            <v:shape style="position:absolute;left:19;top:0;width:6072;height:580" type="#_x0000_t202" id="docshape1094" filled="false" stroked="false">
              <v:textbox inset="0,0,0,0">
                <w:txbxContent>
                  <w:p>
                    <w:pPr>
                      <w:spacing w:line="237" w:lineRule="auto" w:before="1"/>
                      <w:ind w:left="1694" w:right="1340" w:firstLine="63"/>
                      <w:jc w:val="left"/>
                      <w:rPr>
                        <w:rFonts w:ascii="Verdana"/>
                        <w:sz w:val="24"/>
                      </w:rPr>
                    </w:pPr>
                    <w:r>
                      <w:rPr>
                        <w:rFonts w:ascii="Verdana"/>
                        <w:color w:val="FFFFFF"/>
                        <w:sz w:val="24"/>
                      </w:rPr>
                      <w:t>Doji Reversal System File</w:t>
                    </w:r>
                    <w:r>
                      <w:rPr>
                        <w:rFonts w:ascii="Verdana"/>
                        <w:color w:val="FFFFFF"/>
                        <w:spacing w:val="-22"/>
                        <w:sz w:val="24"/>
                      </w:rPr>
                      <w:t> </w:t>
                    </w:r>
                    <w:r>
                      <w:rPr>
                        <w:rFonts w:ascii="Verdana"/>
                        <w:color w:val="FFFFFF"/>
                        <w:sz w:val="24"/>
                      </w:rPr>
                      <w:t>Name:</w:t>
                    </w:r>
                    <w:r>
                      <w:rPr>
                        <w:rFonts w:ascii="Verdana"/>
                        <w:color w:val="FFFFFF"/>
                        <w:spacing w:val="-21"/>
                        <w:sz w:val="24"/>
                      </w:rPr>
                      <w:t> </w:t>
                    </w:r>
                    <w:r>
                      <w:rPr>
                        <w:rFonts w:ascii="Verdana"/>
                        <w:color w:val="FFFFFF"/>
                        <w:spacing w:val="-2"/>
                        <w:sz w:val="24"/>
                      </w:rPr>
                      <w:t>sysDojiRev</w:t>
                    </w:r>
                  </w:p>
                </w:txbxContent>
              </v:textbox>
              <w10:wrap type="none"/>
            </v:shape>
          </v:group>
        </w:pict>
      </w:r>
      <w:r>
        <w:rPr>
          <w:rFonts w:ascii="Courier New"/>
          <w:sz w:val="20"/>
        </w:rPr>
      </w:r>
    </w:p>
    <w:p>
      <w:pPr>
        <w:pStyle w:val="BodyText"/>
        <w:spacing w:before="11"/>
        <w:rPr>
          <w:rFonts w:ascii="Courier New"/>
          <w:sz w:val="10"/>
        </w:rPr>
      </w:pPr>
    </w:p>
    <w:p>
      <w:pPr>
        <w:spacing w:before="76"/>
        <w:ind w:left="500" w:right="0" w:firstLine="0"/>
        <w:jc w:val="left"/>
        <w:rPr>
          <w:rFonts w:ascii="Courier New"/>
          <w:sz w:val="20"/>
        </w:rPr>
      </w:pPr>
      <w:r>
        <w:rPr>
          <w:rFonts w:ascii="Courier New"/>
          <w:spacing w:val="-2"/>
          <w:sz w:val="20"/>
        </w:rPr>
        <w:t>#System</w:t>
      </w:r>
    </w:p>
    <w:p>
      <w:pPr>
        <w:pStyle w:val="BodyText"/>
        <w:spacing w:before="10"/>
        <w:rPr>
          <w:rFonts w:ascii="Courier New"/>
          <w:sz w:val="19"/>
        </w:rPr>
      </w:pPr>
    </w:p>
    <w:p>
      <w:pPr>
        <w:spacing w:before="0"/>
        <w:ind w:left="500" w:right="0" w:firstLine="0"/>
        <w:jc w:val="left"/>
        <w:rPr>
          <w:rFonts w:ascii="Courier New"/>
          <w:sz w:val="20"/>
        </w:rPr>
      </w:pPr>
      <w:r>
        <w:rPr>
          <w:rFonts w:ascii="Courier New"/>
          <w:sz w:val="20"/>
        </w:rPr>
        <w:t>#PARAM</w:t>
      </w:r>
      <w:r>
        <w:rPr>
          <w:rFonts w:ascii="Courier New"/>
          <w:spacing w:val="-12"/>
          <w:sz w:val="20"/>
        </w:rPr>
        <w:t> </w:t>
      </w:r>
      <w:r>
        <w:rPr>
          <w:rFonts w:ascii="Courier New"/>
          <w:sz w:val="20"/>
        </w:rPr>
        <w:t>"Percentage",</w:t>
      </w:r>
      <w:r>
        <w:rPr>
          <w:rFonts w:ascii="Courier New"/>
          <w:spacing w:val="-11"/>
          <w:sz w:val="20"/>
        </w:rPr>
        <w:t> </w:t>
      </w:r>
      <w:r>
        <w:rPr>
          <w:rFonts w:ascii="Courier New"/>
          <w:spacing w:val="-5"/>
          <w:sz w:val="20"/>
        </w:rPr>
        <w:t>.10</w:t>
      </w:r>
    </w:p>
    <w:p>
      <w:pPr>
        <w:pStyle w:val="BodyText"/>
        <w:spacing w:before="1"/>
        <w:rPr>
          <w:rFonts w:ascii="Courier New"/>
          <w:sz w:val="20"/>
        </w:rPr>
      </w:pPr>
    </w:p>
    <w:p>
      <w:pPr>
        <w:tabs>
          <w:tab w:pos="1220" w:val="left" w:leader="none"/>
          <w:tab w:pos="2661" w:val="left" w:leader="none"/>
        </w:tabs>
        <w:spacing w:before="0"/>
        <w:ind w:left="500" w:right="3734" w:firstLine="0"/>
        <w:jc w:val="left"/>
        <w:rPr>
          <w:rFonts w:ascii="Courier New"/>
          <w:sz w:val="20"/>
        </w:rPr>
      </w:pPr>
      <w:r>
        <w:rPr>
          <w:rFonts w:ascii="Courier New"/>
          <w:spacing w:val="-4"/>
          <w:sz w:val="20"/>
        </w:rPr>
        <w:t>Dim</w:t>
      </w:r>
      <w:r>
        <w:rPr>
          <w:rFonts w:ascii="Courier New"/>
          <w:sz w:val="20"/>
        </w:rPr>
        <w:tab/>
      </w:r>
      <w:r>
        <w:rPr>
          <w:rFonts w:ascii="Courier New"/>
          <w:spacing w:val="-2"/>
          <w:sz w:val="20"/>
        </w:rPr>
        <w:t>fRangeHL</w:t>
      </w:r>
      <w:r>
        <w:rPr>
          <w:rFonts w:ascii="Courier New"/>
          <w:sz w:val="20"/>
        </w:rPr>
        <w:tab/>
        <w:t>As</w:t>
      </w:r>
      <w:r>
        <w:rPr>
          <w:rFonts w:ascii="Courier New"/>
          <w:spacing w:val="-32"/>
          <w:sz w:val="20"/>
        </w:rPr>
        <w:t> </w:t>
      </w:r>
      <w:r>
        <w:rPr>
          <w:rFonts w:ascii="Courier New"/>
          <w:sz w:val="20"/>
        </w:rPr>
        <w:t>Single </w:t>
      </w:r>
      <w:r>
        <w:rPr>
          <w:rFonts w:ascii="Courier New"/>
          <w:spacing w:val="-5"/>
          <w:sz w:val="20"/>
        </w:rPr>
        <w:t>Dim</w:t>
      </w:r>
      <w:r>
        <w:rPr>
          <w:rFonts w:ascii="Courier New"/>
          <w:sz w:val="20"/>
        </w:rPr>
        <w:tab/>
      </w:r>
      <w:r>
        <w:rPr>
          <w:rFonts w:ascii="Courier New"/>
          <w:spacing w:val="-2"/>
          <w:sz w:val="20"/>
        </w:rPr>
        <w:t>fRangeCO</w:t>
      </w:r>
      <w:r>
        <w:rPr>
          <w:rFonts w:ascii="Courier New"/>
          <w:sz w:val="20"/>
        </w:rPr>
        <w:tab/>
        <w:t>As</w:t>
      </w:r>
      <w:r>
        <w:rPr>
          <w:rFonts w:ascii="Courier New"/>
          <w:spacing w:val="-3"/>
          <w:sz w:val="20"/>
        </w:rPr>
        <w:t> </w:t>
      </w:r>
      <w:r>
        <w:rPr>
          <w:rFonts w:ascii="Courier New"/>
          <w:spacing w:val="-2"/>
          <w:sz w:val="20"/>
        </w:rPr>
        <w:t>Single</w:t>
      </w:r>
    </w:p>
    <w:p>
      <w:pPr>
        <w:pStyle w:val="BodyText"/>
        <w:spacing w:before="10"/>
        <w:rPr>
          <w:rFonts w:ascii="Courier New"/>
          <w:sz w:val="19"/>
        </w:rPr>
      </w:pPr>
    </w:p>
    <w:p>
      <w:pPr>
        <w:spacing w:before="1"/>
        <w:ind w:left="500" w:right="3443" w:firstLine="0"/>
        <w:jc w:val="left"/>
        <w:rPr>
          <w:rFonts w:ascii="Courier New"/>
          <w:sz w:val="20"/>
        </w:rPr>
      </w:pPr>
      <w:r>
        <w:rPr>
          <w:rFonts w:ascii="Courier New"/>
          <w:sz w:val="20"/>
        </w:rPr>
        <w:t>fRangeHL = H[1] - L[1] fRangeCO</w:t>
      </w:r>
      <w:r>
        <w:rPr>
          <w:rFonts w:ascii="Courier New"/>
          <w:spacing w:val="-9"/>
          <w:sz w:val="20"/>
        </w:rPr>
        <w:t> </w:t>
      </w:r>
      <w:r>
        <w:rPr>
          <w:rFonts w:ascii="Courier New"/>
          <w:sz w:val="20"/>
        </w:rPr>
        <w:t>=</w:t>
      </w:r>
      <w:r>
        <w:rPr>
          <w:rFonts w:ascii="Courier New"/>
          <w:spacing w:val="-9"/>
          <w:sz w:val="20"/>
        </w:rPr>
        <w:t> </w:t>
      </w:r>
      <w:r>
        <w:rPr>
          <w:rFonts w:ascii="Courier New"/>
          <w:sz w:val="20"/>
        </w:rPr>
        <w:t>ABS(C[1]</w:t>
      </w:r>
      <w:r>
        <w:rPr>
          <w:rFonts w:ascii="Courier New"/>
          <w:spacing w:val="-9"/>
          <w:sz w:val="20"/>
        </w:rPr>
        <w:t> </w:t>
      </w:r>
      <w:r>
        <w:rPr>
          <w:rFonts w:ascii="Courier New"/>
          <w:sz w:val="20"/>
        </w:rPr>
        <w:t>-</w:t>
      </w:r>
      <w:r>
        <w:rPr>
          <w:rFonts w:ascii="Courier New"/>
          <w:spacing w:val="-9"/>
          <w:sz w:val="20"/>
        </w:rPr>
        <w:t> </w:t>
      </w:r>
      <w:r>
        <w:rPr>
          <w:rFonts w:ascii="Courier New"/>
          <w:sz w:val="20"/>
        </w:rPr>
        <w:t>O[1])</w:t>
      </w:r>
    </w:p>
    <w:p>
      <w:pPr>
        <w:pStyle w:val="BodyText"/>
        <w:rPr>
          <w:rFonts w:ascii="Courier New"/>
          <w:sz w:val="20"/>
        </w:rPr>
      </w:pPr>
    </w:p>
    <w:p>
      <w:pPr>
        <w:spacing w:before="0"/>
        <w:ind w:left="500" w:right="2167" w:firstLine="0"/>
        <w:jc w:val="left"/>
        <w:rPr>
          <w:rFonts w:ascii="Courier New"/>
          <w:sz w:val="20"/>
        </w:rPr>
      </w:pPr>
      <w:r>
        <w:rPr>
          <w:rFonts w:ascii="Courier New"/>
          <w:sz w:val="20"/>
        </w:rPr>
        <w:t>If</w:t>
      </w:r>
      <w:r>
        <w:rPr>
          <w:rFonts w:ascii="Courier New"/>
          <w:spacing w:val="-6"/>
          <w:sz w:val="20"/>
        </w:rPr>
        <w:t> </w:t>
      </w:r>
      <w:r>
        <w:rPr>
          <w:rFonts w:ascii="Courier New"/>
          <w:sz w:val="20"/>
        </w:rPr>
        <w:t>fRangeCO</w:t>
      </w:r>
      <w:r>
        <w:rPr>
          <w:rFonts w:ascii="Courier New"/>
          <w:spacing w:val="-6"/>
          <w:sz w:val="20"/>
        </w:rPr>
        <w:t> </w:t>
      </w:r>
      <w:r>
        <w:rPr>
          <w:rFonts w:ascii="Courier New"/>
          <w:sz w:val="20"/>
        </w:rPr>
        <w:t>&lt;=</w:t>
      </w:r>
      <w:r>
        <w:rPr>
          <w:rFonts w:ascii="Courier New"/>
          <w:spacing w:val="-6"/>
          <w:sz w:val="20"/>
        </w:rPr>
        <w:t> </w:t>
      </w:r>
      <w:r>
        <w:rPr>
          <w:rFonts w:ascii="Courier New"/>
          <w:sz w:val="20"/>
        </w:rPr>
        <w:t>fRangeHL</w:t>
      </w:r>
      <w:r>
        <w:rPr>
          <w:rFonts w:ascii="Courier New"/>
          <w:spacing w:val="-6"/>
          <w:sz w:val="20"/>
        </w:rPr>
        <w:t> </w:t>
      </w:r>
      <w:r>
        <w:rPr>
          <w:rFonts w:ascii="Courier New"/>
          <w:sz w:val="20"/>
        </w:rPr>
        <w:t>*</w:t>
      </w:r>
      <w:r>
        <w:rPr>
          <w:rFonts w:ascii="Courier New"/>
          <w:spacing w:val="-6"/>
          <w:sz w:val="20"/>
        </w:rPr>
        <w:t> </w:t>
      </w:r>
      <w:r>
        <w:rPr>
          <w:rFonts w:ascii="Courier New"/>
          <w:sz w:val="20"/>
        </w:rPr>
        <w:t>Percentage</w:t>
      </w:r>
      <w:r>
        <w:rPr>
          <w:rFonts w:ascii="Courier New"/>
          <w:spacing w:val="-6"/>
          <w:sz w:val="20"/>
        </w:rPr>
        <w:t> </w:t>
      </w:r>
      <w:r>
        <w:rPr>
          <w:rFonts w:ascii="Courier New"/>
          <w:sz w:val="20"/>
        </w:rPr>
        <w:t>_ AND C &lt; L[1] _</w:t>
      </w:r>
    </w:p>
    <w:p>
      <w:pPr>
        <w:spacing w:before="0"/>
        <w:ind w:left="500" w:right="4517" w:firstLine="0"/>
        <w:jc w:val="left"/>
        <w:rPr>
          <w:rFonts w:ascii="Courier New"/>
          <w:sz w:val="20"/>
        </w:rPr>
      </w:pPr>
      <w:r>
        <w:rPr>
          <w:rFonts w:ascii="Courier New"/>
          <w:sz w:val="20"/>
        </w:rPr>
        <w:t>AND</w:t>
      </w:r>
      <w:r>
        <w:rPr>
          <w:rFonts w:ascii="Courier New"/>
          <w:spacing w:val="-9"/>
          <w:sz w:val="20"/>
        </w:rPr>
        <w:t> </w:t>
      </w:r>
      <w:r>
        <w:rPr>
          <w:rFonts w:ascii="Courier New"/>
          <w:sz w:val="20"/>
        </w:rPr>
        <w:t>L[1]</w:t>
      </w:r>
      <w:r>
        <w:rPr>
          <w:rFonts w:ascii="Courier New"/>
          <w:spacing w:val="-9"/>
          <w:sz w:val="20"/>
        </w:rPr>
        <w:t> </w:t>
      </w:r>
      <w:r>
        <w:rPr>
          <w:rFonts w:ascii="Courier New"/>
          <w:sz w:val="20"/>
        </w:rPr>
        <w:t>&gt;</w:t>
      </w:r>
      <w:r>
        <w:rPr>
          <w:rFonts w:ascii="Courier New"/>
          <w:spacing w:val="-9"/>
          <w:sz w:val="20"/>
        </w:rPr>
        <w:t> </w:t>
      </w:r>
      <w:r>
        <w:rPr>
          <w:rFonts w:ascii="Courier New"/>
          <w:sz w:val="20"/>
        </w:rPr>
        <w:t>SMA(10)</w:t>
      </w:r>
      <w:r>
        <w:rPr>
          <w:rFonts w:ascii="Courier New"/>
          <w:spacing w:val="-9"/>
          <w:sz w:val="20"/>
        </w:rPr>
        <w:t> </w:t>
      </w:r>
      <w:r>
        <w:rPr>
          <w:rFonts w:ascii="Courier New"/>
          <w:sz w:val="20"/>
        </w:rPr>
        <w:t>_ AND C &lt; O _</w:t>
      </w:r>
    </w:p>
    <w:p>
      <w:pPr>
        <w:spacing w:before="0"/>
        <w:ind w:left="500" w:right="0" w:firstLine="0"/>
        <w:jc w:val="left"/>
        <w:rPr>
          <w:rFonts w:ascii="Courier New"/>
          <w:sz w:val="20"/>
        </w:rPr>
      </w:pPr>
      <w:r>
        <w:rPr>
          <w:rFonts w:ascii="Courier New"/>
          <w:sz w:val="20"/>
        </w:rPr>
        <w:t>OR</w:t>
      </w:r>
      <w:r>
        <w:rPr>
          <w:rFonts w:ascii="Courier New"/>
          <w:spacing w:val="-4"/>
          <w:sz w:val="20"/>
        </w:rPr>
        <w:t> </w:t>
      </w:r>
      <w:r>
        <w:rPr>
          <w:rFonts w:ascii="Courier New"/>
          <w:sz w:val="20"/>
        </w:rPr>
        <w:t>C</w:t>
      </w:r>
      <w:r>
        <w:rPr>
          <w:rFonts w:ascii="Courier New"/>
          <w:spacing w:val="-3"/>
          <w:sz w:val="20"/>
        </w:rPr>
        <w:t> </w:t>
      </w:r>
      <w:r>
        <w:rPr>
          <w:rFonts w:ascii="Courier New"/>
          <w:sz w:val="20"/>
        </w:rPr>
        <w:t>&lt;</w:t>
      </w:r>
      <w:r>
        <w:rPr>
          <w:rFonts w:ascii="Courier New"/>
          <w:spacing w:val="-3"/>
          <w:sz w:val="20"/>
        </w:rPr>
        <w:t> </w:t>
      </w:r>
      <w:r>
        <w:rPr>
          <w:rFonts w:ascii="Courier New"/>
          <w:sz w:val="20"/>
        </w:rPr>
        <w:t>L[2]</w:t>
      </w:r>
      <w:r>
        <w:rPr>
          <w:rFonts w:ascii="Courier New"/>
          <w:spacing w:val="-3"/>
          <w:sz w:val="20"/>
        </w:rPr>
        <w:t> </w:t>
      </w:r>
      <w:r>
        <w:rPr>
          <w:rFonts w:ascii="Courier New"/>
          <w:sz w:val="20"/>
        </w:rPr>
        <w:t>AND</w:t>
      </w:r>
      <w:r>
        <w:rPr>
          <w:rFonts w:ascii="Courier New"/>
          <w:spacing w:val="-3"/>
          <w:sz w:val="20"/>
        </w:rPr>
        <w:t> </w:t>
      </w:r>
      <w:r>
        <w:rPr>
          <w:rFonts w:ascii="Courier New"/>
          <w:sz w:val="20"/>
        </w:rPr>
        <w:t>NOT</w:t>
      </w:r>
      <w:r>
        <w:rPr>
          <w:rFonts w:ascii="Courier New"/>
          <w:spacing w:val="-3"/>
          <w:sz w:val="20"/>
        </w:rPr>
        <w:t> </w:t>
      </w:r>
      <w:r>
        <w:rPr>
          <w:rFonts w:ascii="Courier New"/>
          <w:sz w:val="20"/>
        </w:rPr>
        <w:t>C[1]</w:t>
      </w:r>
      <w:r>
        <w:rPr>
          <w:rFonts w:ascii="Courier New"/>
          <w:spacing w:val="-3"/>
          <w:sz w:val="20"/>
        </w:rPr>
        <w:t> </w:t>
      </w:r>
      <w:r>
        <w:rPr>
          <w:rFonts w:ascii="Courier New"/>
          <w:sz w:val="20"/>
        </w:rPr>
        <w:t>&lt;</w:t>
      </w:r>
      <w:r>
        <w:rPr>
          <w:rFonts w:ascii="Courier New"/>
          <w:spacing w:val="-3"/>
          <w:sz w:val="20"/>
        </w:rPr>
        <w:t> </w:t>
      </w:r>
      <w:r>
        <w:rPr>
          <w:rFonts w:ascii="Courier New"/>
          <w:sz w:val="20"/>
        </w:rPr>
        <w:t>L[2]</w:t>
      </w:r>
      <w:r>
        <w:rPr>
          <w:rFonts w:ascii="Courier New"/>
          <w:spacing w:val="-3"/>
          <w:sz w:val="20"/>
        </w:rPr>
        <w:t> </w:t>
      </w:r>
      <w:r>
        <w:rPr>
          <w:rFonts w:ascii="Courier New"/>
          <w:spacing w:val="-10"/>
          <w:sz w:val="20"/>
        </w:rPr>
        <w:t>_</w:t>
      </w:r>
    </w:p>
    <w:p>
      <w:pPr>
        <w:spacing w:before="0"/>
        <w:ind w:left="500" w:right="1275" w:firstLine="0"/>
        <w:jc w:val="left"/>
        <w:rPr>
          <w:rFonts w:ascii="Courier New"/>
          <w:sz w:val="20"/>
        </w:rPr>
      </w:pPr>
      <w:r>
        <w:rPr>
          <w:rFonts w:ascii="Courier New"/>
          <w:sz w:val="20"/>
        </w:rPr>
        <w:t>AND</w:t>
      </w:r>
      <w:r>
        <w:rPr>
          <w:rFonts w:ascii="Courier New"/>
          <w:spacing w:val="-6"/>
          <w:sz w:val="20"/>
        </w:rPr>
        <w:t> </w:t>
      </w:r>
      <w:r>
        <w:rPr>
          <w:rFonts w:ascii="Courier New"/>
          <w:sz w:val="20"/>
        </w:rPr>
        <w:t>fRangeCO[1]</w:t>
      </w:r>
      <w:r>
        <w:rPr>
          <w:rFonts w:ascii="Courier New"/>
          <w:spacing w:val="-6"/>
          <w:sz w:val="20"/>
        </w:rPr>
        <w:t> </w:t>
      </w:r>
      <w:r>
        <w:rPr>
          <w:rFonts w:ascii="Courier New"/>
          <w:sz w:val="20"/>
        </w:rPr>
        <w:t>&lt;=</w:t>
      </w:r>
      <w:r>
        <w:rPr>
          <w:rFonts w:ascii="Courier New"/>
          <w:spacing w:val="-6"/>
          <w:sz w:val="20"/>
        </w:rPr>
        <w:t> </w:t>
      </w:r>
      <w:r>
        <w:rPr>
          <w:rFonts w:ascii="Courier New"/>
          <w:sz w:val="20"/>
        </w:rPr>
        <w:t>fRangeHL[1]</w:t>
      </w:r>
      <w:r>
        <w:rPr>
          <w:rFonts w:ascii="Courier New"/>
          <w:spacing w:val="-6"/>
          <w:sz w:val="20"/>
        </w:rPr>
        <w:t> </w:t>
      </w:r>
      <w:r>
        <w:rPr>
          <w:rFonts w:ascii="Courier New"/>
          <w:sz w:val="20"/>
        </w:rPr>
        <w:t>*</w:t>
      </w:r>
      <w:r>
        <w:rPr>
          <w:rFonts w:ascii="Courier New"/>
          <w:spacing w:val="-6"/>
          <w:sz w:val="20"/>
        </w:rPr>
        <w:t> </w:t>
      </w:r>
      <w:r>
        <w:rPr>
          <w:rFonts w:ascii="Courier New"/>
          <w:sz w:val="20"/>
        </w:rPr>
        <w:t>Percentage</w:t>
      </w:r>
      <w:r>
        <w:rPr>
          <w:rFonts w:ascii="Courier New"/>
          <w:spacing w:val="-6"/>
          <w:sz w:val="20"/>
        </w:rPr>
        <w:t> </w:t>
      </w:r>
      <w:r>
        <w:rPr>
          <w:rFonts w:ascii="Courier New"/>
          <w:sz w:val="20"/>
        </w:rPr>
        <w:t>_ AND C &lt; O _</w:t>
      </w:r>
    </w:p>
    <w:p>
      <w:pPr>
        <w:spacing w:line="226" w:lineRule="exact" w:before="0"/>
        <w:ind w:left="500" w:right="0" w:firstLine="0"/>
        <w:jc w:val="left"/>
        <w:rPr>
          <w:rFonts w:ascii="Courier New"/>
          <w:sz w:val="20"/>
        </w:rPr>
      </w:pPr>
      <w:r>
        <w:rPr>
          <w:rFonts w:ascii="Courier New"/>
          <w:sz w:val="20"/>
        </w:rPr>
        <w:t>AND</w:t>
      </w:r>
      <w:r>
        <w:rPr>
          <w:rFonts w:ascii="Courier New"/>
          <w:spacing w:val="-7"/>
          <w:sz w:val="20"/>
        </w:rPr>
        <w:t> </w:t>
      </w:r>
      <w:r>
        <w:rPr>
          <w:rFonts w:ascii="Courier New"/>
          <w:sz w:val="20"/>
        </w:rPr>
        <w:t>L[2]</w:t>
      </w:r>
      <w:r>
        <w:rPr>
          <w:rFonts w:ascii="Courier New"/>
          <w:spacing w:val="-4"/>
          <w:sz w:val="20"/>
        </w:rPr>
        <w:t> </w:t>
      </w:r>
      <w:r>
        <w:rPr>
          <w:rFonts w:ascii="Courier New"/>
          <w:sz w:val="20"/>
        </w:rPr>
        <w:t>&gt;</w:t>
      </w:r>
      <w:r>
        <w:rPr>
          <w:rFonts w:ascii="Courier New"/>
          <w:spacing w:val="-5"/>
          <w:sz w:val="20"/>
        </w:rPr>
        <w:t> </w:t>
      </w:r>
      <w:r>
        <w:rPr>
          <w:rFonts w:ascii="Courier New"/>
          <w:sz w:val="20"/>
        </w:rPr>
        <w:t>SMA(10)</w:t>
      </w:r>
      <w:r>
        <w:rPr>
          <w:rFonts w:ascii="Courier New"/>
          <w:spacing w:val="-4"/>
          <w:sz w:val="20"/>
        </w:rPr>
        <w:t> Then</w:t>
      </w:r>
    </w:p>
    <w:p>
      <w:pPr>
        <w:spacing w:before="0"/>
        <w:ind w:left="1220" w:right="0" w:firstLine="0"/>
        <w:jc w:val="left"/>
        <w:rPr>
          <w:rFonts w:ascii="Courier New"/>
          <w:sz w:val="20"/>
        </w:rPr>
      </w:pPr>
      <w:r>
        <w:rPr>
          <w:rFonts w:ascii="Courier New"/>
          <w:sz w:val="20"/>
        </w:rPr>
        <w:t>Signal</w:t>
      </w:r>
      <w:r>
        <w:rPr>
          <w:rFonts w:ascii="Courier New"/>
          <w:spacing w:val="-5"/>
          <w:sz w:val="20"/>
        </w:rPr>
        <w:t> </w:t>
      </w:r>
      <w:r>
        <w:rPr>
          <w:rFonts w:ascii="Courier New"/>
          <w:sz w:val="20"/>
        </w:rPr>
        <w:t>=</w:t>
      </w:r>
      <w:r>
        <w:rPr>
          <w:rFonts w:ascii="Courier New"/>
          <w:spacing w:val="-4"/>
          <w:sz w:val="20"/>
        </w:rPr>
        <w:t> </w:t>
      </w:r>
      <w:r>
        <w:rPr>
          <w:rFonts w:ascii="Courier New"/>
          <w:spacing w:val="-2"/>
          <w:sz w:val="20"/>
        </w:rPr>
        <w:t>ShortSignal</w:t>
      </w:r>
    </w:p>
    <w:p>
      <w:pPr>
        <w:pStyle w:val="BodyText"/>
        <w:spacing w:before="1"/>
        <w:rPr>
          <w:rFonts w:ascii="Courier New"/>
          <w:sz w:val="20"/>
        </w:rPr>
      </w:pPr>
    </w:p>
    <w:p>
      <w:pPr>
        <w:spacing w:before="0"/>
        <w:ind w:left="500" w:right="1693" w:firstLine="0"/>
        <w:jc w:val="left"/>
        <w:rPr>
          <w:rFonts w:ascii="Courier New"/>
          <w:sz w:val="20"/>
        </w:rPr>
      </w:pPr>
      <w:r>
        <w:rPr>
          <w:rFonts w:ascii="Courier New"/>
          <w:sz w:val="20"/>
        </w:rPr>
        <w:t>ElseIf</w:t>
      </w:r>
      <w:r>
        <w:rPr>
          <w:rFonts w:ascii="Courier New"/>
          <w:spacing w:val="-6"/>
          <w:sz w:val="20"/>
        </w:rPr>
        <w:t> </w:t>
      </w:r>
      <w:r>
        <w:rPr>
          <w:rFonts w:ascii="Courier New"/>
          <w:sz w:val="20"/>
        </w:rPr>
        <w:t>fRangeCO</w:t>
      </w:r>
      <w:r>
        <w:rPr>
          <w:rFonts w:ascii="Courier New"/>
          <w:spacing w:val="-6"/>
          <w:sz w:val="20"/>
        </w:rPr>
        <w:t> </w:t>
      </w:r>
      <w:r>
        <w:rPr>
          <w:rFonts w:ascii="Courier New"/>
          <w:sz w:val="20"/>
        </w:rPr>
        <w:t>&lt;=</w:t>
      </w:r>
      <w:r>
        <w:rPr>
          <w:rFonts w:ascii="Courier New"/>
          <w:spacing w:val="-6"/>
          <w:sz w:val="20"/>
        </w:rPr>
        <w:t> </w:t>
      </w:r>
      <w:r>
        <w:rPr>
          <w:rFonts w:ascii="Courier New"/>
          <w:sz w:val="20"/>
        </w:rPr>
        <w:t>fRangeHL</w:t>
      </w:r>
      <w:r>
        <w:rPr>
          <w:rFonts w:ascii="Courier New"/>
          <w:spacing w:val="-6"/>
          <w:sz w:val="20"/>
        </w:rPr>
        <w:t> </w:t>
      </w:r>
      <w:r>
        <w:rPr>
          <w:rFonts w:ascii="Courier New"/>
          <w:sz w:val="20"/>
        </w:rPr>
        <w:t>*</w:t>
      </w:r>
      <w:r>
        <w:rPr>
          <w:rFonts w:ascii="Courier New"/>
          <w:spacing w:val="-6"/>
          <w:sz w:val="20"/>
        </w:rPr>
        <w:t> </w:t>
      </w:r>
      <w:r>
        <w:rPr>
          <w:rFonts w:ascii="Courier New"/>
          <w:sz w:val="20"/>
        </w:rPr>
        <w:t>Percentage</w:t>
      </w:r>
      <w:r>
        <w:rPr>
          <w:rFonts w:ascii="Courier New"/>
          <w:spacing w:val="-6"/>
          <w:sz w:val="20"/>
        </w:rPr>
        <w:t> </w:t>
      </w:r>
      <w:r>
        <w:rPr>
          <w:rFonts w:ascii="Courier New"/>
          <w:sz w:val="20"/>
        </w:rPr>
        <w:t>_ AND C &gt; H[1] _</w:t>
      </w:r>
    </w:p>
    <w:p>
      <w:pPr>
        <w:spacing w:before="0"/>
        <w:ind w:left="500" w:right="4517" w:firstLine="0"/>
        <w:jc w:val="left"/>
        <w:rPr>
          <w:rFonts w:ascii="Courier New"/>
          <w:sz w:val="20"/>
        </w:rPr>
      </w:pPr>
      <w:r>
        <w:rPr>
          <w:rFonts w:ascii="Courier New"/>
          <w:sz w:val="20"/>
        </w:rPr>
        <w:t>AND</w:t>
      </w:r>
      <w:r>
        <w:rPr>
          <w:rFonts w:ascii="Courier New"/>
          <w:spacing w:val="-9"/>
          <w:sz w:val="20"/>
        </w:rPr>
        <w:t> </w:t>
      </w:r>
      <w:r>
        <w:rPr>
          <w:rFonts w:ascii="Courier New"/>
          <w:sz w:val="20"/>
        </w:rPr>
        <w:t>H[1]</w:t>
      </w:r>
      <w:r>
        <w:rPr>
          <w:rFonts w:ascii="Courier New"/>
          <w:spacing w:val="-9"/>
          <w:sz w:val="20"/>
        </w:rPr>
        <w:t> </w:t>
      </w:r>
      <w:r>
        <w:rPr>
          <w:rFonts w:ascii="Courier New"/>
          <w:sz w:val="20"/>
        </w:rPr>
        <w:t>&lt;</w:t>
      </w:r>
      <w:r>
        <w:rPr>
          <w:rFonts w:ascii="Courier New"/>
          <w:spacing w:val="-9"/>
          <w:sz w:val="20"/>
        </w:rPr>
        <w:t> </w:t>
      </w:r>
      <w:r>
        <w:rPr>
          <w:rFonts w:ascii="Courier New"/>
          <w:sz w:val="20"/>
        </w:rPr>
        <w:t>SMA(10)</w:t>
      </w:r>
      <w:r>
        <w:rPr>
          <w:rFonts w:ascii="Courier New"/>
          <w:spacing w:val="-9"/>
          <w:sz w:val="20"/>
        </w:rPr>
        <w:t> </w:t>
      </w:r>
      <w:r>
        <w:rPr>
          <w:rFonts w:ascii="Courier New"/>
          <w:sz w:val="20"/>
        </w:rPr>
        <w:t>_ AND C &gt; O _</w:t>
      </w:r>
    </w:p>
    <w:p>
      <w:pPr>
        <w:spacing w:before="0"/>
        <w:ind w:left="500" w:right="0" w:firstLine="0"/>
        <w:jc w:val="left"/>
        <w:rPr>
          <w:rFonts w:ascii="Courier New"/>
          <w:sz w:val="20"/>
        </w:rPr>
      </w:pPr>
      <w:r>
        <w:rPr>
          <w:rFonts w:ascii="Courier New"/>
          <w:sz w:val="20"/>
        </w:rPr>
        <w:t>OR</w:t>
      </w:r>
      <w:r>
        <w:rPr>
          <w:rFonts w:ascii="Courier New"/>
          <w:spacing w:val="-4"/>
          <w:sz w:val="20"/>
        </w:rPr>
        <w:t> </w:t>
      </w:r>
      <w:r>
        <w:rPr>
          <w:rFonts w:ascii="Courier New"/>
          <w:sz w:val="20"/>
        </w:rPr>
        <w:t>C</w:t>
      </w:r>
      <w:r>
        <w:rPr>
          <w:rFonts w:ascii="Courier New"/>
          <w:spacing w:val="-3"/>
          <w:sz w:val="20"/>
        </w:rPr>
        <w:t> </w:t>
      </w:r>
      <w:r>
        <w:rPr>
          <w:rFonts w:ascii="Courier New"/>
          <w:sz w:val="20"/>
        </w:rPr>
        <w:t>&gt;</w:t>
      </w:r>
      <w:r>
        <w:rPr>
          <w:rFonts w:ascii="Courier New"/>
          <w:spacing w:val="-3"/>
          <w:sz w:val="20"/>
        </w:rPr>
        <w:t> </w:t>
      </w:r>
      <w:r>
        <w:rPr>
          <w:rFonts w:ascii="Courier New"/>
          <w:sz w:val="20"/>
        </w:rPr>
        <w:t>H[2]</w:t>
      </w:r>
      <w:r>
        <w:rPr>
          <w:rFonts w:ascii="Courier New"/>
          <w:spacing w:val="-3"/>
          <w:sz w:val="20"/>
        </w:rPr>
        <w:t> </w:t>
      </w:r>
      <w:r>
        <w:rPr>
          <w:rFonts w:ascii="Courier New"/>
          <w:sz w:val="20"/>
        </w:rPr>
        <w:t>AND</w:t>
      </w:r>
      <w:r>
        <w:rPr>
          <w:rFonts w:ascii="Courier New"/>
          <w:spacing w:val="-3"/>
          <w:sz w:val="20"/>
        </w:rPr>
        <w:t> </w:t>
      </w:r>
      <w:r>
        <w:rPr>
          <w:rFonts w:ascii="Courier New"/>
          <w:sz w:val="20"/>
        </w:rPr>
        <w:t>NOT</w:t>
      </w:r>
      <w:r>
        <w:rPr>
          <w:rFonts w:ascii="Courier New"/>
          <w:spacing w:val="-3"/>
          <w:sz w:val="20"/>
        </w:rPr>
        <w:t> </w:t>
      </w:r>
      <w:r>
        <w:rPr>
          <w:rFonts w:ascii="Courier New"/>
          <w:sz w:val="20"/>
        </w:rPr>
        <w:t>C[1]</w:t>
      </w:r>
      <w:r>
        <w:rPr>
          <w:rFonts w:ascii="Courier New"/>
          <w:spacing w:val="-3"/>
          <w:sz w:val="20"/>
        </w:rPr>
        <w:t> </w:t>
      </w:r>
      <w:r>
        <w:rPr>
          <w:rFonts w:ascii="Courier New"/>
          <w:sz w:val="20"/>
        </w:rPr>
        <w:t>&gt;</w:t>
      </w:r>
      <w:r>
        <w:rPr>
          <w:rFonts w:ascii="Courier New"/>
          <w:spacing w:val="-3"/>
          <w:sz w:val="20"/>
        </w:rPr>
        <w:t> </w:t>
      </w:r>
      <w:r>
        <w:rPr>
          <w:rFonts w:ascii="Courier New"/>
          <w:sz w:val="20"/>
        </w:rPr>
        <w:t>H[2]</w:t>
      </w:r>
      <w:r>
        <w:rPr>
          <w:rFonts w:ascii="Courier New"/>
          <w:spacing w:val="-3"/>
          <w:sz w:val="20"/>
        </w:rPr>
        <w:t> </w:t>
      </w:r>
      <w:r>
        <w:rPr>
          <w:rFonts w:ascii="Courier New"/>
          <w:spacing w:val="-10"/>
          <w:sz w:val="20"/>
        </w:rPr>
        <w:t>_</w:t>
      </w:r>
    </w:p>
    <w:p>
      <w:pPr>
        <w:spacing w:before="0"/>
        <w:ind w:left="500" w:right="1275" w:firstLine="0"/>
        <w:jc w:val="left"/>
        <w:rPr>
          <w:rFonts w:ascii="Courier New"/>
          <w:sz w:val="20"/>
        </w:rPr>
      </w:pPr>
      <w:r>
        <w:rPr>
          <w:rFonts w:ascii="Courier New"/>
          <w:sz w:val="20"/>
        </w:rPr>
        <w:t>AND</w:t>
      </w:r>
      <w:r>
        <w:rPr>
          <w:rFonts w:ascii="Courier New"/>
          <w:spacing w:val="-6"/>
          <w:sz w:val="20"/>
        </w:rPr>
        <w:t> </w:t>
      </w:r>
      <w:r>
        <w:rPr>
          <w:rFonts w:ascii="Courier New"/>
          <w:sz w:val="20"/>
        </w:rPr>
        <w:t>fRangeCO[1]</w:t>
      </w:r>
      <w:r>
        <w:rPr>
          <w:rFonts w:ascii="Courier New"/>
          <w:spacing w:val="-6"/>
          <w:sz w:val="20"/>
        </w:rPr>
        <w:t> </w:t>
      </w:r>
      <w:r>
        <w:rPr>
          <w:rFonts w:ascii="Courier New"/>
          <w:sz w:val="20"/>
        </w:rPr>
        <w:t>&lt;=</w:t>
      </w:r>
      <w:r>
        <w:rPr>
          <w:rFonts w:ascii="Courier New"/>
          <w:spacing w:val="-6"/>
          <w:sz w:val="20"/>
        </w:rPr>
        <w:t> </w:t>
      </w:r>
      <w:r>
        <w:rPr>
          <w:rFonts w:ascii="Courier New"/>
          <w:sz w:val="20"/>
        </w:rPr>
        <w:t>fRangeHL[1]</w:t>
      </w:r>
      <w:r>
        <w:rPr>
          <w:rFonts w:ascii="Courier New"/>
          <w:spacing w:val="-6"/>
          <w:sz w:val="20"/>
        </w:rPr>
        <w:t> </w:t>
      </w:r>
      <w:r>
        <w:rPr>
          <w:rFonts w:ascii="Courier New"/>
          <w:sz w:val="20"/>
        </w:rPr>
        <w:t>*</w:t>
      </w:r>
      <w:r>
        <w:rPr>
          <w:rFonts w:ascii="Courier New"/>
          <w:spacing w:val="-6"/>
          <w:sz w:val="20"/>
        </w:rPr>
        <w:t> </w:t>
      </w:r>
      <w:r>
        <w:rPr>
          <w:rFonts w:ascii="Courier New"/>
          <w:sz w:val="20"/>
        </w:rPr>
        <w:t>Percentage</w:t>
      </w:r>
      <w:r>
        <w:rPr>
          <w:rFonts w:ascii="Courier New"/>
          <w:spacing w:val="-6"/>
          <w:sz w:val="20"/>
        </w:rPr>
        <w:t> </w:t>
      </w:r>
      <w:r>
        <w:rPr>
          <w:rFonts w:ascii="Courier New"/>
          <w:sz w:val="20"/>
        </w:rPr>
        <w:t>_ AND C &gt; O _</w:t>
      </w:r>
    </w:p>
    <w:p>
      <w:pPr>
        <w:spacing w:line="226" w:lineRule="exact" w:before="0"/>
        <w:ind w:left="500" w:right="0" w:firstLine="0"/>
        <w:jc w:val="left"/>
        <w:rPr>
          <w:rFonts w:ascii="Courier New"/>
          <w:sz w:val="20"/>
        </w:rPr>
      </w:pPr>
      <w:r>
        <w:rPr>
          <w:rFonts w:ascii="Courier New"/>
          <w:sz w:val="20"/>
        </w:rPr>
        <w:t>AND</w:t>
      </w:r>
      <w:r>
        <w:rPr>
          <w:rFonts w:ascii="Courier New"/>
          <w:spacing w:val="-7"/>
          <w:sz w:val="20"/>
        </w:rPr>
        <w:t> </w:t>
      </w:r>
      <w:r>
        <w:rPr>
          <w:rFonts w:ascii="Courier New"/>
          <w:sz w:val="20"/>
        </w:rPr>
        <w:t>H[2]</w:t>
      </w:r>
      <w:r>
        <w:rPr>
          <w:rFonts w:ascii="Courier New"/>
          <w:spacing w:val="-4"/>
          <w:sz w:val="20"/>
        </w:rPr>
        <w:t> </w:t>
      </w:r>
      <w:r>
        <w:rPr>
          <w:rFonts w:ascii="Courier New"/>
          <w:sz w:val="20"/>
        </w:rPr>
        <w:t>&lt;</w:t>
      </w:r>
      <w:r>
        <w:rPr>
          <w:rFonts w:ascii="Courier New"/>
          <w:spacing w:val="-5"/>
          <w:sz w:val="20"/>
        </w:rPr>
        <w:t> </w:t>
      </w:r>
      <w:r>
        <w:rPr>
          <w:rFonts w:ascii="Courier New"/>
          <w:sz w:val="20"/>
        </w:rPr>
        <w:t>SMA(10)</w:t>
      </w:r>
      <w:r>
        <w:rPr>
          <w:rFonts w:ascii="Courier New"/>
          <w:spacing w:val="-4"/>
          <w:sz w:val="20"/>
        </w:rPr>
        <w:t> Then</w:t>
      </w:r>
    </w:p>
    <w:p>
      <w:pPr>
        <w:spacing w:line="480" w:lineRule="auto" w:before="0"/>
        <w:ind w:left="500" w:right="3806" w:firstLine="720"/>
        <w:jc w:val="left"/>
        <w:rPr>
          <w:rFonts w:ascii="Courier New"/>
          <w:sz w:val="20"/>
        </w:rPr>
      </w:pPr>
      <w:r>
        <w:rPr>
          <w:rFonts w:ascii="Courier New"/>
          <w:sz w:val="20"/>
        </w:rPr>
        <w:t>Signal</w:t>
      </w:r>
      <w:r>
        <w:rPr>
          <w:rFonts w:ascii="Courier New"/>
          <w:spacing w:val="-18"/>
          <w:sz w:val="20"/>
        </w:rPr>
        <w:t> </w:t>
      </w:r>
      <w:r>
        <w:rPr>
          <w:rFonts w:ascii="Courier New"/>
          <w:sz w:val="20"/>
        </w:rPr>
        <w:t>=</w:t>
      </w:r>
      <w:r>
        <w:rPr>
          <w:rFonts w:ascii="Courier New"/>
          <w:spacing w:val="-18"/>
          <w:sz w:val="20"/>
        </w:rPr>
        <w:t> </w:t>
      </w:r>
      <w:r>
        <w:rPr>
          <w:rFonts w:ascii="Courier New"/>
          <w:sz w:val="20"/>
        </w:rPr>
        <w:t>LongSignal End If</w:t>
      </w:r>
    </w:p>
    <w:p>
      <w:pPr>
        <w:spacing w:after="0" w:line="480" w:lineRule="auto"/>
        <w:jc w:val="left"/>
        <w:rPr>
          <w:rFonts w:ascii="Courier New"/>
          <w:sz w:val="20"/>
        </w:rPr>
        <w:sectPr>
          <w:pgSz w:w="8640" w:h="12960"/>
          <w:pgMar w:header="536" w:footer="1060" w:top="720" w:bottom="1260" w:left="580" w:right="580"/>
        </w:sectPr>
      </w:pPr>
    </w:p>
    <w:p>
      <w:pPr>
        <w:pStyle w:val="BodyText"/>
        <w:rPr>
          <w:rFonts w:ascii="Courier New"/>
          <w:sz w:val="20"/>
        </w:rPr>
      </w:pPr>
    </w:p>
    <w:p>
      <w:pPr>
        <w:pStyle w:val="BodyText"/>
        <w:spacing w:before="9"/>
        <w:rPr>
          <w:rFonts w:ascii="Courier New"/>
          <w:sz w:val="24"/>
        </w:rPr>
      </w:pPr>
    </w:p>
    <w:p>
      <w:pPr>
        <w:pStyle w:val="BodyText"/>
        <w:ind w:left="504"/>
        <w:rPr>
          <w:rFonts w:ascii="Courier New"/>
          <w:sz w:val="20"/>
        </w:rPr>
      </w:pPr>
      <w:r>
        <w:rPr>
          <w:rFonts w:ascii="Courier New"/>
          <w:sz w:val="20"/>
        </w:rPr>
        <w:pict>
          <v:group style="width:305.55pt;height:46pt;mso-position-horizontal-relative:char;mso-position-vertical-relative:line" id="docshapegroup1095" coordorigin="0,0" coordsize="6111,920">
            <v:rect style="position:absolute;left:19;top:0;width:6072;height:340" id="docshape1096" filled="true" fillcolor="#000000" stroked="false">
              <v:fill type="solid"/>
            </v:rect>
            <v:shape style="position:absolute;left:0;top:0;width:6111;height:340" id="docshape1097" coordorigin="0,0" coordsize="6111,340" path="m19,0l0,0,0,340,19,340,19,0xm6110,0l6091,0,6091,340,6110,340,6110,0xe" filled="true" fillcolor="#3f3f3f" stroked="false">
              <v:path arrowok="t"/>
              <v:fill type="solid"/>
            </v:shape>
            <v:rect style="position:absolute;left:19;top:339;width:6072;height:580" id="docshape1098" filled="true" fillcolor="#000000" stroked="false">
              <v:fill type="solid"/>
            </v:rect>
            <v:shape style="position:absolute;left:0;top:339;width:6111;height:580" id="docshape1099" coordorigin="0,340" coordsize="6111,580" path="m19,340l0,340,0,919,19,919,19,340xm6110,340l6091,340,6091,919,6110,919,6110,340xe" filled="true" fillcolor="#3f3f3f" stroked="false">
              <v:path arrowok="t"/>
              <v:fill type="solid"/>
            </v:shape>
            <v:shape style="position:absolute;left:19;top:0;width:6072;height:920" type="#_x0000_t202" id="docshape1100" filled="false" stroked="false">
              <v:textbox inset="0,0,0,0">
                <w:txbxContent>
                  <w:p>
                    <w:pPr>
                      <w:spacing w:line="338" w:lineRule="exact" w:before="0"/>
                      <w:ind w:left="1641" w:right="1641" w:firstLine="0"/>
                      <w:jc w:val="center"/>
                      <w:rPr>
                        <w:rFonts w:ascii="Verdana"/>
                        <w:sz w:val="28"/>
                      </w:rPr>
                    </w:pPr>
                    <w:r>
                      <w:rPr>
                        <w:rFonts w:ascii="Verdana"/>
                        <w:color w:val="FFFFFF"/>
                        <w:spacing w:val="-2"/>
                        <w:sz w:val="28"/>
                      </w:rPr>
                      <w:t>INDICATORS</w:t>
                    </w:r>
                  </w:p>
                  <w:p>
                    <w:pPr>
                      <w:spacing w:line="237" w:lineRule="auto" w:before="2"/>
                      <w:ind w:left="1220" w:right="1217" w:firstLine="0"/>
                      <w:jc w:val="center"/>
                      <w:rPr>
                        <w:rFonts w:ascii="Verdana"/>
                        <w:sz w:val="24"/>
                      </w:rPr>
                    </w:pPr>
                    <w:r>
                      <w:rPr>
                        <w:rFonts w:ascii="Verdana"/>
                        <w:color w:val="FFFFFF"/>
                        <w:sz w:val="24"/>
                      </w:rPr>
                      <w:t>Central Pivot Range Indicator </w:t>
                    </w:r>
                    <w:r>
                      <w:rPr>
                        <w:rFonts w:ascii="Verdana"/>
                        <w:color w:val="FFFFFF"/>
                        <w:spacing w:val="-2"/>
                        <w:sz w:val="24"/>
                      </w:rPr>
                      <w:t>File</w:t>
                    </w:r>
                    <w:r>
                      <w:rPr>
                        <w:rFonts w:ascii="Verdana"/>
                        <w:color w:val="FFFFFF"/>
                        <w:spacing w:val="-13"/>
                        <w:sz w:val="24"/>
                      </w:rPr>
                      <w:t> </w:t>
                    </w:r>
                    <w:r>
                      <w:rPr>
                        <w:rFonts w:ascii="Verdana"/>
                        <w:color w:val="FFFFFF"/>
                        <w:spacing w:val="-2"/>
                        <w:sz w:val="24"/>
                      </w:rPr>
                      <w:t>Name:</w:t>
                    </w:r>
                    <w:r>
                      <w:rPr>
                        <w:rFonts w:ascii="Verdana"/>
                        <w:color w:val="FFFFFF"/>
                        <w:spacing w:val="-12"/>
                        <w:sz w:val="24"/>
                      </w:rPr>
                      <w:t> </w:t>
                    </w:r>
                    <w:r>
                      <w:rPr>
                        <w:rFonts w:ascii="Verdana"/>
                        <w:color w:val="FFFFFF"/>
                        <w:spacing w:val="-2"/>
                        <w:sz w:val="24"/>
                      </w:rPr>
                      <w:t>iCentralPivotRange</w:t>
                    </w:r>
                  </w:p>
                </w:txbxContent>
              </v:textbox>
              <w10:wrap type="none"/>
            </v:shape>
          </v:group>
        </w:pict>
      </w:r>
      <w:r>
        <w:rPr>
          <w:rFonts w:ascii="Courier New"/>
          <w:sz w:val="20"/>
        </w:rPr>
      </w:r>
    </w:p>
    <w:p>
      <w:pPr>
        <w:pStyle w:val="BodyText"/>
        <w:spacing w:before="2"/>
        <w:rPr>
          <w:rFonts w:ascii="Courier New"/>
          <w:sz w:val="18"/>
        </w:rPr>
      </w:pPr>
    </w:p>
    <w:p>
      <w:pPr>
        <w:spacing w:before="76"/>
        <w:ind w:left="140" w:right="0" w:firstLine="0"/>
        <w:jc w:val="left"/>
        <w:rPr>
          <w:rFonts w:ascii="Courier New"/>
          <w:sz w:val="20"/>
        </w:rPr>
      </w:pPr>
      <w:r>
        <w:rPr>
          <w:rFonts w:ascii="Courier New"/>
          <w:spacing w:val="-2"/>
          <w:sz w:val="20"/>
        </w:rPr>
        <w:t>#Indicator</w:t>
      </w:r>
    </w:p>
    <w:p>
      <w:pPr>
        <w:pStyle w:val="BodyText"/>
        <w:spacing w:before="9"/>
        <w:rPr>
          <w:rFonts w:ascii="Courier New"/>
          <w:sz w:val="27"/>
        </w:rPr>
      </w:pPr>
    </w:p>
    <w:p>
      <w:pPr>
        <w:spacing w:line="226" w:lineRule="exact" w:before="0"/>
        <w:ind w:left="140" w:right="0" w:firstLine="0"/>
        <w:jc w:val="left"/>
        <w:rPr>
          <w:rFonts w:ascii="Courier New"/>
          <w:sz w:val="20"/>
        </w:rPr>
      </w:pPr>
      <w:r>
        <w:rPr>
          <w:rFonts w:ascii="Courier New"/>
          <w:sz w:val="20"/>
        </w:rPr>
        <w:t>#PARAM</w:t>
      </w:r>
      <w:r>
        <w:rPr>
          <w:rFonts w:ascii="Courier New"/>
          <w:spacing w:val="-11"/>
          <w:sz w:val="20"/>
        </w:rPr>
        <w:t> </w:t>
      </w:r>
      <w:r>
        <w:rPr>
          <w:rFonts w:ascii="Courier New"/>
          <w:sz w:val="20"/>
        </w:rPr>
        <w:t>"Show_Current_Only",</w:t>
      </w:r>
      <w:r>
        <w:rPr>
          <w:rFonts w:ascii="Courier New"/>
          <w:spacing w:val="-9"/>
          <w:sz w:val="20"/>
        </w:rPr>
        <w:t> </w:t>
      </w:r>
      <w:r>
        <w:rPr>
          <w:rFonts w:ascii="Courier New"/>
          <w:sz w:val="20"/>
        </w:rPr>
        <w:t>1,</w:t>
      </w:r>
      <w:r>
        <w:rPr>
          <w:rFonts w:ascii="Courier New"/>
          <w:spacing w:val="-9"/>
          <w:sz w:val="20"/>
        </w:rPr>
        <w:t> </w:t>
      </w:r>
      <w:r>
        <w:rPr>
          <w:rFonts w:ascii="Courier New"/>
          <w:sz w:val="20"/>
        </w:rPr>
        <w:t>0,</w:t>
      </w:r>
      <w:r>
        <w:rPr>
          <w:rFonts w:ascii="Courier New"/>
          <w:spacing w:val="-9"/>
          <w:sz w:val="20"/>
        </w:rPr>
        <w:t> </w:t>
      </w:r>
      <w:r>
        <w:rPr>
          <w:rFonts w:ascii="Courier New"/>
          <w:spacing w:val="-10"/>
          <w:sz w:val="20"/>
        </w:rPr>
        <w:t>1</w:t>
      </w:r>
    </w:p>
    <w:p>
      <w:pPr>
        <w:spacing w:line="226" w:lineRule="exact" w:before="0"/>
        <w:ind w:left="140" w:right="0" w:firstLine="0"/>
        <w:jc w:val="left"/>
        <w:rPr>
          <w:rFonts w:ascii="Courier New"/>
          <w:sz w:val="20"/>
        </w:rPr>
      </w:pPr>
      <w:r>
        <w:rPr>
          <w:rFonts w:ascii="Courier New"/>
          <w:sz w:val="20"/>
        </w:rPr>
        <w:t>#PARAM</w:t>
      </w:r>
      <w:r>
        <w:rPr>
          <w:rFonts w:ascii="Courier New"/>
          <w:spacing w:val="-7"/>
          <w:sz w:val="20"/>
        </w:rPr>
        <w:t> </w:t>
      </w:r>
      <w:r>
        <w:rPr>
          <w:rFonts w:ascii="Courier New"/>
          <w:sz w:val="20"/>
        </w:rPr>
        <w:t>"Show_Level",</w:t>
      </w:r>
      <w:r>
        <w:rPr>
          <w:rFonts w:ascii="Courier New"/>
          <w:spacing w:val="-7"/>
          <w:sz w:val="20"/>
        </w:rPr>
        <w:t> </w:t>
      </w:r>
      <w:r>
        <w:rPr>
          <w:rFonts w:ascii="Courier New"/>
          <w:sz w:val="20"/>
        </w:rPr>
        <w:t>0,</w:t>
      </w:r>
      <w:r>
        <w:rPr>
          <w:rFonts w:ascii="Courier New"/>
          <w:spacing w:val="-7"/>
          <w:sz w:val="20"/>
        </w:rPr>
        <w:t> </w:t>
      </w:r>
      <w:r>
        <w:rPr>
          <w:rFonts w:ascii="Courier New"/>
          <w:sz w:val="20"/>
        </w:rPr>
        <w:t>0,</w:t>
      </w:r>
      <w:r>
        <w:rPr>
          <w:rFonts w:ascii="Courier New"/>
          <w:spacing w:val="-7"/>
          <w:sz w:val="20"/>
        </w:rPr>
        <w:t> </w:t>
      </w:r>
      <w:r>
        <w:rPr>
          <w:rFonts w:ascii="Courier New"/>
          <w:spacing w:val="-10"/>
          <w:sz w:val="20"/>
        </w:rPr>
        <w:t>3</w:t>
      </w:r>
    </w:p>
    <w:p>
      <w:pPr>
        <w:pStyle w:val="BodyText"/>
        <w:rPr>
          <w:rFonts w:ascii="Courier New"/>
          <w:sz w:val="20"/>
        </w:rPr>
      </w:pPr>
    </w:p>
    <w:p>
      <w:pPr>
        <w:tabs>
          <w:tab w:pos="3742" w:val="left" w:leader="none"/>
        </w:tabs>
        <w:spacing w:before="1"/>
        <w:ind w:left="140" w:right="2653" w:firstLine="0"/>
        <w:jc w:val="left"/>
        <w:rPr>
          <w:rFonts w:ascii="Courier New"/>
          <w:sz w:val="20"/>
        </w:rPr>
      </w:pPr>
      <w:r>
        <w:rPr>
          <w:rFonts w:ascii="Courier New"/>
          <w:sz w:val="20"/>
        </w:rPr>
        <w:t>Dim fHigh, fLow, fClose</w:t>
        <w:tab/>
        <w:t>As</w:t>
      </w:r>
      <w:r>
        <w:rPr>
          <w:rFonts w:ascii="Courier New"/>
          <w:spacing w:val="-32"/>
          <w:sz w:val="20"/>
        </w:rPr>
        <w:t> </w:t>
      </w:r>
      <w:r>
        <w:rPr>
          <w:rFonts w:ascii="Courier New"/>
          <w:sz w:val="20"/>
        </w:rPr>
        <w:t>Single Dim</w:t>
      </w:r>
      <w:r>
        <w:rPr>
          <w:rFonts w:ascii="Courier New"/>
          <w:spacing w:val="-5"/>
          <w:sz w:val="20"/>
        </w:rPr>
        <w:t> </w:t>
      </w:r>
      <w:r>
        <w:rPr>
          <w:rFonts w:ascii="Courier New"/>
          <w:sz w:val="20"/>
        </w:rPr>
        <w:t>fPP,</w:t>
      </w:r>
      <w:r>
        <w:rPr>
          <w:rFonts w:ascii="Courier New"/>
          <w:spacing w:val="-4"/>
          <w:sz w:val="20"/>
        </w:rPr>
        <w:t> </w:t>
      </w:r>
      <w:r>
        <w:rPr>
          <w:rFonts w:ascii="Courier New"/>
          <w:sz w:val="20"/>
        </w:rPr>
        <w:t>fBC,</w:t>
      </w:r>
      <w:r>
        <w:rPr>
          <w:rFonts w:ascii="Courier New"/>
          <w:spacing w:val="-5"/>
          <w:sz w:val="20"/>
        </w:rPr>
        <w:t> fTC</w:t>
      </w:r>
      <w:r>
        <w:rPr>
          <w:rFonts w:ascii="Courier New"/>
          <w:sz w:val="20"/>
        </w:rPr>
        <w:tab/>
        <w:t>As</w:t>
      </w:r>
      <w:r>
        <w:rPr>
          <w:rFonts w:ascii="Courier New"/>
          <w:spacing w:val="-3"/>
          <w:sz w:val="20"/>
        </w:rPr>
        <w:t> </w:t>
      </w:r>
      <w:r>
        <w:rPr>
          <w:rFonts w:ascii="Courier New"/>
          <w:spacing w:val="-2"/>
          <w:sz w:val="20"/>
        </w:rPr>
        <w:t>Single</w:t>
      </w:r>
    </w:p>
    <w:p>
      <w:pPr>
        <w:tabs>
          <w:tab w:pos="3742" w:val="left" w:leader="none"/>
        </w:tabs>
        <w:spacing w:line="226" w:lineRule="exact" w:before="0"/>
        <w:ind w:left="14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nBreakBar</w:t>
      </w:r>
      <w:r>
        <w:rPr>
          <w:rFonts w:ascii="Courier New"/>
          <w:sz w:val="20"/>
        </w:rPr>
        <w:tab/>
        <w:t>As</w:t>
      </w:r>
      <w:r>
        <w:rPr>
          <w:rFonts w:ascii="Courier New"/>
          <w:spacing w:val="-3"/>
          <w:sz w:val="20"/>
        </w:rPr>
        <w:t> </w:t>
      </w:r>
      <w:r>
        <w:rPr>
          <w:rFonts w:ascii="Courier New"/>
          <w:spacing w:val="-2"/>
          <w:sz w:val="20"/>
        </w:rPr>
        <w:t>Integer</w:t>
      </w:r>
    </w:p>
    <w:p>
      <w:pPr>
        <w:tabs>
          <w:tab w:pos="3742" w:val="left" w:leader="none"/>
        </w:tabs>
        <w:spacing w:line="226" w:lineRule="exact" w:before="0"/>
        <w:ind w:left="14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bBreakBar</w:t>
      </w:r>
      <w:r>
        <w:rPr>
          <w:rFonts w:ascii="Courier New"/>
          <w:sz w:val="20"/>
        </w:rPr>
        <w:tab/>
        <w:t>As</w:t>
      </w:r>
      <w:r>
        <w:rPr>
          <w:rFonts w:ascii="Courier New"/>
          <w:spacing w:val="-6"/>
          <w:sz w:val="20"/>
        </w:rPr>
        <w:t> </w:t>
      </w:r>
      <w:r>
        <w:rPr>
          <w:rFonts w:ascii="Courier New"/>
          <w:sz w:val="20"/>
        </w:rPr>
        <w:t>Boolean</w:t>
      </w:r>
      <w:r>
        <w:rPr>
          <w:rFonts w:ascii="Courier New"/>
          <w:spacing w:val="-4"/>
          <w:sz w:val="20"/>
        </w:rPr>
        <w:t> </w:t>
      </w:r>
      <w:r>
        <w:rPr>
          <w:rFonts w:ascii="Courier New"/>
          <w:sz w:val="20"/>
        </w:rPr>
        <w:t>=</w:t>
      </w:r>
      <w:r>
        <w:rPr>
          <w:rFonts w:ascii="Courier New"/>
          <w:spacing w:val="-4"/>
          <w:sz w:val="20"/>
        </w:rPr>
        <w:t> </w:t>
      </w:r>
      <w:r>
        <w:rPr>
          <w:rFonts w:ascii="Courier New"/>
          <w:spacing w:val="-2"/>
          <w:sz w:val="20"/>
        </w:rPr>
        <w:t>False</w:t>
      </w:r>
    </w:p>
    <w:p>
      <w:pPr>
        <w:pStyle w:val="BodyText"/>
        <w:rPr>
          <w:rFonts w:ascii="Courier New"/>
          <w:sz w:val="20"/>
        </w:rPr>
      </w:pPr>
    </w:p>
    <w:p>
      <w:pPr>
        <w:spacing w:before="0"/>
        <w:ind w:left="140" w:right="0" w:firstLine="0"/>
        <w:jc w:val="left"/>
        <w:rPr>
          <w:rFonts w:ascii="Courier New"/>
          <w:sz w:val="20"/>
        </w:rPr>
      </w:pPr>
      <w:r>
        <w:rPr>
          <w:rFonts w:ascii="Courier New"/>
          <w:sz w:val="20"/>
        </w:rPr>
        <w:t>If</w:t>
      </w:r>
      <w:r>
        <w:rPr>
          <w:rFonts w:ascii="Courier New"/>
          <w:spacing w:val="-7"/>
          <w:sz w:val="20"/>
        </w:rPr>
        <w:t> </w:t>
      </w:r>
      <w:r>
        <w:rPr>
          <w:rFonts w:ascii="Courier New"/>
          <w:sz w:val="20"/>
        </w:rPr>
        <w:t>Periodicity</w:t>
      </w:r>
      <w:r>
        <w:rPr>
          <w:rFonts w:ascii="Courier New"/>
          <w:spacing w:val="-4"/>
          <w:sz w:val="20"/>
        </w:rPr>
        <w:t> </w:t>
      </w:r>
      <w:r>
        <w:rPr>
          <w:rFonts w:ascii="Courier New"/>
          <w:sz w:val="20"/>
        </w:rPr>
        <w:t>=</w:t>
      </w:r>
      <w:r>
        <w:rPr>
          <w:rFonts w:ascii="Courier New"/>
          <w:spacing w:val="-5"/>
          <w:sz w:val="20"/>
        </w:rPr>
        <w:t> </w:t>
      </w:r>
      <w:r>
        <w:rPr>
          <w:rFonts w:ascii="Courier New"/>
          <w:sz w:val="20"/>
        </w:rPr>
        <w:t>1</w:t>
      </w:r>
      <w:r>
        <w:rPr>
          <w:rFonts w:ascii="Courier New"/>
          <w:spacing w:val="-4"/>
          <w:sz w:val="20"/>
        </w:rPr>
        <w:t> Then</w:t>
      </w:r>
    </w:p>
    <w:p>
      <w:pPr>
        <w:spacing w:before="1"/>
        <w:ind w:left="860" w:right="0" w:firstLine="0"/>
        <w:jc w:val="left"/>
        <w:rPr>
          <w:rFonts w:ascii="Courier New"/>
          <w:sz w:val="20"/>
        </w:rPr>
      </w:pPr>
      <w:r>
        <w:rPr>
          <w:rFonts w:ascii="Courier New"/>
          <w:sz w:val="20"/>
        </w:rPr>
        <w:t>bBreakBar</w:t>
      </w:r>
      <w:r>
        <w:rPr>
          <w:rFonts w:ascii="Courier New"/>
          <w:spacing w:val="-7"/>
          <w:sz w:val="20"/>
        </w:rPr>
        <w:t> </w:t>
      </w:r>
      <w:r>
        <w:rPr>
          <w:rFonts w:ascii="Courier New"/>
          <w:sz w:val="20"/>
        </w:rPr>
        <w:t>=</w:t>
      </w:r>
      <w:r>
        <w:rPr>
          <w:rFonts w:ascii="Courier New"/>
          <w:spacing w:val="-7"/>
          <w:sz w:val="20"/>
        </w:rPr>
        <w:t> </w:t>
      </w:r>
      <w:r>
        <w:rPr>
          <w:rFonts w:ascii="Courier New"/>
          <w:sz w:val="20"/>
        </w:rPr>
        <w:t>Not</w:t>
      </w:r>
      <w:r>
        <w:rPr>
          <w:rFonts w:ascii="Courier New"/>
          <w:spacing w:val="-7"/>
          <w:sz w:val="20"/>
        </w:rPr>
        <w:t> </w:t>
      </w:r>
      <w:r>
        <w:rPr>
          <w:rFonts w:ascii="Courier New"/>
          <w:sz w:val="20"/>
        </w:rPr>
        <w:t>BarDayOfYear()</w:t>
      </w:r>
      <w:r>
        <w:rPr>
          <w:rFonts w:ascii="Courier New"/>
          <w:spacing w:val="-6"/>
          <w:sz w:val="20"/>
        </w:rPr>
        <w:t> </w:t>
      </w:r>
      <w:r>
        <w:rPr>
          <w:rFonts w:ascii="Courier New"/>
          <w:sz w:val="20"/>
        </w:rPr>
        <w:t>=</w:t>
      </w:r>
      <w:r>
        <w:rPr>
          <w:rFonts w:ascii="Courier New"/>
          <w:spacing w:val="-7"/>
          <w:sz w:val="20"/>
        </w:rPr>
        <w:t> </w:t>
      </w:r>
      <w:r>
        <w:rPr>
          <w:rFonts w:ascii="Courier New"/>
          <w:spacing w:val="-2"/>
          <w:sz w:val="20"/>
        </w:rPr>
        <w:t>BarDayOfYear()[1]</w:t>
      </w:r>
    </w:p>
    <w:p>
      <w:pPr>
        <w:spacing w:line="226" w:lineRule="exact" w:before="0"/>
        <w:ind w:left="140" w:right="0" w:firstLine="0"/>
        <w:jc w:val="left"/>
        <w:rPr>
          <w:rFonts w:ascii="Courier New"/>
          <w:sz w:val="20"/>
        </w:rPr>
      </w:pPr>
      <w:r>
        <w:rPr>
          <w:rFonts w:ascii="Courier New"/>
          <w:sz w:val="20"/>
        </w:rPr>
        <w:t>ElseIf</w:t>
      </w:r>
      <w:r>
        <w:rPr>
          <w:rFonts w:ascii="Courier New"/>
          <w:spacing w:val="-6"/>
          <w:sz w:val="20"/>
        </w:rPr>
        <w:t> </w:t>
      </w:r>
      <w:r>
        <w:rPr>
          <w:rFonts w:ascii="Courier New"/>
          <w:sz w:val="20"/>
        </w:rPr>
        <w:t>Periodicity</w:t>
      </w:r>
      <w:r>
        <w:rPr>
          <w:rFonts w:ascii="Courier New"/>
          <w:spacing w:val="-6"/>
          <w:sz w:val="20"/>
        </w:rPr>
        <w:t> </w:t>
      </w:r>
      <w:r>
        <w:rPr>
          <w:rFonts w:ascii="Courier New"/>
          <w:sz w:val="20"/>
        </w:rPr>
        <w:t>=</w:t>
      </w:r>
      <w:r>
        <w:rPr>
          <w:rFonts w:ascii="Courier New"/>
          <w:spacing w:val="-6"/>
          <w:sz w:val="20"/>
        </w:rPr>
        <w:t> </w:t>
      </w:r>
      <w:r>
        <w:rPr>
          <w:rFonts w:ascii="Courier New"/>
          <w:sz w:val="20"/>
        </w:rPr>
        <w:t>2</w:t>
      </w:r>
      <w:r>
        <w:rPr>
          <w:rFonts w:ascii="Courier New"/>
          <w:spacing w:val="-5"/>
          <w:sz w:val="20"/>
        </w:rPr>
        <w:t> </w:t>
      </w:r>
      <w:r>
        <w:rPr>
          <w:rFonts w:ascii="Courier New"/>
          <w:spacing w:val="-4"/>
          <w:sz w:val="20"/>
        </w:rPr>
        <w:t>Then</w:t>
      </w:r>
    </w:p>
    <w:p>
      <w:pPr>
        <w:spacing w:line="226" w:lineRule="exact" w:before="0"/>
        <w:ind w:left="860" w:right="0" w:firstLine="0"/>
        <w:jc w:val="left"/>
        <w:rPr>
          <w:rFonts w:ascii="Courier New"/>
          <w:sz w:val="20"/>
        </w:rPr>
      </w:pPr>
      <w:r>
        <w:rPr>
          <w:rFonts w:ascii="Courier New"/>
          <w:sz w:val="20"/>
        </w:rPr>
        <w:t>bBreakBar</w:t>
      </w:r>
      <w:r>
        <w:rPr>
          <w:rFonts w:ascii="Courier New"/>
          <w:spacing w:val="-6"/>
          <w:sz w:val="20"/>
        </w:rPr>
        <w:t> </w:t>
      </w:r>
      <w:r>
        <w:rPr>
          <w:rFonts w:ascii="Courier New"/>
          <w:sz w:val="20"/>
        </w:rPr>
        <w:t>=</w:t>
      </w:r>
      <w:r>
        <w:rPr>
          <w:rFonts w:ascii="Courier New"/>
          <w:spacing w:val="-6"/>
          <w:sz w:val="20"/>
        </w:rPr>
        <w:t> </w:t>
      </w:r>
      <w:r>
        <w:rPr>
          <w:rFonts w:ascii="Courier New"/>
          <w:sz w:val="20"/>
        </w:rPr>
        <w:t>Not</w:t>
      </w:r>
      <w:r>
        <w:rPr>
          <w:rFonts w:ascii="Courier New"/>
          <w:spacing w:val="-6"/>
          <w:sz w:val="20"/>
        </w:rPr>
        <w:t> </w:t>
      </w:r>
      <w:r>
        <w:rPr>
          <w:rFonts w:ascii="Courier New"/>
          <w:sz w:val="20"/>
        </w:rPr>
        <w:t>BarMonth()</w:t>
      </w:r>
      <w:r>
        <w:rPr>
          <w:rFonts w:ascii="Courier New"/>
          <w:spacing w:val="-6"/>
          <w:sz w:val="20"/>
        </w:rPr>
        <w:t> </w:t>
      </w:r>
      <w:r>
        <w:rPr>
          <w:rFonts w:ascii="Courier New"/>
          <w:sz w:val="20"/>
        </w:rPr>
        <w:t>=</w:t>
      </w:r>
      <w:r>
        <w:rPr>
          <w:rFonts w:ascii="Courier New"/>
          <w:spacing w:val="-5"/>
          <w:sz w:val="20"/>
        </w:rPr>
        <w:t> </w:t>
      </w:r>
      <w:r>
        <w:rPr>
          <w:rFonts w:ascii="Courier New"/>
          <w:spacing w:val="-2"/>
          <w:sz w:val="20"/>
        </w:rPr>
        <w:t>BarMonth()[1]</w:t>
      </w:r>
    </w:p>
    <w:p>
      <w:pPr>
        <w:spacing w:before="0"/>
        <w:ind w:left="140" w:right="0" w:firstLine="0"/>
        <w:jc w:val="left"/>
        <w:rPr>
          <w:rFonts w:ascii="Courier New"/>
          <w:sz w:val="20"/>
        </w:rPr>
      </w:pPr>
      <w:r>
        <w:rPr>
          <w:rFonts w:ascii="Courier New"/>
          <w:spacing w:val="-4"/>
          <w:sz w:val="20"/>
        </w:rPr>
        <w:t>Else</w:t>
      </w:r>
    </w:p>
    <w:p>
      <w:pPr>
        <w:spacing w:before="0"/>
        <w:ind w:left="860" w:right="0" w:firstLine="0"/>
        <w:jc w:val="left"/>
        <w:rPr>
          <w:rFonts w:ascii="Courier New"/>
          <w:sz w:val="20"/>
        </w:rPr>
      </w:pPr>
      <w:r>
        <w:rPr>
          <w:rFonts w:ascii="Courier New"/>
          <w:sz w:val="20"/>
        </w:rPr>
        <w:t>bBreakBar</w:t>
      </w:r>
      <w:r>
        <w:rPr>
          <w:rFonts w:ascii="Courier New"/>
          <w:spacing w:val="-8"/>
          <w:sz w:val="20"/>
        </w:rPr>
        <w:t> </w:t>
      </w:r>
      <w:r>
        <w:rPr>
          <w:rFonts w:ascii="Courier New"/>
          <w:sz w:val="20"/>
        </w:rPr>
        <w:t>=</w:t>
      </w:r>
      <w:r>
        <w:rPr>
          <w:rFonts w:ascii="Courier New"/>
          <w:spacing w:val="-6"/>
          <w:sz w:val="20"/>
        </w:rPr>
        <w:t> </w:t>
      </w:r>
      <w:r>
        <w:rPr>
          <w:rFonts w:ascii="Courier New"/>
          <w:spacing w:val="-2"/>
          <w:sz w:val="20"/>
        </w:rPr>
        <w:t>False</w:t>
      </w:r>
    </w:p>
    <w:p>
      <w:pPr>
        <w:spacing w:before="1"/>
        <w:ind w:left="1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pStyle w:val="BodyText"/>
        <w:spacing w:before="10"/>
        <w:rPr>
          <w:rFonts w:ascii="Courier New"/>
          <w:sz w:val="19"/>
        </w:rPr>
      </w:pPr>
    </w:p>
    <w:p>
      <w:pPr>
        <w:spacing w:before="0"/>
        <w:ind w:left="860" w:right="2716" w:hanging="721"/>
        <w:jc w:val="left"/>
        <w:rPr>
          <w:rFonts w:ascii="Courier New"/>
          <w:sz w:val="20"/>
        </w:rPr>
      </w:pPr>
      <w:r>
        <w:rPr>
          <w:rFonts w:ascii="Courier New"/>
          <w:sz w:val="20"/>
        </w:rPr>
        <w:t>If</w:t>
      </w:r>
      <w:r>
        <w:rPr>
          <w:rFonts w:ascii="Courier New"/>
          <w:spacing w:val="-6"/>
          <w:sz w:val="20"/>
        </w:rPr>
        <w:t> </w:t>
      </w:r>
      <w:r>
        <w:rPr>
          <w:rFonts w:ascii="Courier New"/>
          <w:sz w:val="20"/>
        </w:rPr>
        <w:t>Bar</w:t>
      </w:r>
      <w:r>
        <w:rPr>
          <w:rFonts w:ascii="Courier New"/>
          <w:spacing w:val="-6"/>
          <w:sz w:val="20"/>
        </w:rPr>
        <w:t> </w:t>
      </w:r>
      <w:r>
        <w:rPr>
          <w:rFonts w:ascii="Courier New"/>
          <w:sz w:val="20"/>
        </w:rPr>
        <w:t>=</w:t>
      </w:r>
      <w:r>
        <w:rPr>
          <w:rFonts w:ascii="Courier New"/>
          <w:spacing w:val="-6"/>
          <w:sz w:val="20"/>
        </w:rPr>
        <w:t> </w:t>
      </w:r>
      <w:r>
        <w:rPr>
          <w:rFonts w:ascii="Courier New"/>
          <w:sz w:val="20"/>
        </w:rPr>
        <w:t>SymbolData.NumRec</w:t>
      </w:r>
      <w:r>
        <w:rPr>
          <w:rFonts w:ascii="Courier New"/>
          <w:spacing w:val="-6"/>
          <w:sz w:val="20"/>
        </w:rPr>
        <w:t> </w:t>
      </w:r>
      <w:r>
        <w:rPr>
          <w:rFonts w:ascii="Courier New"/>
          <w:sz w:val="20"/>
        </w:rPr>
        <w:t>-</w:t>
      </w:r>
      <w:r>
        <w:rPr>
          <w:rFonts w:ascii="Courier New"/>
          <w:spacing w:val="-6"/>
          <w:sz w:val="20"/>
        </w:rPr>
        <w:t> </w:t>
      </w:r>
      <w:r>
        <w:rPr>
          <w:rFonts w:ascii="Courier New"/>
          <w:sz w:val="20"/>
        </w:rPr>
        <w:t>1</w:t>
      </w:r>
      <w:r>
        <w:rPr>
          <w:rFonts w:ascii="Courier New"/>
          <w:spacing w:val="-6"/>
          <w:sz w:val="20"/>
        </w:rPr>
        <w:t> </w:t>
      </w:r>
      <w:r>
        <w:rPr>
          <w:rFonts w:ascii="Courier New"/>
          <w:sz w:val="20"/>
        </w:rPr>
        <w:t>Then bBreakBar = True</w:t>
      </w:r>
    </w:p>
    <w:p>
      <w:pPr>
        <w:spacing w:before="1"/>
        <w:ind w:left="1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pStyle w:val="BodyText"/>
        <w:rPr>
          <w:rFonts w:ascii="Courier New"/>
          <w:sz w:val="20"/>
        </w:rPr>
      </w:pPr>
    </w:p>
    <w:p>
      <w:pPr>
        <w:spacing w:before="0"/>
        <w:ind w:left="620" w:right="5297" w:hanging="481"/>
        <w:jc w:val="left"/>
        <w:rPr>
          <w:rFonts w:ascii="Courier New"/>
          <w:sz w:val="20"/>
        </w:rPr>
      </w:pPr>
      <w:r>
        <w:rPr>
          <w:rFonts w:ascii="Courier New"/>
          <w:sz w:val="20"/>
        </w:rPr>
        <w:t>If Bar = 0 then fHigh = H fLow = L nBreakBar</w:t>
      </w:r>
      <w:r>
        <w:rPr>
          <w:rFonts w:ascii="Courier New"/>
          <w:spacing w:val="-19"/>
          <w:sz w:val="20"/>
        </w:rPr>
        <w:t> </w:t>
      </w:r>
      <w:r>
        <w:rPr>
          <w:rFonts w:ascii="Courier New"/>
          <w:sz w:val="20"/>
        </w:rPr>
        <w:t>=</w:t>
      </w:r>
      <w:r>
        <w:rPr>
          <w:rFonts w:ascii="Courier New"/>
          <w:spacing w:val="-19"/>
          <w:sz w:val="20"/>
        </w:rPr>
        <w:t> </w:t>
      </w:r>
      <w:r>
        <w:rPr>
          <w:rFonts w:ascii="Courier New"/>
          <w:sz w:val="20"/>
        </w:rPr>
        <w:t>0</w:t>
      </w:r>
    </w:p>
    <w:p>
      <w:pPr>
        <w:spacing w:line="226" w:lineRule="exact" w:before="0"/>
        <w:ind w:left="140" w:right="0" w:firstLine="0"/>
        <w:jc w:val="left"/>
        <w:rPr>
          <w:rFonts w:ascii="Courier New"/>
          <w:sz w:val="20"/>
        </w:rPr>
      </w:pPr>
      <w:r>
        <w:rPr>
          <w:rFonts w:ascii="Courier New"/>
          <w:spacing w:val="-4"/>
          <w:sz w:val="20"/>
        </w:rPr>
        <w:t>Else</w:t>
      </w:r>
    </w:p>
    <w:p>
      <w:pPr>
        <w:spacing w:before="0"/>
        <w:ind w:left="620" w:right="5415" w:firstLine="0"/>
        <w:jc w:val="both"/>
        <w:rPr>
          <w:rFonts w:ascii="Courier New"/>
          <w:sz w:val="20"/>
        </w:rPr>
      </w:pPr>
      <w:r>
        <w:rPr>
          <w:rFonts w:ascii="Courier New"/>
          <w:sz w:val="20"/>
        </w:rPr>
        <w:t>fPP</w:t>
      </w:r>
      <w:r>
        <w:rPr>
          <w:rFonts w:ascii="Courier New"/>
          <w:spacing w:val="-18"/>
          <w:sz w:val="20"/>
        </w:rPr>
        <w:t> </w:t>
      </w:r>
      <w:r>
        <w:rPr>
          <w:rFonts w:ascii="Courier New"/>
          <w:sz w:val="20"/>
        </w:rPr>
        <w:t>=</w:t>
      </w:r>
      <w:r>
        <w:rPr>
          <w:rFonts w:ascii="Courier New"/>
          <w:spacing w:val="-18"/>
          <w:sz w:val="20"/>
        </w:rPr>
        <w:t> </w:t>
      </w:r>
      <w:r>
        <w:rPr>
          <w:rFonts w:ascii="Courier New"/>
          <w:sz w:val="20"/>
        </w:rPr>
        <w:t>fPP[1] fTC</w:t>
      </w:r>
      <w:r>
        <w:rPr>
          <w:rFonts w:ascii="Courier New"/>
          <w:spacing w:val="-18"/>
          <w:sz w:val="20"/>
        </w:rPr>
        <w:t> </w:t>
      </w:r>
      <w:r>
        <w:rPr>
          <w:rFonts w:ascii="Courier New"/>
          <w:sz w:val="20"/>
        </w:rPr>
        <w:t>=</w:t>
      </w:r>
      <w:r>
        <w:rPr>
          <w:rFonts w:ascii="Courier New"/>
          <w:spacing w:val="-18"/>
          <w:sz w:val="20"/>
        </w:rPr>
        <w:t> </w:t>
      </w:r>
      <w:r>
        <w:rPr>
          <w:rFonts w:ascii="Courier New"/>
          <w:sz w:val="20"/>
        </w:rPr>
        <w:t>fTC[1] fBC</w:t>
      </w:r>
      <w:r>
        <w:rPr>
          <w:rFonts w:ascii="Courier New"/>
          <w:spacing w:val="-3"/>
          <w:sz w:val="20"/>
        </w:rPr>
        <w:t> </w:t>
      </w:r>
      <w:r>
        <w:rPr>
          <w:rFonts w:ascii="Courier New"/>
          <w:sz w:val="20"/>
        </w:rPr>
        <w:t>=</w:t>
      </w:r>
      <w:r>
        <w:rPr>
          <w:rFonts w:ascii="Courier New"/>
          <w:spacing w:val="-2"/>
          <w:sz w:val="20"/>
        </w:rPr>
        <w:t> fBC[1]</w:t>
      </w:r>
    </w:p>
    <w:p>
      <w:pPr>
        <w:pStyle w:val="BodyText"/>
        <w:rPr>
          <w:rFonts w:ascii="Courier New"/>
          <w:sz w:val="20"/>
        </w:rPr>
      </w:pPr>
    </w:p>
    <w:p>
      <w:pPr>
        <w:spacing w:before="0"/>
        <w:ind w:left="620" w:right="4517" w:firstLine="0"/>
        <w:jc w:val="left"/>
        <w:rPr>
          <w:rFonts w:ascii="Courier New"/>
          <w:sz w:val="20"/>
        </w:rPr>
      </w:pPr>
      <w:r>
        <w:rPr>
          <w:rFonts w:ascii="Courier New"/>
          <w:sz w:val="20"/>
        </w:rPr>
        <w:t>fHigh</w:t>
      </w:r>
      <w:r>
        <w:rPr>
          <w:rFonts w:ascii="Courier New"/>
          <w:spacing w:val="-18"/>
          <w:sz w:val="20"/>
        </w:rPr>
        <w:t> </w:t>
      </w:r>
      <w:r>
        <w:rPr>
          <w:rFonts w:ascii="Courier New"/>
          <w:sz w:val="20"/>
        </w:rPr>
        <w:t>=</w:t>
      </w:r>
      <w:r>
        <w:rPr>
          <w:rFonts w:ascii="Courier New"/>
          <w:spacing w:val="-18"/>
          <w:sz w:val="20"/>
        </w:rPr>
        <w:t> </w:t>
      </w:r>
      <w:r>
        <w:rPr>
          <w:rFonts w:ascii="Courier New"/>
          <w:sz w:val="20"/>
        </w:rPr>
        <w:t>fHigh[1] fLow = fLow[1]</w:t>
      </w:r>
    </w:p>
    <w:p>
      <w:pPr>
        <w:spacing w:line="226" w:lineRule="exact" w:before="0"/>
        <w:ind w:left="620" w:right="0" w:firstLine="0"/>
        <w:jc w:val="left"/>
        <w:rPr>
          <w:rFonts w:ascii="Courier New"/>
          <w:sz w:val="20"/>
        </w:rPr>
      </w:pPr>
      <w:r>
        <w:rPr>
          <w:rFonts w:ascii="Courier New"/>
          <w:sz w:val="20"/>
        </w:rPr>
        <w:t>nBreakBar</w:t>
      </w:r>
      <w:r>
        <w:rPr>
          <w:rFonts w:ascii="Courier New"/>
          <w:spacing w:val="-8"/>
          <w:sz w:val="20"/>
        </w:rPr>
        <w:t> </w:t>
      </w:r>
      <w:r>
        <w:rPr>
          <w:rFonts w:ascii="Courier New"/>
          <w:sz w:val="20"/>
        </w:rPr>
        <w:t>=</w:t>
      </w:r>
      <w:r>
        <w:rPr>
          <w:rFonts w:ascii="Courier New"/>
          <w:spacing w:val="-6"/>
          <w:sz w:val="20"/>
        </w:rPr>
        <w:t> </w:t>
      </w:r>
      <w:r>
        <w:rPr>
          <w:rFonts w:ascii="Courier New"/>
          <w:spacing w:val="-2"/>
          <w:sz w:val="20"/>
        </w:rPr>
        <w:t>nBreakBar[1]</w:t>
      </w:r>
    </w:p>
    <w:p>
      <w:pPr>
        <w:pStyle w:val="BodyText"/>
        <w:rPr>
          <w:rFonts w:ascii="Courier New"/>
          <w:sz w:val="20"/>
        </w:rPr>
      </w:pPr>
    </w:p>
    <w:p>
      <w:pPr>
        <w:spacing w:before="1"/>
        <w:ind w:left="620" w:right="0" w:firstLine="0"/>
        <w:jc w:val="left"/>
        <w:rPr>
          <w:rFonts w:ascii="Courier New"/>
          <w:sz w:val="20"/>
        </w:rPr>
      </w:pPr>
      <w:r>
        <w:rPr>
          <w:rFonts w:ascii="Courier New"/>
          <w:sz w:val="20"/>
        </w:rPr>
        <w:t>If</w:t>
      </w:r>
      <w:r>
        <w:rPr>
          <w:rFonts w:ascii="Courier New"/>
          <w:spacing w:val="-7"/>
          <w:sz w:val="20"/>
        </w:rPr>
        <w:t> </w:t>
      </w:r>
      <w:r>
        <w:rPr>
          <w:rFonts w:ascii="Courier New"/>
          <w:sz w:val="20"/>
        </w:rPr>
        <w:t>bBreakBar</w:t>
      </w:r>
      <w:r>
        <w:rPr>
          <w:rFonts w:ascii="Courier New"/>
          <w:spacing w:val="-7"/>
          <w:sz w:val="20"/>
        </w:rPr>
        <w:t> </w:t>
      </w:r>
      <w:r>
        <w:rPr>
          <w:rFonts w:ascii="Courier New"/>
          <w:spacing w:val="-4"/>
          <w:sz w:val="20"/>
        </w:rPr>
        <w:t>Then</w:t>
      </w:r>
    </w:p>
    <w:p>
      <w:pPr>
        <w:spacing w:before="0"/>
        <w:ind w:left="1100" w:right="0" w:firstLine="0"/>
        <w:jc w:val="left"/>
        <w:rPr>
          <w:rFonts w:ascii="Courier New"/>
          <w:sz w:val="20"/>
        </w:rPr>
      </w:pPr>
      <w:r>
        <w:rPr>
          <w:rFonts w:ascii="Courier New"/>
          <w:sz w:val="20"/>
        </w:rPr>
        <w:t>If</w:t>
      </w:r>
      <w:r>
        <w:rPr>
          <w:rFonts w:ascii="Courier New"/>
          <w:spacing w:val="-7"/>
          <w:sz w:val="20"/>
        </w:rPr>
        <w:t> </w:t>
      </w:r>
      <w:r>
        <w:rPr>
          <w:rFonts w:ascii="Courier New"/>
          <w:sz w:val="20"/>
        </w:rPr>
        <w:t>Bar</w:t>
      </w:r>
      <w:r>
        <w:rPr>
          <w:rFonts w:ascii="Courier New"/>
          <w:spacing w:val="-5"/>
          <w:sz w:val="20"/>
        </w:rPr>
        <w:t> </w:t>
      </w:r>
      <w:r>
        <w:rPr>
          <w:rFonts w:ascii="Courier New"/>
          <w:sz w:val="20"/>
        </w:rPr>
        <w:t>=</w:t>
      </w:r>
      <w:r>
        <w:rPr>
          <w:rFonts w:ascii="Courier New"/>
          <w:spacing w:val="-5"/>
          <w:sz w:val="20"/>
        </w:rPr>
        <w:t> </w:t>
      </w:r>
      <w:r>
        <w:rPr>
          <w:rFonts w:ascii="Courier New"/>
          <w:sz w:val="20"/>
        </w:rPr>
        <w:t>SymbolData.NumRec</w:t>
      </w:r>
      <w:r>
        <w:rPr>
          <w:rFonts w:ascii="Courier New"/>
          <w:spacing w:val="-5"/>
          <w:sz w:val="20"/>
        </w:rPr>
        <w:t> </w:t>
      </w:r>
      <w:r>
        <w:rPr>
          <w:rFonts w:ascii="Courier New"/>
          <w:sz w:val="20"/>
        </w:rPr>
        <w:t>-</w:t>
      </w:r>
      <w:r>
        <w:rPr>
          <w:rFonts w:ascii="Courier New"/>
          <w:spacing w:val="-5"/>
          <w:sz w:val="20"/>
        </w:rPr>
        <w:t> </w:t>
      </w:r>
      <w:r>
        <w:rPr>
          <w:rFonts w:ascii="Courier New"/>
          <w:sz w:val="20"/>
        </w:rPr>
        <w:t>1</w:t>
      </w:r>
      <w:r>
        <w:rPr>
          <w:rFonts w:ascii="Courier New"/>
          <w:spacing w:val="-5"/>
          <w:sz w:val="20"/>
        </w:rPr>
        <w:t> </w:t>
      </w:r>
      <w:r>
        <w:rPr>
          <w:rFonts w:ascii="Courier New"/>
          <w:spacing w:val="-4"/>
          <w:sz w:val="20"/>
        </w:rPr>
        <w:t>Then</w:t>
      </w:r>
    </w:p>
    <w:p>
      <w:pPr>
        <w:spacing w:before="0"/>
        <w:ind w:left="3020" w:right="0" w:hanging="1440"/>
        <w:jc w:val="left"/>
        <w:rPr>
          <w:rFonts w:ascii="Courier New"/>
          <w:sz w:val="20"/>
        </w:rPr>
      </w:pPr>
      <w:r>
        <w:rPr>
          <w:rFonts w:ascii="Courier New"/>
          <w:sz w:val="20"/>
        </w:rPr>
        <w:t>If</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1</w:t>
      </w:r>
      <w:r>
        <w:rPr>
          <w:rFonts w:ascii="Courier New"/>
          <w:spacing w:val="-4"/>
          <w:sz w:val="20"/>
        </w:rPr>
        <w:t> </w:t>
      </w:r>
      <w:r>
        <w:rPr>
          <w:rFonts w:ascii="Courier New"/>
          <w:sz w:val="20"/>
        </w:rPr>
        <w:t>Or</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0</w:t>
      </w:r>
      <w:r>
        <w:rPr>
          <w:rFonts w:ascii="Courier New"/>
          <w:spacing w:val="-4"/>
          <w:sz w:val="20"/>
        </w:rPr>
        <w:t> </w:t>
      </w:r>
      <w:r>
        <w:rPr>
          <w:rFonts w:ascii="Courier New"/>
          <w:sz w:val="20"/>
        </w:rPr>
        <w:t>Then </w:t>
      </w:r>
      <w:r>
        <w:rPr>
          <w:rFonts w:ascii="Courier New"/>
          <w:spacing w:val="-2"/>
          <w:sz w:val="20"/>
        </w:rPr>
        <w:t>PlotPriceTrendLine("PP",</w:t>
      </w:r>
    </w:p>
    <w:p>
      <w:pPr>
        <w:spacing w:line="226" w:lineRule="exact" w:before="0"/>
        <w:ind w:left="140" w:right="0" w:firstLine="0"/>
        <w:jc w:val="left"/>
        <w:rPr>
          <w:rFonts w:ascii="Courier New"/>
          <w:sz w:val="20"/>
        </w:rPr>
      </w:pPr>
      <w:r>
        <w:rPr>
          <w:rFonts w:ascii="Courier New"/>
          <w:sz w:val="20"/>
        </w:rPr>
        <w:t>nBreakBar,</w:t>
      </w:r>
      <w:r>
        <w:rPr>
          <w:rFonts w:ascii="Courier New"/>
          <w:spacing w:val="-7"/>
          <w:sz w:val="20"/>
        </w:rPr>
        <w:t> </w:t>
      </w:r>
      <w:r>
        <w:rPr>
          <w:rFonts w:ascii="Courier New"/>
          <w:sz w:val="20"/>
        </w:rPr>
        <w:t>fPP,</w:t>
      </w:r>
      <w:r>
        <w:rPr>
          <w:rFonts w:ascii="Courier New"/>
          <w:spacing w:val="-7"/>
          <w:sz w:val="20"/>
        </w:rPr>
        <w:t> </w:t>
      </w:r>
      <w:r>
        <w:rPr>
          <w:rFonts w:ascii="Courier New"/>
          <w:sz w:val="20"/>
        </w:rPr>
        <w:t>Bar,</w:t>
      </w:r>
      <w:r>
        <w:rPr>
          <w:rFonts w:ascii="Courier New"/>
          <w:spacing w:val="-6"/>
          <w:sz w:val="20"/>
        </w:rPr>
        <w:t> </w:t>
      </w:r>
      <w:r>
        <w:rPr>
          <w:rFonts w:ascii="Courier New"/>
          <w:sz w:val="20"/>
        </w:rPr>
        <w:t>fPP,</w:t>
      </w:r>
      <w:r>
        <w:rPr>
          <w:rFonts w:ascii="Courier New"/>
          <w:spacing w:val="-7"/>
          <w:sz w:val="20"/>
        </w:rPr>
        <w:t> </w:t>
      </w:r>
      <w:r>
        <w:rPr>
          <w:rFonts w:ascii="Courier New"/>
          <w:spacing w:val="-2"/>
          <w:sz w:val="20"/>
        </w:rPr>
        <w:t>fuchsia)</w:t>
      </w:r>
    </w:p>
    <w:p>
      <w:pPr>
        <w:spacing w:after="0" w:line="226" w:lineRule="exact"/>
        <w:jc w:val="left"/>
        <w:rPr>
          <w:rFonts w:ascii="Courier New"/>
          <w:sz w:val="20"/>
        </w:rPr>
        <w:sectPr>
          <w:pgSz w:w="8640" w:h="12960"/>
          <w:pgMar w:header="579" w:footer="1060" w:top="760" w:bottom="1200" w:left="580" w:right="580"/>
        </w:sectPr>
      </w:pPr>
    </w:p>
    <w:p>
      <w:pPr>
        <w:pStyle w:val="BodyText"/>
        <w:spacing w:before="1"/>
        <w:rPr>
          <w:rFonts w:ascii="Courier New"/>
        </w:rPr>
      </w:pPr>
    </w:p>
    <w:p>
      <w:pPr>
        <w:spacing w:before="76"/>
        <w:ind w:left="19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spacing w:before="0"/>
        <w:ind w:left="3380" w:right="0" w:hanging="1440"/>
        <w:jc w:val="left"/>
        <w:rPr>
          <w:rFonts w:ascii="Courier New"/>
          <w:sz w:val="20"/>
        </w:rPr>
      </w:pPr>
      <w:r>
        <w:rPr>
          <w:rFonts w:ascii="Courier New"/>
          <w:sz w:val="20"/>
        </w:rPr>
        <w:t>If</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2</w:t>
      </w:r>
      <w:r>
        <w:rPr>
          <w:rFonts w:ascii="Courier New"/>
          <w:spacing w:val="-4"/>
          <w:sz w:val="20"/>
        </w:rPr>
        <w:t> </w:t>
      </w:r>
      <w:r>
        <w:rPr>
          <w:rFonts w:ascii="Courier New"/>
          <w:sz w:val="20"/>
        </w:rPr>
        <w:t>Or</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0</w:t>
      </w:r>
      <w:r>
        <w:rPr>
          <w:rFonts w:ascii="Courier New"/>
          <w:spacing w:val="-4"/>
          <w:sz w:val="20"/>
        </w:rPr>
        <w:t> </w:t>
      </w:r>
      <w:r>
        <w:rPr>
          <w:rFonts w:ascii="Courier New"/>
          <w:sz w:val="20"/>
        </w:rPr>
        <w:t>Then </w:t>
      </w:r>
      <w:r>
        <w:rPr>
          <w:rFonts w:ascii="Courier New"/>
          <w:spacing w:val="-2"/>
          <w:sz w:val="20"/>
        </w:rPr>
        <w:t>PlotPriceTrendLine("BC",</w:t>
      </w:r>
    </w:p>
    <w:p>
      <w:pPr>
        <w:spacing w:line="226" w:lineRule="exact" w:before="0"/>
        <w:ind w:left="500" w:right="0" w:firstLine="0"/>
        <w:jc w:val="left"/>
        <w:rPr>
          <w:rFonts w:ascii="Courier New"/>
          <w:sz w:val="20"/>
        </w:rPr>
      </w:pPr>
      <w:r>
        <w:rPr>
          <w:rFonts w:ascii="Courier New"/>
          <w:sz w:val="20"/>
        </w:rPr>
        <w:t>nBreakBar,</w:t>
      </w:r>
      <w:r>
        <w:rPr>
          <w:rFonts w:ascii="Courier New"/>
          <w:spacing w:val="-7"/>
          <w:sz w:val="20"/>
        </w:rPr>
        <w:t> </w:t>
      </w:r>
      <w:r>
        <w:rPr>
          <w:rFonts w:ascii="Courier New"/>
          <w:sz w:val="20"/>
        </w:rPr>
        <w:t>fBC,</w:t>
      </w:r>
      <w:r>
        <w:rPr>
          <w:rFonts w:ascii="Courier New"/>
          <w:spacing w:val="-7"/>
          <w:sz w:val="20"/>
        </w:rPr>
        <w:t> </w:t>
      </w:r>
      <w:r>
        <w:rPr>
          <w:rFonts w:ascii="Courier New"/>
          <w:sz w:val="20"/>
        </w:rPr>
        <w:t>Bar,</w:t>
      </w:r>
      <w:r>
        <w:rPr>
          <w:rFonts w:ascii="Courier New"/>
          <w:spacing w:val="-6"/>
          <w:sz w:val="20"/>
        </w:rPr>
        <w:t> </w:t>
      </w:r>
      <w:r>
        <w:rPr>
          <w:rFonts w:ascii="Courier New"/>
          <w:sz w:val="20"/>
        </w:rPr>
        <w:t>fBC,</w:t>
      </w:r>
      <w:r>
        <w:rPr>
          <w:rFonts w:ascii="Courier New"/>
          <w:spacing w:val="-7"/>
          <w:sz w:val="20"/>
        </w:rPr>
        <w:t> </w:t>
      </w:r>
      <w:r>
        <w:rPr>
          <w:rFonts w:ascii="Courier New"/>
          <w:spacing w:val="-2"/>
          <w:sz w:val="20"/>
        </w:rPr>
        <w:t>fuchsia)</w:t>
      </w:r>
    </w:p>
    <w:p>
      <w:pPr>
        <w:spacing w:before="1"/>
        <w:ind w:left="19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spacing w:before="0"/>
        <w:ind w:left="3380" w:right="0" w:hanging="1440"/>
        <w:jc w:val="left"/>
        <w:rPr>
          <w:rFonts w:ascii="Courier New"/>
          <w:sz w:val="20"/>
        </w:rPr>
      </w:pPr>
      <w:r>
        <w:rPr>
          <w:rFonts w:ascii="Courier New"/>
          <w:sz w:val="20"/>
        </w:rPr>
        <w:t>If</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3</w:t>
      </w:r>
      <w:r>
        <w:rPr>
          <w:rFonts w:ascii="Courier New"/>
          <w:spacing w:val="-4"/>
          <w:sz w:val="20"/>
        </w:rPr>
        <w:t> </w:t>
      </w:r>
      <w:r>
        <w:rPr>
          <w:rFonts w:ascii="Courier New"/>
          <w:sz w:val="20"/>
        </w:rPr>
        <w:t>Or</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0</w:t>
      </w:r>
      <w:r>
        <w:rPr>
          <w:rFonts w:ascii="Courier New"/>
          <w:spacing w:val="-4"/>
          <w:sz w:val="20"/>
        </w:rPr>
        <w:t> </w:t>
      </w:r>
      <w:r>
        <w:rPr>
          <w:rFonts w:ascii="Courier New"/>
          <w:sz w:val="20"/>
        </w:rPr>
        <w:t>Then </w:t>
      </w:r>
      <w:r>
        <w:rPr>
          <w:rFonts w:ascii="Courier New"/>
          <w:spacing w:val="-2"/>
          <w:sz w:val="20"/>
        </w:rPr>
        <w:t>PlotPriceTrendLine("TC",</w:t>
      </w:r>
    </w:p>
    <w:p>
      <w:pPr>
        <w:spacing w:before="0"/>
        <w:ind w:left="500" w:right="0" w:firstLine="0"/>
        <w:jc w:val="left"/>
        <w:rPr>
          <w:rFonts w:ascii="Courier New"/>
          <w:sz w:val="20"/>
        </w:rPr>
      </w:pPr>
      <w:r>
        <w:rPr>
          <w:rFonts w:ascii="Courier New"/>
          <w:sz w:val="20"/>
        </w:rPr>
        <w:t>nBreakBar,</w:t>
      </w:r>
      <w:r>
        <w:rPr>
          <w:rFonts w:ascii="Courier New"/>
          <w:spacing w:val="-7"/>
          <w:sz w:val="20"/>
        </w:rPr>
        <w:t> </w:t>
      </w:r>
      <w:r>
        <w:rPr>
          <w:rFonts w:ascii="Courier New"/>
          <w:sz w:val="20"/>
        </w:rPr>
        <w:t>fTC,</w:t>
      </w:r>
      <w:r>
        <w:rPr>
          <w:rFonts w:ascii="Courier New"/>
          <w:spacing w:val="-7"/>
          <w:sz w:val="20"/>
        </w:rPr>
        <w:t> </w:t>
      </w:r>
      <w:r>
        <w:rPr>
          <w:rFonts w:ascii="Courier New"/>
          <w:sz w:val="20"/>
        </w:rPr>
        <w:t>Bar,</w:t>
      </w:r>
      <w:r>
        <w:rPr>
          <w:rFonts w:ascii="Courier New"/>
          <w:spacing w:val="-6"/>
          <w:sz w:val="20"/>
        </w:rPr>
        <w:t> </w:t>
      </w:r>
      <w:r>
        <w:rPr>
          <w:rFonts w:ascii="Courier New"/>
          <w:sz w:val="20"/>
        </w:rPr>
        <w:t>fTC,</w:t>
      </w:r>
      <w:r>
        <w:rPr>
          <w:rFonts w:ascii="Courier New"/>
          <w:spacing w:val="-7"/>
          <w:sz w:val="20"/>
        </w:rPr>
        <w:t> </w:t>
      </w:r>
      <w:r>
        <w:rPr>
          <w:rFonts w:ascii="Courier New"/>
          <w:spacing w:val="-2"/>
          <w:sz w:val="20"/>
        </w:rPr>
        <w:t>fuchsia)</w:t>
      </w:r>
    </w:p>
    <w:p>
      <w:pPr>
        <w:spacing w:line="226" w:lineRule="exact" w:before="1"/>
        <w:ind w:left="19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spacing w:line="226" w:lineRule="exact" w:before="0"/>
        <w:ind w:left="1460" w:right="0" w:firstLine="0"/>
        <w:jc w:val="left"/>
        <w:rPr>
          <w:rFonts w:ascii="Courier New"/>
          <w:sz w:val="20"/>
        </w:rPr>
      </w:pPr>
      <w:r>
        <w:rPr>
          <w:rFonts w:ascii="Courier New"/>
          <w:sz w:val="20"/>
        </w:rPr>
        <w:t>ElseIf</w:t>
      </w:r>
      <w:r>
        <w:rPr>
          <w:rFonts w:ascii="Courier New"/>
          <w:spacing w:val="-7"/>
          <w:sz w:val="20"/>
        </w:rPr>
        <w:t> </w:t>
      </w:r>
      <w:r>
        <w:rPr>
          <w:rFonts w:ascii="Courier New"/>
          <w:sz w:val="20"/>
        </w:rPr>
        <w:t>nBreakBar</w:t>
      </w:r>
      <w:r>
        <w:rPr>
          <w:rFonts w:ascii="Courier New"/>
          <w:spacing w:val="-7"/>
          <w:sz w:val="20"/>
        </w:rPr>
        <w:t> </w:t>
      </w:r>
      <w:r>
        <w:rPr>
          <w:rFonts w:ascii="Courier New"/>
          <w:sz w:val="20"/>
        </w:rPr>
        <w:t>&gt;</w:t>
      </w:r>
      <w:r>
        <w:rPr>
          <w:rFonts w:ascii="Courier New"/>
          <w:spacing w:val="-6"/>
          <w:sz w:val="20"/>
        </w:rPr>
        <w:t> </w:t>
      </w:r>
      <w:r>
        <w:rPr>
          <w:rFonts w:ascii="Courier New"/>
          <w:sz w:val="20"/>
        </w:rPr>
        <w:t>0</w:t>
      </w:r>
      <w:r>
        <w:rPr>
          <w:rFonts w:ascii="Courier New"/>
          <w:spacing w:val="-7"/>
          <w:sz w:val="20"/>
        </w:rPr>
        <w:t> </w:t>
      </w:r>
      <w:r>
        <w:rPr>
          <w:rFonts w:ascii="Courier New"/>
          <w:sz w:val="20"/>
        </w:rPr>
        <w:t>And</w:t>
      </w:r>
      <w:r>
        <w:rPr>
          <w:rFonts w:ascii="Courier New"/>
          <w:spacing w:val="-6"/>
          <w:sz w:val="20"/>
        </w:rPr>
        <w:t> </w:t>
      </w:r>
      <w:r>
        <w:rPr>
          <w:rFonts w:ascii="Courier New"/>
          <w:sz w:val="20"/>
        </w:rPr>
        <w:t>Show_Current_Only</w:t>
      </w:r>
      <w:r>
        <w:rPr>
          <w:rFonts w:ascii="Courier New"/>
          <w:spacing w:val="-7"/>
          <w:sz w:val="20"/>
        </w:rPr>
        <w:t> </w:t>
      </w:r>
      <w:r>
        <w:rPr>
          <w:rFonts w:ascii="Courier New"/>
          <w:sz w:val="20"/>
        </w:rPr>
        <w:t>=</w:t>
      </w:r>
      <w:r>
        <w:rPr>
          <w:rFonts w:ascii="Courier New"/>
          <w:spacing w:val="-6"/>
          <w:sz w:val="20"/>
        </w:rPr>
        <w:t> </w:t>
      </w:r>
      <w:r>
        <w:rPr>
          <w:rFonts w:ascii="Courier New"/>
          <w:spacing w:val="-10"/>
          <w:sz w:val="20"/>
        </w:rPr>
        <w:t>0</w:t>
      </w:r>
    </w:p>
    <w:p>
      <w:pPr>
        <w:spacing w:after="0" w:line="226" w:lineRule="exact"/>
        <w:jc w:val="left"/>
        <w:rPr>
          <w:rFonts w:ascii="Courier New"/>
          <w:sz w:val="20"/>
        </w:rPr>
        <w:sectPr>
          <w:pgSz w:w="8640" w:h="12960"/>
          <w:pgMar w:header="536" w:footer="1060" w:top="720" w:bottom="1260" w:left="580" w:right="580"/>
        </w:sectPr>
      </w:pPr>
    </w:p>
    <w:p>
      <w:pPr>
        <w:spacing w:before="0"/>
        <w:ind w:left="500" w:right="0" w:firstLine="0"/>
        <w:jc w:val="left"/>
        <w:rPr>
          <w:rFonts w:ascii="Courier New"/>
          <w:sz w:val="20"/>
        </w:rPr>
      </w:pPr>
      <w:r>
        <w:rPr>
          <w:rFonts w:ascii="Courier New"/>
          <w:spacing w:val="-4"/>
          <w:sz w:val="20"/>
        </w:rPr>
        <w:t>Then</w:t>
      </w:r>
    </w:p>
    <w:p>
      <w:pPr>
        <w:spacing w:line="240" w:lineRule="auto" w:before="0"/>
        <w:rPr>
          <w:rFonts w:ascii="Courier New"/>
          <w:sz w:val="20"/>
        </w:rPr>
      </w:pPr>
      <w:r>
        <w:rPr/>
        <w:br w:type="column"/>
      </w:r>
      <w:r>
        <w:rPr>
          <w:rFonts w:ascii="Courier New"/>
          <w:sz w:val="20"/>
        </w:rPr>
      </w:r>
    </w:p>
    <w:p>
      <w:pPr>
        <w:spacing w:before="0"/>
        <w:ind w:left="1939" w:right="0" w:hanging="1440"/>
        <w:jc w:val="left"/>
        <w:rPr>
          <w:rFonts w:ascii="Courier New"/>
          <w:sz w:val="20"/>
        </w:rPr>
      </w:pPr>
      <w:r>
        <w:rPr>
          <w:rFonts w:ascii="Courier New"/>
          <w:sz w:val="20"/>
        </w:rPr>
        <w:t>If</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1</w:t>
      </w:r>
      <w:r>
        <w:rPr>
          <w:rFonts w:ascii="Courier New"/>
          <w:spacing w:val="-4"/>
          <w:sz w:val="20"/>
        </w:rPr>
        <w:t> </w:t>
      </w:r>
      <w:r>
        <w:rPr>
          <w:rFonts w:ascii="Courier New"/>
          <w:sz w:val="20"/>
        </w:rPr>
        <w:t>Or</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0</w:t>
      </w:r>
      <w:r>
        <w:rPr>
          <w:rFonts w:ascii="Courier New"/>
          <w:spacing w:val="-4"/>
          <w:sz w:val="20"/>
        </w:rPr>
        <w:t> </w:t>
      </w:r>
      <w:r>
        <w:rPr>
          <w:rFonts w:ascii="Courier New"/>
          <w:sz w:val="20"/>
        </w:rPr>
        <w:t>then </w:t>
      </w:r>
      <w:r>
        <w:rPr>
          <w:rFonts w:ascii="Courier New"/>
          <w:spacing w:val="-2"/>
          <w:sz w:val="20"/>
        </w:rPr>
        <w:t>PlotPriceTrendLine("PP",</w:t>
      </w:r>
    </w:p>
    <w:p>
      <w:pPr>
        <w:spacing w:after="0"/>
        <w:jc w:val="left"/>
        <w:rPr>
          <w:rFonts w:ascii="Courier New"/>
          <w:sz w:val="20"/>
        </w:rPr>
        <w:sectPr>
          <w:type w:val="continuous"/>
          <w:pgSz w:w="8640" w:h="12960"/>
          <w:pgMar w:header="579" w:footer="1060" w:top="1480" w:bottom="280" w:left="580" w:right="580"/>
          <w:cols w:num="2" w:equalWidth="0">
            <w:col w:w="1021" w:space="420"/>
            <w:col w:w="6039"/>
          </w:cols>
        </w:sectPr>
      </w:pPr>
    </w:p>
    <w:p>
      <w:pPr>
        <w:spacing w:line="226" w:lineRule="exact" w:before="1"/>
        <w:ind w:left="500" w:right="0" w:firstLine="0"/>
        <w:jc w:val="left"/>
        <w:rPr>
          <w:rFonts w:ascii="Courier New"/>
          <w:sz w:val="20"/>
        </w:rPr>
      </w:pPr>
      <w:r>
        <w:rPr>
          <w:rFonts w:ascii="Courier New"/>
          <w:sz w:val="20"/>
        </w:rPr>
        <w:t>nBreakBar,</w:t>
      </w:r>
      <w:r>
        <w:rPr>
          <w:rFonts w:ascii="Courier New"/>
          <w:spacing w:val="-5"/>
          <w:sz w:val="20"/>
        </w:rPr>
        <w:t> </w:t>
      </w:r>
      <w:r>
        <w:rPr>
          <w:rFonts w:ascii="Courier New"/>
          <w:sz w:val="20"/>
        </w:rPr>
        <w:t>fPP,</w:t>
      </w:r>
      <w:r>
        <w:rPr>
          <w:rFonts w:ascii="Courier New"/>
          <w:spacing w:val="-5"/>
          <w:sz w:val="20"/>
        </w:rPr>
        <w:t> </w:t>
      </w:r>
      <w:r>
        <w:rPr>
          <w:rFonts w:ascii="Courier New"/>
          <w:sz w:val="20"/>
        </w:rPr>
        <w:t>Bar</w:t>
      </w:r>
      <w:r>
        <w:rPr>
          <w:rFonts w:ascii="Courier New"/>
          <w:spacing w:val="-5"/>
          <w:sz w:val="20"/>
        </w:rPr>
        <w:t> </w:t>
      </w:r>
      <w:r>
        <w:rPr>
          <w:rFonts w:ascii="Courier New"/>
          <w:sz w:val="20"/>
        </w:rPr>
        <w:t>-</w:t>
      </w:r>
      <w:r>
        <w:rPr>
          <w:rFonts w:ascii="Courier New"/>
          <w:spacing w:val="-5"/>
          <w:sz w:val="20"/>
        </w:rPr>
        <w:t> </w:t>
      </w:r>
      <w:r>
        <w:rPr>
          <w:rFonts w:ascii="Courier New"/>
          <w:sz w:val="20"/>
        </w:rPr>
        <w:t>1,</w:t>
      </w:r>
      <w:r>
        <w:rPr>
          <w:rFonts w:ascii="Courier New"/>
          <w:spacing w:val="-4"/>
          <w:sz w:val="20"/>
        </w:rPr>
        <w:t> </w:t>
      </w:r>
      <w:r>
        <w:rPr>
          <w:rFonts w:ascii="Courier New"/>
          <w:sz w:val="20"/>
        </w:rPr>
        <w:t>fPP,</w:t>
      </w:r>
      <w:r>
        <w:rPr>
          <w:rFonts w:ascii="Courier New"/>
          <w:spacing w:val="-5"/>
          <w:sz w:val="20"/>
        </w:rPr>
        <w:t> </w:t>
      </w:r>
      <w:r>
        <w:rPr>
          <w:rFonts w:ascii="Courier New"/>
          <w:spacing w:val="-2"/>
          <w:sz w:val="20"/>
        </w:rPr>
        <w:t>fuchsia)</w:t>
      </w:r>
    </w:p>
    <w:p>
      <w:pPr>
        <w:spacing w:line="226" w:lineRule="exact" w:before="0"/>
        <w:ind w:left="19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spacing w:before="0"/>
        <w:ind w:left="3380" w:right="0" w:hanging="1440"/>
        <w:jc w:val="left"/>
        <w:rPr>
          <w:rFonts w:ascii="Courier New"/>
          <w:sz w:val="20"/>
        </w:rPr>
      </w:pPr>
      <w:r>
        <w:rPr>
          <w:rFonts w:ascii="Courier New"/>
          <w:sz w:val="20"/>
        </w:rPr>
        <w:t>If</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2</w:t>
      </w:r>
      <w:r>
        <w:rPr>
          <w:rFonts w:ascii="Courier New"/>
          <w:spacing w:val="-4"/>
          <w:sz w:val="20"/>
        </w:rPr>
        <w:t> </w:t>
      </w:r>
      <w:r>
        <w:rPr>
          <w:rFonts w:ascii="Courier New"/>
          <w:sz w:val="20"/>
        </w:rPr>
        <w:t>Or</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0</w:t>
      </w:r>
      <w:r>
        <w:rPr>
          <w:rFonts w:ascii="Courier New"/>
          <w:spacing w:val="-4"/>
          <w:sz w:val="20"/>
        </w:rPr>
        <w:t> </w:t>
      </w:r>
      <w:r>
        <w:rPr>
          <w:rFonts w:ascii="Courier New"/>
          <w:sz w:val="20"/>
        </w:rPr>
        <w:t>then </w:t>
      </w:r>
      <w:r>
        <w:rPr>
          <w:rFonts w:ascii="Courier New"/>
          <w:spacing w:val="-2"/>
          <w:sz w:val="20"/>
        </w:rPr>
        <w:t>PlotPriceTrendLine("BC",</w:t>
      </w:r>
    </w:p>
    <w:p>
      <w:pPr>
        <w:spacing w:before="0"/>
        <w:ind w:left="500" w:right="0" w:firstLine="0"/>
        <w:jc w:val="left"/>
        <w:rPr>
          <w:rFonts w:ascii="Courier New"/>
          <w:sz w:val="20"/>
        </w:rPr>
      </w:pPr>
      <w:r>
        <w:rPr>
          <w:rFonts w:ascii="Courier New"/>
          <w:sz w:val="20"/>
        </w:rPr>
        <w:t>nBreakBar,</w:t>
      </w:r>
      <w:r>
        <w:rPr>
          <w:rFonts w:ascii="Courier New"/>
          <w:spacing w:val="-5"/>
          <w:sz w:val="20"/>
        </w:rPr>
        <w:t> </w:t>
      </w:r>
      <w:r>
        <w:rPr>
          <w:rFonts w:ascii="Courier New"/>
          <w:sz w:val="20"/>
        </w:rPr>
        <w:t>fBC,</w:t>
      </w:r>
      <w:r>
        <w:rPr>
          <w:rFonts w:ascii="Courier New"/>
          <w:spacing w:val="-5"/>
          <w:sz w:val="20"/>
        </w:rPr>
        <w:t> </w:t>
      </w:r>
      <w:r>
        <w:rPr>
          <w:rFonts w:ascii="Courier New"/>
          <w:sz w:val="20"/>
        </w:rPr>
        <w:t>Bar</w:t>
      </w:r>
      <w:r>
        <w:rPr>
          <w:rFonts w:ascii="Courier New"/>
          <w:spacing w:val="-5"/>
          <w:sz w:val="20"/>
        </w:rPr>
        <w:t> </w:t>
      </w:r>
      <w:r>
        <w:rPr>
          <w:rFonts w:ascii="Courier New"/>
          <w:sz w:val="20"/>
        </w:rPr>
        <w:t>-</w:t>
      </w:r>
      <w:r>
        <w:rPr>
          <w:rFonts w:ascii="Courier New"/>
          <w:spacing w:val="-5"/>
          <w:sz w:val="20"/>
        </w:rPr>
        <w:t> </w:t>
      </w:r>
      <w:r>
        <w:rPr>
          <w:rFonts w:ascii="Courier New"/>
          <w:sz w:val="20"/>
        </w:rPr>
        <w:t>1,</w:t>
      </w:r>
      <w:r>
        <w:rPr>
          <w:rFonts w:ascii="Courier New"/>
          <w:spacing w:val="-4"/>
          <w:sz w:val="20"/>
        </w:rPr>
        <w:t> </w:t>
      </w:r>
      <w:r>
        <w:rPr>
          <w:rFonts w:ascii="Courier New"/>
          <w:sz w:val="20"/>
        </w:rPr>
        <w:t>fBC,</w:t>
      </w:r>
      <w:r>
        <w:rPr>
          <w:rFonts w:ascii="Courier New"/>
          <w:spacing w:val="-5"/>
          <w:sz w:val="20"/>
        </w:rPr>
        <w:t> </w:t>
      </w:r>
      <w:r>
        <w:rPr>
          <w:rFonts w:ascii="Courier New"/>
          <w:spacing w:val="-2"/>
          <w:sz w:val="20"/>
        </w:rPr>
        <w:t>fuchsia)</w:t>
      </w:r>
    </w:p>
    <w:p>
      <w:pPr>
        <w:spacing w:line="226" w:lineRule="exact" w:before="0"/>
        <w:ind w:left="19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spacing w:before="0"/>
        <w:ind w:left="3380" w:right="0" w:hanging="1440"/>
        <w:jc w:val="left"/>
        <w:rPr>
          <w:rFonts w:ascii="Courier New"/>
          <w:sz w:val="20"/>
        </w:rPr>
      </w:pPr>
      <w:r>
        <w:rPr>
          <w:rFonts w:ascii="Courier New"/>
          <w:sz w:val="20"/>
        </w:rPr>
        <w:t>If</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3</w:t>
      </w:r>
      <w:r>
        <w:rPr>
          <w:rFonts w:ascii="Courier New"/>
          <w:spacing w:val="-4"/>
          <w:sz w:val="20"/>
        </w:rPr>
        <w:t> </w:t>
      </w:r>
      <w:r>
        <w:rPr>
          <w:rFonts w:ascii="Courier New"/>
          <w:sz w:val="20"/>
        </w:rPr>
        <w:t>Or</w:t>
      </w:r>
      <w:r>
        <w:rPr>
          <w:rFonts w:ascii="Courier New"/>
          <w:spacing w:val="-4"/>
          <w:sz w:val="20"/>
        </w:rPr>
        <w:t> </w:t>
      </w:r>
      <w:r>
        <w:rPr>
          <w:rFonts w:ascii="Courier New"/>
          <w:sz w:val="20"/>
        </w:rPr>
        <w:t>Show_Level</w:t>
      </w:r>
      <w:r>
        <w:rPr>
          <w:rFonts w:ascii="Courier New"/>
          <w:spacing w:val="-4"/>
          <w:sz w:val="20"/>
        </w:rPr>
        <w:t> </w:t>
      </w:r>
      <w:r>
        <w:rPr>
          <w:rFonts w:ascii="Courier New"/>
          <w:sz w:val="20"/>
        </w:rPr>
        <w:t>=</w:t>
      </w:r>
      <w:r>
        <w:rPr>
          <w:rFonts w:ascii="Courier New"/>
          <w:spacing w:val="-4"/>
          <w:sz w:val="20"/>
        </w:rPr>
        <w:t> </w:t>
      </w:r>
      <w:r>
        <w:rPr>
          <w:rFonts w:ascii="Courier New"/>
          <w:sz w:val="20"/>
        </w:rPr>
        <w:t>0</w:t>
      </w:r>
      <w:r>
        <w:rPr>
          <w:rFonts w:ascii="Courier New"/>
          <w:spacing w:val="-4"/>
          <w:sz w:val="20"/>
        </w:rPr>
        <w:t> </w:t>
      </w:r>
      <w:r>
        <w:rPr>
          <w:rFonts w:ascii="Courier New"/>
          <w:sz w:val="20"/>
        </w:rPr>
        <w:t>then </w:t>
      </w:r>
      <w:r>
        <w:rPr>
          <w:rFonts w:ascii="Courier New"/>
          <w:spacing w:val="-2"/>
          <w:sz w:val="20"/>
        </w:rPr>
        <w:t>PlotPriceTrendLine("TC",</w:t>
      </w:r>
    </w:p>
    <w:p>
      <w:pPr>
        <w:spacing w:before="0"/>
        <w:ind w:left="500" w:right="0" w:firstLine="0"/>
        <w:jc w:val="left"/>
        <w:rPr>
          <w:rFonts w:ascii="Courier New"/>
          <w:sz w:val="20"/>
        </w:rPr>
      </w:pPr>
      <w:r>
        <w:rPr>
          <w:rFonts w:ascii="Courier New"/>
          <w:sz w:val="20"/>
        </w:rPr>
        <w:t>nBreakBar,</w:t>
      </w:r>
      <w:r>
        <w:rPr>
          <w:rFonts w:ascii="Courier New"/>
          <w:spacing w:val="-5"/>
          <w:sz w:val="20"/>
        </w:rPr>
        <w:t> </w:t>
      </w:r>
      <w:r>
        <w:rPr>
          <w:rFonts w:ascii="Courier New"/>
          <w:sz w:val="20"/>
        </w:rPr>
        <w:t>fTC,</w:t>
      </w:r>
      <w:r>
        <w:rPr>
          <w:rFonts w:ascii="Courier New"/>
          <w:spacing w:val="-5"/>
          <w:sz w:val="20"/>
        </w:rPr>
        <w:t> </w:t>
      </w:r>
      <w:r>
        <w:rPr>
          <w:rFonts w:ascii="Courier New"/>
          <w:sz w:val="20"/>
        </w:rPr>
        <w:t>Bar</w:t>
      </w:r>
      <w:r>
        <w:rPr>
          <w:rFonts w:ascii="Courier New"/>
          <w:spacing w:val="-5"/>
          <w:sz w:val="20"/>
        </w:rPr>
        <w:t> </w:t>
      </w:r>
      <w:r>
        <w:rPr>
          <w:rFonts w:ascii="Courier New"/>
          <w:sz w:val="20"/>
        </w:rPr>
        <w:t>-</w:t>
      </w:r>
      <w:r>
        <w:rPr>
          <w:rFonts w:ascii="Courier New"/>
          <w:spacing w:val="-5"/>
          <w:sz w:val="20"/>
        </w:rPr>
        <w:t> </w:t>
      </w:r>
      <w:r>
        <w:rPr>
          <w:rFonts w:ascii="Courier New"/>
          <w:sz w:val="20"/>
        </w:rPr>
        <w:t>1,</w:t>
      </w:r>
      <w:r>
        <w:rPr>
          <w:rFonts w:ascii="Courier New"/>
          <w:spacing w:val="-4"/>
          <w:sz w:val="20"/>
        </w:rPr>
        <w:t> </w:t>
      </w:r>
      <w:r>
        <w:rPr>
          <w:rFonts w:ascii="Courier New"/>
          <w:sz w:val="20"/>
        </w:rPr>
        <w:t>fTC,</w:t>
      </w:r>
      <w:r>
        <w:rPr>
          <w:rFonts w:ascii="Courier New"/>
          <w:spacing w:val="-5"/>
          <w:sz w:val="20"/>
        </w:rPr>
        <w:t> </w:t>
      </w:r>
      <w:r>
        <w:rPr>
          <w:rFonts w:ascii="Courier New"/>
          <w:spacing w:val="-2"/>
          <w:sz w:val="20"/>
        </w:rPr>
        <w:t>fuchsia)</w:t>
      </w:r>
    </w:p>
    <w:p>
      <w:pPr>
        <w:spacing w:before="1"/>
        <w:ind w:left="1460" w:right="4517" w:firstLine="480"/>
        <w:jc w:val="left"/>
        <w:rPr>
          <w:rFonts w:ascii="Courier New"/>
          <w:sz w:val="20"/>
        </w:rPr>
      </w:pPr>
      <w:r>
        <w:rPr>
          <w:rFonts w:ascii="Courier New"/>
          <w:sz w:val="20"/>
        </w:rPr>
        <w:t>End</w:t>
      </w:r>
      <w:r>
        <w:rPr>
          <w:rFonts w:ascii="Courier New"/>
          <w:spacing w:val="-32"/>
          <w:sz w:val="20"/>
        </w:rPr>
        <w:t> </w:t>
      </w:r>
      <w:r>
        <w:rPr>
          <w:rFonts w:ascii="Courier New"/>
          <w:sz w:val="20"/>
        </w:rPr>
        <w:t>If End If</w:t>
      </w:r>
    </w:p>
    <w:p>
      <w:pPr>
        <w:pStyle w:val="BodyText"/>
        <w:spacing w:before="10"/>
        <w:rPr>
          <w:rFonts w:ascii="Courier New"/>
          <w:sz w:val="19"/>
        </w:rPr>
      </w:pPr>
    </w:p>
    <w:p>
      <w:pPr>
        <w:spacing w:before="1"/>
        <w:ind w:left="1460" w:right="0" w:firstLine="0"/>
        <w:jc w:val="left"/>
        <w:rPr>
          <w:rFonts w:ascii="Courier New"/>
          <w:sz w:val="20"/>
        </w:rPr>
      </w:pPr>
      <w:r>
        <w:rPr>
          <w:rFonts w:ascii="Courier New"/>
          <w:sz w:val="20"/>
        </w:rPr>
        <w:t>fClose</w:t>
      </w:r>
      <w:r>
        <w:rPr>
          <w:rFonts w:ascii="Courier New"/>
          <w:spacing w:val="-5"/>
          <w:sz w:val="20"/>
        </w:rPr>
        <w:t> </w:t>
      </w:r>
      <w:r>
        <w:rPr>
          <w:rFonts w:ascii="Courier New"/>
          <w:sz w:val="20"/>
        </w:rPr>
        <w:t>=</w:t>
      </w:r>
      <w:r>
        <w:rPr>
          <w:rFonts w:ascii="Courier New"/>
          <w:spacing w:val="-4"/>
          <w:sz w:val="20"/>
        </w:rPr>
        <w:t> C[1]</w:t>
      </w:r>
    </w:p>
    <w:p>
      <w:pPr>
        <w:pStyle w:val="BodyText"/>
        <w:rPr>
          <w:rFonts w:ascii="Courier New"/>
          <w:sz w:val="20"/>
        </w:rPr>
      </w:pPr>
    </w:p>
    <w:p>
      <w:pPr>
        <w:spacing w:before="0"/>
        <w:ind w:left="1460" w:right="1693" w:firstLine="0"/>
        <w:jc w:val="left"/>
        <w:rPr>
          <w:rFonts w:ascii="Courier New"/>
          <w:sz w:val="20"/>
        </w:rPr>
      </w:pPr>
      <w:r>
        <w:rPr>
          <w:rFonts w:ascii="Courier New"/>
          <w:sz w:val="20"/>
        </w:rPr>
        <w:t>fPP</w:t>
      </w:r>
      <w:r>
        <w:rPr>
          <w:rFonts w:ascii="Courier New"/>
          <w:spacing w:val="-5"/>
          <w:sz w:val="20"/>
        </w:rPr>
        <w:t> </w:t>
      </w:r>
      <w:r>
        <w:rPr>
          <w:rFonts w:ascii="Courier New"/>
          <w:sz w:val="20"/>
        </w:rPr>
        <w:t>=</w:t>
      </w:r>
      <w:r>
        <w:rPr>
          <w:rFonts w:ascii="Courier New"/>
          <w:spacing w:val="-5"/>
          <w:sz w:val="20"/>
        </w:rPr>
        <w:t> </w:t>
      </w:r>
      <w:r>
        <w:rPr>
          <w:rFonts w:ascii="Courier New"/>
          <w:sz w:val="20"/>
        </w:rPr>
        <w:t>((fHigh</w:t>
      </w:r>
      <w:r>
        <w:rPr>
          <w:rFonts w:ascii="Courier New"/>
          <w:spacing w:val="-5"/>
          <w:sz w:val="20"/>
        </w:rPr>
        <w:t> </w:t>
      </w:r>
      <w:r>
        <w:rPr>
          <w:rFonts w:ascii="Courier New"/>
          <w:sz w:val="20"/>
        </w:rPr>
        <w:t>+</w:t>
      </w:r>
      <w:r>
        <w:rPr>
          <w:rFonts w:ascii="Courier New"/>
          <w:spacing w:val="-5"/>
          <w:sz w:val="20"/>
        </w:rPr>
        <w:t> </w:t>
      </w:r>
      <w:r>
        <w:rPr>
          <w:rFonts w:ascii="Courier New"/>
          <w:sz w:val="20"/>
        </w:rPr>
        <w:t>fLow</w:t>
      </w:r>
      <w:r>
        <w:rPr>
          <w:rFonts w:ascii="Courier New"/>
          <w:spacing w:val="-5"/>
          <w:sz w:val="20"/>
        </w:rPr>
        <w:t> </w:t>
      </w:r>
      <w:r>
        <w:rPr>
          <w:rFonts w:ascii="Courier New"/>
          <w:sz w:val="20"/>
        </w:rPr>
        <w:t>+</w:t>
      </w:r>
      <w:r>
        <w:rPr>
          <w:rFonts w:ascii="Courier New"/>
          <w:spacing w:val="-5"/>
          <w:sz w:val="20"/>
        </w:rPr>
        <w:t> </w:t>
      </w:r>
      <w:r>
        <w:rPr>
          <w:rFonts w:ascii="Courier New"/>
          <w:sz w:val="20"/>
        </w:rPr>
        <w:t>fClose)</w:t>
      </w:r>
      <w:r>
        <w:rPr>
          <w:rFonts w:ascii="Courier New"/>
          <w:spacing w:val="-5"/>
          <w:sz w:val="20"/>
        </w:rPr>
        <w:t> </w:t>
      </w:r>
      <w:r>
        <w:rPr>
          <w:rFonts w:ascii="Courier New"/>
          <w:sz w:val="20"/>
        </w:rPr>
        <w:t>/</w:t>
      </w:r>
      <w:r>
        <w:rPr>
          <w:rFonts w:ascii="Courier New"/>
          <w:spacing w:val="-5"/>
          <w:sz w:val="20"/>
        </w:rPr>
        <w:t> </w:t>
      </w:r>
      <w:r>
        <w:rPr>
          <w:rFonts w:ascii="Courier New"/>
          <w:sz w:val="20"/>
        </w:rPr>
        <w:t>3) fBC = ((fHigh + fLow) / 2)</w:t>
      </w:r>
    </w:p>
    <w:p>
      <w:pPr>
        <w:spacing w:line="226" w:lineRule="exact" w:before="0"/>
        <w:ind w:left="1460" w:right="0" w:firstLine="0"/>
        <w:jc w:val="left"/>
        <w:rPr>
          <w:rFonts w:ascii="Courier New"/>
          <w:sz w:val="20"/>
        </w:rPr>
      </w:pPr>
      <w:r>
        <w:rPr>
          <w:rFonts w:ascii="Courier New"/>
          <w:sz w:val="20"/>
        </w:rPr>
        <w:t>fTC</w:t>
      </w:r>
      <w:r>
        <w:rPr>
          <w:rFonts w:ascii="Courier New"/>
          <w:spacing w:val="-5"/>
          <w:sz w:val="20"/>
        </w:rPr>
        <w:t> </w:t>
      </w:r>
      <w:r>
        <w:rPr>
          <w:rFonts w:ascii="Courier New"/>
          <w:sz w:val="20"/>
        </w:rPr>
        <w:t>=</w:t>
      </w:r>
      <w:r>
        <w:rPr>
          <w:rFonts w:ascii="Courier New"/>
          <w:spacing w:val="-3"/>
          <w:sz w:val="20"/>
        </w:rPr>
        <w:t> </w:t>
      </w:r>
      <w:r>
        <w:rPr>
          <w:rFonts w:ascii="Courier New"/>
          <w:sz w:val="20"/>
        </w:rPr>
        <w:t>((fPP</w:t>
      </w:r>
      <w:r>
        <w:rPr>
          <w:rFonts w:ascii="Courier New"/>
          <w:spacing w:val="-3"/>
          <w:sz w:val="20"/>
        </w:rPr>
        <w:t> </w:t>
      </w:r>
      <w:r>
        <w:rPr>
          <w:rFonts w:ascii="Courier New"/>
          <w:sz w:val="20"/>
        </w:rPr>
        <w:t>-</w:t>
      </w:r>
      <w:r>
        <w:rPr>
          <w:rFonts w:ascii="Courier New"/>
          <w:spacing w:val="-3"/>
          <w:sz w:val="20"/>
        </w:rPr>
        <w:t> </w:t>
      </w:r>
      <w:r>
        <w:rPr>
          <w:rFonts w:ascii="Courier New"/>
          <w:sz w:val="20"/>
        </w:rPr>
        <w:t>fBC)</w:t>
      </w:r>
      <w:r>
        <w:rPr>
          <w:rFonts w:ascii="Courier New"/>
          <w:spacing w:val="-3"/>
          <w:sz w:val="20"/>
        </w:rPr>
        <w:t> </w:t>
      </w:r>
      <w:r>
        <w:rPr>
          <w:rFonts w:ascii="Courier New"/>
          <w:sz w:val="20"/>
        </w:rPr>
        <w:t>+</w:t>
      </w:r>
      <w:r>
        <w:rPr>
          <w:rFonts w:ascii="Courier New"/>
          <w:spacing w:val="-3"/>
          <w:sz w:val="20"/>
        </w:rPr>
        <w:t> </w:t>
      </w:r>
      <w:r>
        <w:rPr>
          <w:rFonts w:ascii="Courier New"/>
          <w:spacing w:val="-4"/>
          <w:sz w:val="20"/>
        </w:rPr>
        <w:t>fPP)</w:t>
      </w:r>
    </w:p>
    <w:p>
      <w:pPr>
        <w:pStyle w:val="BodyText"/>
        <w:rPr>
          <w:rFonts w:ascii="Courier New"/>
          <w:sz w:val="20"/>
        </w:rPr>
      </w:pPr>
    </w:p>
    <w:p>
      <w:pPr>
        <w:spacing w:before="0"/>
        <w:ind w:left="1460" w:right="4517" w:firstLine="0"/>
        <w:jc w:val="left"/>
        <w:rPr>
          <w:rFonts w:ascii="Courier New"/>
          <w:sz w:val="20"/>
        </w:rPr>
      </w:pPr>
      <w:r>
        <w:rPr>
          <w:rFonts w:ascii="Courier New"/>
          <w:sz w:val="20"/>
        </w:rPr>
        <w:t>fHigh</w:t>
      </w:r>
      <w:r>
        <w:rPr>
          <w:rFonts w:ascii="Courier New"/>
          <w:spacing w:val="-19"/>
          <w:sz w:val="20"/>
        </w:rPr>
        <w:t> </w:t>
      </w:r>
      <w:r>
        <w:rPr>
          <w:rFonts w:ascii="Courier New"/>
          <w:sz w:val="20"/>
        </w:rPr>
        <w:t>=</w:t>
      </w:r>
      <w:r>
        <w:rPr>
          <w:rFonts w:ascii="Courier New"/>
          <w:spacing w:val="-19"/>
          <w:sz w:val="20"/>
        </w:rPr>
        <w:t> </w:t>
      </w:r>
      <w:r>
        <w:rPr>
          <w:rFonts w:ascii="Courier New"/>
          <w:sz w:val="20"/>
        </w:rPr>
        <w:t>H fLow = L</w:t>
      </w:r>
    </w:p>
    <w:p>
      <w:pPr>
        <w:spacing w:before="1"/>
        <w:ind w:left="980" w:right="4023" w:firstLine="480"/>
        <w:jc w:val="left"/>
        <w:rPr>
          <w:rFonts w:ascii="Courier New"/>
          <w:sz w:val="20"/>
        </w:rPr>
      </w:pPr>
      <w:r>
        <w:rPr>
          <w:rFonts w:ascii="Courier New"/>
          <w:sz w:val="20"/>
        </w:rPr>
        <w:t>nBreakBar</w:t>
      </w:r>
      <w:r>
        <w:rPr>
          <w:rFonts w:ascii="Courier New"/>
          <w:spacing w:val="-18"/>
          <w:sz w:val="20"/>
        </w:rPr>
        <w:t> </w:t>
      </w:r>
      <w:r>
        <w:rPr>
          <w:rFonts w:ascii="Courier New"/>
          <w:sz w:val="20"/>
        </w:rPr>
        <w:t>=</w:t>
      </w:r>
      <w:r>
        <w:rPr>
          <w:rFonts w:ascii="Courier New"/>
          <w:spacing w:val="-18"/>
          <w:sz w:val="20"/>
        </w:rPr>
        <w:t> </w:t>
      </w:r>
      <w:r>
        <w:rPr>
          <w:rFonts w:ascii="Courier New"/>
          <w:sz w:val="20"/>
        </w:rPr>
        <w:t>Bar End If</w:t>
      </w:r>
    </w:p>
    <w:p>
      <w:pPr>
        <w:pStyle w:val="BodyText"/>
        <w:spacing w:before="11"/>
        <w:rPr>
          <w:rFonts w:ascii="Courier New"/>
          <w:sz w:val="19"/>
        </w:rPr>
      </w:pPr>
    </w:p>
    <w:p>
      <w:pPr>
        <w:spacing w:before="0"/>
        <w:ind w:left="1940" w:right="552" w:hanging="960"/>
        <w:jc w:val="left"/>
        <w:rPr>
          <w:rFonts w:ascii="Courier New"/>
          <w:sz w:val="20"/>
        </w:rPr>
      </w:pPr>
      <w:r>
        <w:rPr>
          <w:rFonts w:ascii="Courier New"/>
          <w:sz w:val="20"/>
        </w:rPr>
        <w:t>If</w:t>
      </w:r>
      <w:r>
        <w:rPr>
          <w:rFonts w:ascii="Courier New"/>
          <w:spacing w:val="-3"/>
          <w:sz w:val="20"/>
        </w:rPr>
        <w:t> </w:t>
      </w:r>
      <w:r>
        <w:rPr>
          <w:rFonts w:ascii="Courier New"/>
          <w:sz w:val="20"/>
        </w:rPr>
        <w:t>H</w:t>
      </w:r>
      <w:r>
        <w:rPr>
          <w:rFonts w:ascii="Courier New"/>
          <w:spacing w:val="-3"/>
          <w:sz w:val="20"/>
        </w:rPr>
        <w:t> </w:t>
      </w:r>
      <w:r>
        <w:rPr>
          <w:rFonts w:ascii="Courier New"/>
          <w:sz w:val="20"/>
        </w:rPr>
        <w:t>&gt;</w:t>
      </w:r>
      <w:r>
        <w:rPr>
          <w:rFonts w:ascii="Courier New"/>
          <w:spacing w:val="-3"/>
          <w:sz w:val="20"/>
        </w:rPr>
        <w:t> </w:t>
      </w:r>
      <w:r>
        <w:rPr>
          <w:rFonts w:ascii="Courier New"/>
          <w:sz w:val="20"/>
        </w:rPr>
        <w:t>fHigh</w:t>
      </w:r>
      <w:r>
        <w:rPr>
          <w:rFonts w:ascii="Courier New"/>
          <w:spacing w:val="-3"/>
          <w:sz w:val="20"/>
        </w:rPr>
        <w:t> </w:t>
      </w:r>
      <w:r>
        <w:rPr>
          <w:rFonts w:ascii="Courier New"/>
          <w:sz w:val="20"/>
        </w:rPr>
        <w:t>Then</w:t>
      </w:r>
      <w:r>
        <w:rPr>
          <w:rFonts w:ascii="Courier New"/>
          <w:spacing w:val="-3"/>
          <w:sz w:val="20"/>
        </w:rPr>
        <w:t> </w:t>
      </w:r>
      <w:r>
        <w:rPr>
          <w:rFonts w:ascii="Courier New"/>
          <w:sz w:val="20"/>
        </w:rPr>
        <w:t>'</w:t>
      </w:r>
      <w:r>
        <w:rPr>
          <w:rFonts w:ascii="Courier New"/>
          <w:spacing w:val="-3"/>
          <w:sz w:val="20"/>
        </w:rPr>
        <w:t> </w:t>
      </w:r>
      <w:r>
        <w:rPr>
          <w:rFonts w:ascii="Courier New"/>
          <w:sz w:val="20"/>
        </w:rPr>
        <w:t>If</w:t>
      </w:r>
      <w:r>
        <w:rPr>
          <w:rFonts w:ascii="Courier New"/>
          <w:spacing w:val="-3"/>
          <w:sz w:val="20"/>
        </w:rPr>
        <w:t> </w:t>
      </w:r>
      <w:r>
        <w:rPr>
          <w:rFonts w:ascii="Courier New"/>
          <w:sz w:val="20"/>
        </w:rPr>
        <w:t>we</w:t>
      </w:r>
      <w:r>
        <w:rPr>
          <w:rFonts w:ascii="Courier New"/>
          <w:spacing w:val="-3"/>
          <w:sz w:val="20"/>
        </w:rPr>
        <w:t> </w:t>
      </w:r>
      <w:r>
        <w:rPr>
          <w:rFonts w:ascii="Courier New"/>
          <w:sz w:val="20"/>
        </w:rPr>
        <w:t>found</w:t>
      </w:r>
      <w:r>
        <w:rPr>
          <w:rFonts w:ascii="Courier New"/>
          <w:spacing w:val="-3"/>
          <w:sz w:val="20"/>
        </w:rPr>
        <w:t> </w:t>
      </w:r>
      <w:r>
        <w:rPr>
          <w:rFonts w:ascii="Courier New"/>
          <w:sz w:val="20"/>
        </w:rPr>
        <w:t>a</w:t>
      </w:r>
      <w:r>
        <w:rPr>
          <w:rFonts w:ascii="Courier New"/>
          <w:spacing w:val="-3"/>
          <w:sz w:val="20"/>
        </w:rPr>
        <w:t> </w:t>
      </w:r>
      <w:r>
        <w:rPr>
          <w:rFonts w:ascii="Courier New"/>
          <w:sz w:val="20"/>
        </w:rPr>
        <w:t>higher</w:t>
      </w:r>
      <w:r>
        <w:rPr>
          <w:rFonts w:ascii="Courier New"/>
          <w:spacing w:val="-3"/>
          <w:sz w:val="20"/>
        </w:rPr>
        <w:t> </w:t>
      </w:r>
      <w:r>
        <w:rPr>
          <w:rFonts w:ascii="Courier New"/>
          <w:sz w:val="20"/>
        </w:rPr>
        <w:t>high fHigh = H ' Record new high</w:t>
      </w:r>
    </w:p>
    <w:p>
      <w:pPr>
        <w:spacing w:line="226" w:lineRule="exact" w:before="0"/>
        <w:ind w:left="98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spacing w:before="0"/>
        <w:ind w:left="1940" w:right="1187" w:hanging="960"/>
        <w:jc w:val="left"/>
        <w:rPr>
          <w:rFonts w:ascii="Courier New"/>
          <w:sz w:val="20"/>
        </w:rPr>
      </w:pPr>
      <w:r>
        <w:rPr>
          <w:rFonts w:ascii="Courier New"/>
          <w:sz w:val="20"/>
        </w:rPr>
        <w:t>If</w:t>
      </w:r>
      <w:r>
        <w:rPr>
          <w:rFonts w:ascii="Courier New"/>
          <w:spacing w:val="-3"/>
          <w:sz w:val="20"/>
        </w:rPr>
        <w:t> </w:t>
      </w:r>
      <w:r>
        <w:rPr>
          <w:rFonts w:ascii="Courier New"/>
          <w:sz w:val="20"/>
        </w:rPr>
        <w:t>L</w:t>
      </w:r>
      <w:r>
        <w:rPr>
          <w:rFonts w:ascii="Courier New"/>
          <w:spacing w:val="-3"/>
          <w:sz w:val="20"/>
        </w:rPr>
        <w:t> </w:t>
      </w:r>
      <w:r>
        <w:rPr>
          <w:rFonts w:ascii="Courier New"/>
          <w:sz w:val="20"/>
        </w:rPr>
        <w:t>&lt;</w:t>
      </w:r>
      <w:r>
        <w:rPr>
          <w:rFonts w:ascii="Courier New"/>
          <w:spacing w:val="-3"/>
          <w:sz w:val="20"/>
        </w:rPr>
        <w:t> </w:t>
      </w:r>
      <w:r>
        <w:rPr>
          <w:rFonts w:ascii="Courier New"/>
          <w:sz w:val="20"/>
        </w:rPr>
        <w:t>fLow</w:t>
      </w:r>
      <w:r>
        <w:rPr>
          <w:rFonts w:ascii="Courier New"/>
          <w:spacing w:val="-3"/>
          <w:sz w:val="20"/>
        </w:rPr>
        <w:t> </w:t>
      </w:r>
      <w:r>
        <w:rPr>
          <w:rFonts w:ascii="Courier New"/>
          <w:sz w:val="20"/>
        </w:rPr>
        <w:t>Then</w:t>
      </w:r>
      <w:r>
        <w:rPr>
          <w:rFonts w:ascii="Courier New"/>
          <w:spacing w:val="-3"/>
          <w:sz w:val="20"/>
        </w:rPr>
        <w:t> </w:t>
      </w:r>
      <w:r>
        <w:rPr>
          <w:rFonts w:ascii="Courier New"/>
          <w:sz w:val="20"/>
        </w:rPr>
        <w:t>'</w:t>
      </w:r>
      <w:r>
        <w:rPr>
          <w:rFonts w:ascii="Courier New"/>
          <w:spacing w:val="-4"/>
          <w:sz w:val="20"/>
        </w:rPr>
        <w:t> </w:t>
      </w:r>
      <w:r>
        <w:rPr>
          <w:rFonts w:ascii="Courier New"/>
          <w:sz w:val="20"/>
        </w:rPr>
        <w:t>If</w:t>
      </w:r>
      <w:r>
        <w:rPr>
          <w:rFonts w:ascii="Courier New"/>
          <w:spacing w:val="-3"/>
          <w:sz w:val="20"/>
        </w:rPr>
        <w:t> </w:t>
      </w:r>
      <w:r>
        <w:rPr>
          <w:rFonts w:ascii="Courier New"/>
          <w:sz w:val="20"/>
        </w:rPr>
        <w:t>we</w:t>
      </w:r>
      <w:r>
        <w:rPr>
          <w:rFonts w:ascii="Courier New"/>
          <w:spacing w:val="-3"/>
          <w:sz w:val="20"/>
        </w:rPr>
        <w:t> </w:t>
      </w:r>
      <w:r>
        <w:rPr>
          <w:rFonts w:ascii="Courier New"/>
          <w:sz w:val="20"/>
        </w:rPr>
        <w:t>found</w:t>
      </w:r>
      <w:r>
        <w:rPr>
          <w:rFonts w:ascii="Courier New"/>
          <w:spacing w:val="-3"/>
          <w:sz w:val="20"/>
        </w:rPr>
        <w:t> </w:t>
      </w:r>
      <w:r>
        <w:rPr>
          <w:rFonts w:ascii="Courier New"/>
          <w:sz w:val="20"/>
        </w:rPr>
        <w:t>a</w:t>
      </w:r>
      <w:r>
        <w:rPr>
          <w:rFonts w:ascii="Courier New"/>
          <w:spacing w:val="-3"/>
          <w:sz w:val="20"/>
        </w:rPr>
        <w:t> </w:t>
      </w:r>
      <w:r>
        <w:rPr>
          <w:rFonts w:ascii="Courier New"/>
          <w:sz w:val="20"/>
        </w:rPr>
        <w:t>lower</w:t>
      </w:r>
      <w:r>
        <w:rPr>
          <w:rFonts w:ascii="Courier New"/>
          <w:spacing w:val="-3"/>
          <w:sz w:val="20"/>
        </w:rPr>
        <w:t> </w:t>
      </w:r>
      <w:r>
        <w:rPr>
          <w:rFonts w:ascii="Courier New"/>
          <w:sz w:val="20"/>
        </w:rPr>
        <w:t>low fLow = L ' Record new low</w:t>
      </w:r>
    </w:p>
    <w:p>
      <w:pPr>
        <w:spacing w:line="480" w:lineRule="auto" w:before="0"/>
        <w:ind w:left="500" w:right="5559" w:firstLine="480"/>
        <w:jc w:val="left"/>
        <w:rPr>
          <w:rFonts w:ascii="Courier New"/>
          <w:sz w:val="20"/>
        </w:rPr>
      </w:pPr>
      <w:r>
        <w:rPr>
          <w:rFonts w:ascii="Courier New"/>
          <w:sz w:val="20"/>
        </w:rPr>
        <w:t>End</w:t>
      </w:r>
      <w:r>
        <w:rPr>
          <w:rFonts w:ascii="Courier New"/>
          <w:spacing w:val="-32"/>
          <w:sz w:val="20"/>
        </w:rPr>
        <w:t> </w:t>
      </w:r>
      <w:r>
        <w:rPr>
          <w:rFonts w:ascii="Courier New"/>
          <w:sz w:val="20"/>
        </w:rPr>
        <w:t>If End If Return 0</w:t>
      </w:r>
    </w:p>
    <w:p>
      <w:pPr>
        <w:spacing w:after="0" w:line="480" w:lineRule="auto"/>
        <w:jc w:val="left"/>
        <w:rPr>
          <w:rFonts w:ascii="Courier New"/>
          <w:sz w:val="20"/>
        </w:rPr>
        <w:sectPr>
          <w:type w:val="continuous"/>
          <w:pgSz w:w="8640" w:h="12960"/>
          <w:pgMar w:header="579" w:footer="1060" w:top="1480" w:bottom="280" w:left="580" w:right="580"/>
        </w:sectPr>
      </w:pPr>
    </w:p>
    <w:p>
      <w:pPr>
        <w:pStyle w:val="BodyText"/>
        <w:rPr>
          <w:rFonts w:ascii="Courier New"/>
          <w:sz w:val="20"/>
        </w:rPr>
      </w:pPr>
    </w:p>
    <w:p>
      <w:pPr>
        <w:pStyle w:val="BodyText"/>
        <w:rPr>
          <w:rFonts w:ascii="Courier New"/>
          <w:sz w:val="20"/>
        </w:rPr>
      </w:pPr>
    </w:p>
    <w:p>
      <w:pPr>
        <w:pStyle w:val="BodyText"/>
        <w:spacing w:before="4"/>
        <w:rPr>
          <w:rFonts w:ascii="Courier New"/>
          <w:sz w:val="12"/>
        </w:rPr>
      </w:pPr>
    </w:p>
    <w:p>
      <w:pPr>
        <w:pStyle w:val="BodyText"/>
        <w:ind w:left="504"/>
        <w:rPr>
          <w:rFonts w:ascii="Courier New"/>
          <w:sz w:val="20"/>
        </w:rPr>
      </w:pPr>
      <w:r>
        <w:rPr>
          <w:rFonts w:ascii="Courier New"/>
          <w:sz w:val="20"/>
        </w:rPr>
        <w:pict>
          <v:group style="width:305.55pt;height:29pt;mso-position-horizontal-relative:char;mso-position-vertical-relative:line" id="docshapegroup1101" coordorigin="0,0" coordsize="6111,580">
            <v:rect style="position:absolute;left:19;top:0;width:6072;height:580" id="docshape1102" filled="true" fillcolor="#000000" stroked="false">
              <v:fill type="solid"/>
            </v:rect>
            <v:shape style="position:absolute;left:0;top:0;width:6111;height:580" id="docshape1103" coordorigin="0,0" coordsize="6111,580" path="m19,0l0,0,0,580,19,580,19,0xm6110,0l6091,0,6091,580,6110,580,6110,0xe" filled="true" fillcolor="#3f3f3f" stroked="false">
              <v:path arrowok="t"/>
              <v:fill type="solid"/>
            </v:shape>
            <v:shape style="position:absolute;left:19;top:0;width:6072;height:580" type="#_x0000_t202" id="docshape1104" filled="false" stroked="false">
              <v:textbox inset="0,0,0,0">
                <w:txbxContent>
                  <w:p>
                    <w:pPr>
                      <w:spacing w:line="237" w:lineRule="auto" w:before="1"/>
                      <w:ind w:left="1400" w:right="694" w:hanging="396"/>
                      <w:jc w:val="left"/>
                      <w:rPr>
                        <w:rFonts w:ascii="Verdana"/>
                        <w:sz w:val="24"/>
                      </w:rPr>
                    </w:pPr>
                    <w:r>
                      <w:rPr>
                        <w:rFonts w:ascii="Verdana"/>
                        <w:color w:val="FFFFFF"/>
                        <w:sz w:val="24"/>
                      </w:rPr>
                      <w:t>Developing Pivot Range Indicator File Name: iDevPivotRange</w:t>
                    </w:r>
                  </w:p>
                </w:txbxContent>
              </v:textbox>
              <w10:wrap type="none"/>
            </v:shape>
          </v:group>
        </w:pict>
      </w:r>
      <w:r>
        <w:rPr>
          <w:rFonts w:ascii="Courier New"/>
          <w:sz w:val="20"/>
        </w:rPr>
      </w:r>
    </w:p>
    <w:p>
      <w:pPr>
        <w:pStyle w:val="BodyText"/>
        <w:spacing w:before="3"/>
        <w:rPr>
          <w:rFonts w:ascii="Courier New"/>
          <w:sz w:val="16"/>
        </w:rPr>
      </w:pPr>
    </w:p>
    <w:p>
      <w:pPr>
        <w:spacing w:before="76"/>
        <w:ind w:left="140" w:right="0" w:firstLine="0"/>
        <w:jc w:val="left"/>
        <w:rPr>
          <w:rFonts w:ascii="Courier New"/>
          <w:sz w:val="20"/>
        </w:rPr>
      </w:pPr>
      <w:r>
        <w:rPr>
          <w:rFonts w:ascii="Courier New"/>
          <w:spacing w:val="-2"/>
          <w:sz w:val="20"/>
        </w:rPr>
        <w:t>#Indicator</w:t>
      </w:r>
    </w:p>
    <w:p>
      <w:pPr>
        <w:pStyle w:val="BodyText"/>
        <w:spacing w:before="10"/>
        <w:rPr>
          <w:rFonts w:ascii="Courier New"/>
          <w:sz w:val="19"/>
        </w:rPr>
      </w:pPr>
    </w:p>
    <w:p>
      <w:pPr>
        <w:spacing w:before="0"/>
        <w:ind w:left="140" w:right="0" w:firstLine="0"/>
        <w:jc w:val="left"/>
        <w:rPr>
          <w:rFonts w:ascii="Courier New"/>
          <w:sz w:val="20"/>
        </w:rPr>
      </w:pPr>
      <w:r>
        <w:rPr>
          <w:rFonts w:ascii="Courier New"/>
          <w:sz w:val="20"/>
        </w:rPr>
        <w:t>#PARAM</w:t>
      </w:r>
      <w:r>
        <w:rPr>
          <w:rFonts w:ascii="Courier New"/>
          <w:spacing w:val="-9"/>
          <w:sz w:val="20"/>
        </w:rPr>
        <w:t> </w:t>
      </w:r>
      <w:r>
        <w:rPr>
          <w:rFonts w:ascii="Courier New"/>
          <w:sz w:val="20"/>
        </w:rPr>
        <w:t>"Plot_Developing",</w:t>
      </w:r>
      <w:r>
        <w:rPr>
          <w:rFonts w:ascii="Courier New"/>
          <w:spacing w:val="-8"/>
          <w:sz w:val="20"/>
        </w:rPr>
        <w:t> </w:t>
      </w:r>
      <w:r>
        <w:rPr>
          <w:rFonts w:ascii="Courier New"/>
          <w:sz w:val="20"/>
        </w:rPr>
        <w:t>1,</w:t>
      </w:r>
      <w:r>
        <w:rPr>
          <w:rFonts w:ascii="Courier New"/>
          <w:spacing w:val="-9"/>
          <w:sz w:val="20"/>
        </w:rPr>
        <w:t> </w:t>
      </w:r>
      <w:r>
        <w:rPr>
          <w:rFonts w:ascii="Courier New"/>
          <w:sz w:val="20"/>
        </w:rPr>
        <w:t>0,</w:t>
      </w:r>
      <w:r>
        <w:rPr>
          <w:rFonts w:ascii="Courier New"/>
          <w:spacing w:val="-8"/>
          <w:sz w:val="20"/>
        </w:rPr>
        <w:t> </w:t>
      </w:r>
      <w:r>
        <w:rPr>
          <w:rFonts w:ascii="Courier New"/>
          <w:spacing w:val="-10"/>
          <w:sz w:val="20"/>
        </w:rPr>
        <w:t>1</w:t>
      </w:r>
    </w:p>
    <w:p>
      <w:pPr>
        <w:spacing w:before="1"/>
        <w:ind w:left="140" w:right="0" w:firstLine="0"/>
        <w:jc w:val="left"/>
        <w:rPr>
          <w:rFonts w:ascii="Courier New"/>
          <w:sz w:val="20"/>
        </w:rPr>
      </w:pPr>
      <w:r>
        <w:rPr>
          <w:rFonts w:ascii="Courier New"/>
          <w:sz w:val="20"/>
        </w:rPr>
        <w:t>#PARAM</w:t>
      </w:r>
      <w:r>
        <w:rPr>
          <w:rFonts w:ascii="Courier New"/>
          <w:spacing w:val="-8"/>
          <w:sz w:val="20"/>
        </w:rPr>
        <w:t> </w:t>
      </w:r>
      <w:r>
        <w:rPr>
          <w:rFonts w:ascii="Courier New"/>
          <w:sz w:val="20"/>
        </w:rPr>
        <w:t>"Plot_Pivots",</w:t>
      </w:r>
      <w:r>
        <w:rPr>
          <w:rFonts w:ascii="Courier New"/>
          <w:spacing w:val="-7"/>
          <w:sz w:val="20"/>
        </w:rPr>
        <w:t> </w:t>
      </w:r>
      <w:r>
        <w:rPr>
          <w:rFonts w:ascii="Courier New"/>
          <w:sz w:val="20"/>
        </w:rPr>
        <w:t>1,</w:t>
      </w:r>
      <w:r>
        <w:rPr>
          <w:rFonts w:ascii="Courier New"/>
          <w:spacing w:val="-7"/>
          <w:sz w:val="20"/>
        </w:rPr>
        <w:t> </w:t>
      </w:r>
      <w:r>
        <w:rPr>
          <w:rFonts w:ascii="Courier New"/>
          <w:sz w:val="20"/>
        </w:rPr>
        <w:t>0,</w:t>
      </w:r>
      <w:r>
        <w:rPr>
          <w:rFonts w:ascii="Courier New"/>
          <w:spacing w:val="-7"/>
          <w:sz w:val="20"/>
        </w:rPr>
        <w:t> </w:t>
      </w:r>
      <w:r>
        <w:rPr>
          <w:rFonts w:ascii="Courier New"/>
          <w:spacing w:val="-10"/>
          <w:sz w:val="20"/>
        </w:rPr>
        <w:t>1</w:t>
      </w:r>
    </w:p>
    <w:p>
      <w:pPr>
        <w:pStyle w:val="BodyText"/>
        <w:rPr>
          <w:rFonts w:ascii="Courier New"/>
          <w:sz w:val="20"/>
        </w:rPr>
      </w:pPr>
    </w:p>
    <w:p>
      <w:pPr>
        <w:tabs>
          <w:tab w:pos="3742" w:val="left" w:leader="none"/>
        </w:tabs>
        <w:spacing w:before="0"/>
        <w:ind w:left="140" w:right="2533" w:firstLine="0"/>
        <w:jc w:val="left"/>
        <w:rPr>
          <w:rFonts w:ascii="Courier New"/>
          <w:sz w:val="20"/>
        </w:rPr>
      </w:pPr>
      <w:r>
        <w:rPr>
          <w:rFonts w:ascii="Courier New"/>
          <w:sz w:val="20"/>
        </w:rPr>
        <w:t>Dim fHigh, fLow, fClose</w:t>
        <w:tab/>
        <w:t>As Single Dim fPP, fBC, fTC</w:t>
        <w:tab/>
        <w:t>As Single Dim nBreakBar, nLastBar</w:t>
        <w:tab/>
        <w:t>As</w:t>
      </w:r>
      <w:r>
        <w:rPr>
          <w:rFonts w:ascii="Courier New"/>
          <w:spacing w:val="-32"/>
          <w:sz w:val="20"/>
        </w:rPr>
        <w:t> </w:t>
      </w:r>
      <w:r>
        <w:rPr>
          <w:rFonts w:ascii="Courier New"/>
          <w:sz w:val="20"/>
        </w:rPr>
        <w:t>Integer</w:t>
      </w:r>
    </w:p>
    <w:p>
      <w:pPr>
        <w:tabs>
          <w:tab w:pos="3742" w:val="left" w:leader="none"/>
        </w:tabs>
        <w:spacing w:line="226" w:lineRule="exact" w:before="0"/>
        <w:ind w:left="14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bBreakBar</w:t>
      </w:r>
      <w:r>
        <w:rPr>
          <w:rFonts w:ascii="Courier New"/>
          <w:sz w:val="20"/>
        </w:rPr>
        <w:tab/>
        <w:t>As</w:t>
      </w:r>
      <w:r>
        <w:rPr>
          <w:rFonts w:ascii="Courier New"/>
          <w:spacing w:val="-6"/>
          <w:sz w:val="20"/>
        </w:rPr>
        <w:t> </w:t>
      </w:r>
      <w:r>
        <w:rPr>
          <w:rFonts w:ascii="Courier New"/>
          <w:sz w:val="20"/>
        </w:rPr>
        <w:t>Boolean</w:t>
      </w:r>
      <w:r>
        <w:rPr>
          <w:rFonts w:ascii="Courier New"/>
          <w:spacing w:val="-4"/>
          <w:sz w:val="20"/>
        </w:rPr>
        <w:t> </w:t>
      </w:r>
      <w:r>
        <w:rPr>
          <w:rFonts w:ascii="Courier New"/>
          <w:sz w:val="20"/>
        </w:rPr>
        <w:t>=</w:t>
      </w:r>
      <w:r>
        <w:rPr>
          <w:rFonts w:ascii="Courier New"/>
          <w:spacing w:val="-4"/>
          <w:sz w:val="20"/>
        </w:rPr>
        <w:t> </w:t>
      </w:r>
      <w:r>
        <w:rPr>
          <w:rFonts w:ascii="Courier New"/>
          <w:spacing w:val="-2"/>
          <w:sz w:val="20"/>
        </w:rPr>
        <w:t>False</w:t>
      </w:r>
    </w:p>
    <w:p>
      <w:pPr>
        <w:pStyle w:val="BodyText"/>
        <w:rPr>
          <w:rFonts w:ascii="Courier New"/>
          <w:sz w:val="20"/>
        </w:rPr>
      </w:pPr>
    </w:p>
    <w:p>
      <w:pPr>
        <w:spacing w:before="0"/>
        <w:ind w:left="140" w:right="0" w:firstLine="0"/>
        <w:jc w:val="left"/>
        <w:rPr>
          <w:rFonts w:ascii="Courier New"/>
          <w:sz w:val="20"/>
        </w:rPr>
      </w:pPr>
      <w:r>
        <w:rPr>
          <w:rFonts w:ascii="Courier New"/>
          <w:sz w:val="20"/>
        </w:rPr>
        <w:t>If</w:t>
      </w:r>
      <w:r>
        <w:rPr>
          <w:rFonts w:ascii="Courier New"/>
          <w:spacing w:val="-7"/>
          <w:sz w:val="20"/>
        </w:rPr>
        <w:t> </w:t>
      </w:r>
      <w:r>
        <w:rPr>
          <w:rFonts w:ascii="Courier New"/>
          <w:sz w:val="20"/>
        </w:rPr>
        <w:t>Periodicity</w:t>
      </w:r>
      <w:r>
        <w:rPr>
          <w:rFonts w:ascii="Courier New"/>
          <w:spacing w:val="-4"/>
          <w:sz w:val="20"/>
        </w:rPr>
        <w:t> </w:t>
      </w:r>
      <w:r>
        <w:rPr>
          <w:rFonts w:ascii="Courier New"/>
          <w:sz w:val="20"/>
        </w:rPr>
        <w:t>=</w:t>
      </w:r>
      <w:r>
        <w:rPr>
          <w:rFonts w:ascii="Courier New"/>
          <w:spacing w:val="-5"/>
          <w:sz w:val="20"/>
        </w:rPr>
        <w:t> </w:t>
      </w:r>
      <w:r>
        <w:rPr>
          <w:rFonts w:ascii="Courier New"/>
          <w:sz w:val="20"/>
        </w:rPr>
        <w:t>1</w:t>
      </w:r>
      <w:r>
        <w:rPr>
          <w:rFonts w:ascii="Courier New"/>
          <w:spacing w:val="-4"/>
          <w:sz w:val="20"/>
        </w:rPr>
        <w:t> Then</w:t>
      </w:r>
    </w:p>
    <w:p>
      <w:pPr>
        <w:spacing w:line="226" w:lineRule="exact" w:before="1"/>
        <w:ind w:left="860" w:right="0" w:firstLine="0"/>
        <w:jc w:val="left"/>
        <w:rPr>
          <w:rFonts w:ascii="Courier New"/>
          <w:sz w:val="20"/>
        </w:rPr>
      </w:pPr>
      <w:r>
        <w:rPr>
          <w:rFonts w:ascii="Courier New"/>
          <w:sz w:val="20"/>
        </w:rPr>
        <w:t>bBreakBar</w:t>
      </w:r>
      <w:r>
        <w:rPr>
          <w:rFonts w:ascii="Courier New"/>
          <w:spacing w:val="-7"/>
          <w:sz w:val="20"/>
        </w:rPr>
        <w:t> </w:t>
      </w:r>
      <w:r>
        <w:rPr>
          <w:rFonts w:ascii="Courier New"/>
          <w:sz w:val="20"/>
        </w:rPr>
        <w:t>=</w:t>
      </w:r>
      <w:r>
        <w:rPr>
          <w:rFonts w:ascii="Courier New"/>
          <w:spacing w:val="-7"/>
          <w:sz w:val="20"/>
        </w:rPr>
        <w:t> </w:t>
      </w:r>
      <w:r>
        <w:rPr>
          <w:rFonts w:ascii="Courier New"/>
          <w:sz w:val="20"/>
        </w:rPr>
        <w:t>Not</w:t>
      </w:r>
      <w:r>
        <w:rPr>
          <w:rFonts w:ascii="Courier New"/>
          <w:spacing w:val="-7"/>
          <w:sz w:val="20"/>
        </w:rPr>
        <w:t> </w:t>
      </w:r>
      <w:r>
        <w:rPr>
          <w:rFonts w:ascii="Courier New"/>
          <w:sz w:val="20"/>
        </w:rPr>
        <w:t>BarDayOfYear()</w:t>
      </w:r>
      <w:r>
        <w:rPr>
          <w:rFonts w:ascii="Courier New"/>
          <w:spacing w:val="-6"/>
          <w:sz w:val="20"/>
        </w:rPr>
        <w:t> </w:t>
      </w:r>
      <w:r>
        <w:rPr>
          <w:rFonts w:ascii="Courier New"/>
          <w:sz w:val="20"/>
        </w:rPr>
        <w:t>=</w:t>
      </w:r>
      <w:r>
        <w:rPr>
          <w:rFonts w:ascii="Courier New"/>
          <w:spacing w:val="-7"/>
          <w:sz w:val="20"/>
        </w:rPr>
        <w:t> </w:t>
      </w:r>
      <w:r>
        <w:rPr>
          <w:rFonts w:ascii="Courier New"/>
          <w:spacing w:val="-2"/>
          <w:sz w:val="20"/>
        </w:rPr>
        <w:t>BarDayOfYear()[1]</w:t>
      </w:r>
    </w:p>
    <w:p>
      <w:pPr>
        <w:spacing w:line="226" w:lineRule="exact" w:before="0"/>
        <w:ind w:left="140" w:right="0" w:firstLine="0"/>
        <w:jc w:val="left"/>
        <w:rPr>
          <w:rFonts w:ascii="Courier New"/>
          <w:sz w:val="20"/>
        </w:rPr>
      </w:pPr>
      <w:r>
        <w:rPr>
          <w:rFonts w:ascii="Courier New"/>
          <w:sz w:val="20"/>
        </w:rPr>
        <w:t>ElseIf</w:t>
      </w:r>
      <w:r>
        <w:rPr>
          <w:rFonts w:ascii="Courier New"/>
          <w:spacing w:val="-6"/>
          <w:sz w:val="20"/>
        </w:rPr>
        <w:t> </w:t>
      </w:r>
      <w:r>
        <w:rPr>
          <w:rFonts w:ascii="Courier New"/>
          <w:sz w:val="20"/>
        </w:rPr>
        <w:t>Periodicity</w:t>
      </w:r>
      <w:r>
        <w:rPr>
          <w:rFonts w:ascii="Courier New"/>
          <w:spacing w:val="-6"/>
          <w:sz w:val="20"/>
        </w:rPr>
        <w:t> </w:t>
      </w:r>
      <w:r>
        <w:rPr>
          <w:rFonts w:ascii="Courier New"/>
          <w:sz w:val="20"/>
        </w:rPr>
        <w:t>=</w:t>
      </w:r>
      <w:r>
        <w:rPr>
          <w:rFonts w:ascii="Courier New"/>
          <w:spacing w:val="-6"/>
          <w:sz w:val="20"/>
        </w:rPr>
        <w:t> </w:t>
      </w:r>
      <w:r>
        <w:rPr>
          <w:rFonts w:ascii="Courier New"/>
          <w:sz w:val="20"/>
        </w:rPr>
        <w:t>2</w:t>
      </w:r>
      <w:r>
        <w:rPr>
          <w:rFonts w:ascii="Courier New"/>
          <w:spacing w:val="-5"/>
          <w:sz w:val="20"/>
        </w:rPr>
        <w:t> </w:t>
      </w:r>
      <w:r>
        <w:rPr>
          <w:rFonts w:ascii="Courier New"/>
          <w:spacing w:val="-4"/>
          <w:sz w:val="20"/>
        </w:rPr>
        <w:t>Then</w:t>
      </w:r>
    </w:p>
    <w:p>
      <w:pPr>
        <w:spacing w:before="0"/>
        <w:ind w:left="860" w:right="0" w:firstLine="0"/>
        <w:jc w:val="left"/>
        <w:rPr>
          <w:rFonts w:ascii="Courier New"/>
          <w:sz w:val="20"/>
        </w:rPr>
      </w:pPr>
      <w:r>
        <w:rPr>
          <w:rFonts w:ascii="Courier New"/>
          <w:sz w:val="20"/>
        </w:rPr>
        <w:t>bBreakBar</w:t>
      </w:r>
      <w:r>
        <w:rPr>
          <w:rFonts w:ascii="Courier New"/>
          <w:spacing w:val="-6"/>
          <w:sz w:val="20"/>
        </w:rPr>
        <w:t> </w:t>
      </w:r>
      <w:r>
        <w:rPr>
          <w:rFonts w:ascii="Courier New"/>
          <w:sz w:val="20"/>
        </w:rPr>
        <w:t>=</w:t>
      </w:r>
      <w:r>
        <w:rPr>
          <w:rFonts w:ascii="Courier New"/>
          <w:spacing w:val="-6"/>
          <w:sz w:val="20"/>
        </w:rPr>
        <w:t> </w:t>
      </w:r>
      <w:r>
        <w:rPr>
          <w:rFonts w:ascii="Courier New"/>
          <w:sz w:val="20"/>
        </w:rPr>
        <w:t>Not</w:t>
      </w:r>
      <w:r>
        <w:rPr>
          <w:rFonts w:ascii="Courier New"/>
          <w:spacing w:val="-6"/>
          <w:sz w:val="20"/>
        </w:rPr>
        <w:t> </w:t>
      </w:r>
      <w:r>
        <w:rPr>
          <w:rFonts w:ascii="Courier New"/>
          <w:sz w:val="20"/>
        </w:rPr>
        <w:t>BarMonth()</w:t>
      </w:r>
      <w:r>
        <w:rPr>
          <w:rFonts w:ascii="Courier New"/>
          <w:spacing w:val="-6"/>
          <w:sz w:val="20"/>
        </w:rPr>
        <w:t> </w:t>
      </w:r>
      <w:r>
        <w:rPr>
          <w:rFonts w:ascii="Courier New"/>
          <w:sz w:val="20"/>
        </w:rPr>
        <w:t>=</w:t>
      </w:r>
      <w:r>
        <w:rPr>
          <w:rFonts w:ascii="Courier New"/>
          <w:spacing w:val="-5"/>
          <w:sz w:val="20"/>
        </w:rPr>
        <w:t> </w:t>
      </w:r>
      <w:r>
        <w:rPr>
          <w:rFonts w:ascii="Courier New"/>
          <w:spacing w:val="-2"/>
          <w:sz w:val="20"/>
        </w:rPr>
        <w:t>BarMonth()[1]</w:t>
      </w:r>
    </w:p>
    <w:p>
      <w:pPr>
        <w:spacing w:before="0"/>
        <w:ind w:left="140" w:right="0" w:firstLine="0"/>
        <w:jc w:val="left"/>
        <w:rPr>
          <w:rFonts w:ascii="Courier New"/>
          <w:sz w:val="20"/>
        </w:rPr>
      </w:pPr>
      <w:r>
        <w:rPr>
          <w:rFonts w:ascii="Courier New"/>
          <w:spacing w:val="-4"/>
          <w:sz w:val="20"/>
        </w:rPr>
        <w:t>Else</w:t>
      </w:r>
    </w:p>
    <w:p>
      <w:pPr>
        <w:spacing w:before="0"/>
        <w:ind w:left="860" w:right="0" w:firstLine="0"/>
        <w:jc w:val="left"/>
        <w:rPr>
          <w:rFonts w:ascii="Courier New"/>
          <w:sz w:val="20"/>
        </w:rPr>
      </w:pPr>
      <w:r>
        <w:rPr>
          <w:rFonts w:ascii="Courier New"/>
          <w:sz w:val="20"/>
        </w:rPr>
        <w:t>bBreakBar</w:t>
      </w:r>
      <w:r>
        <w:rPr>
          <w:rFonts w:ascii="Courier New"/>
          <w:spacing w:val="-8"/>
          <w:sz w:val="20"/>
        </w:rPr>
        <w:t> </w:t>
      </w:r>
      <w:r>
        <w:rPr>
          <w:rFonts w:ascii="Courier New"/>
          <w:sz w:val="20"/>
        </w:rPr>
        <w:t>=</w:t>
      </w:r>
      <w:r>
        <w:rPr>
          <w:rFonts w:ascii="Courier New"/>
          <w:spacing w:val="-6"/>
          <w:sz w:val="20"/>
        </w:rPr>
        <w:t> </w:t>
      </w:r>
      <w:r>
        <w:rPr>
          <w:rFonts w:ascii="Courier New"/>
          <w:spacing w:val="-2"/>
          <w:sz w:val="20"/>
        </w:rPr>
        <w:t>False</w:t>
      </w:r>
    </w:p>
    <w:p>
      <w:pPr>
        <w:spacing w:before="1"/>
        <w:ind w:left="1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pStyle w:val="BodyText"/>
        <w:spacing w:before="10"/>
        <w:rPr>
          <w:rFonts w:ascii="Courier New"/>
          <w:sz w:val="19"/>
        </w:rPr>
      </w:pPr>
    </w:p>
    <w:p>
      <w:pPr>
        <w:spacing w:before="0"/>
        <w:ind w:left="140" w:right="519" w:firstLine="0"/>
        <w:jc w:val="left"/>
        <w:rPr>
          <w:rFonts w:ascii="Courier New"/>
          <w:sz w:val="20"/>
        </w:rPr>
      </w:pPr>
      <w:r>
        <w:rPr>
          <w:rFonts w:ascii="Courier New"/>
          <w:sz w:val="20"/>
        </w:rPr>
        <w:t>If</w:t>
      </w:r>
      <w:r>
        <w:rPr>
          <w:rFonts w:ascii="Courier New"/>
          <w:spacing w:val="-5"/>
          <w:sz w:val="20"/>
        </w:rPr>
        <w:t> </w:t>
      </w:r>
      <w:r>
        <w:rPr>
          <w:rFonts w:ascii="Courier New"/>
          <w:sz w:val="20"/>
        </w:rPr>
        <w:t>Plot_Pivots</w:t>
      </w:r>
      <w:r>
        <w:rPr>
          <w:rFonts w:ascii="Courier New"/>
          <w:spacing w:val="-5"/>
          <w:sz w:val="20"/>
        </w:rPr>
        <w:t> </w:t>
      </w:r>
      <w:r>
        <w:rPr>
          <w:rFonts w:ascii="Courier New"/>
          <w:sz w:val="20"/>
        </w:rPr>
        <w:t>=</w:t>
      </w:r>
      <w:r>
        <w:rPr>
          <w:rFonts w:ascii="Courier New"/>
          <w:spacing w:val="-5"/>
          <w:sz w:val="20"/>
        </w:rPr>
        <w:t> </w:t>
      </w:r>
      <w:r>
        <w:rPr>
          <w:rFonts w:ascii="Courier New"/>
          <w:sz w:val="20"/>
        </w:rPr>
        <w:t>1</w:t>
      </w:r>
      <w:r>
        <w:rPr>
          <w:rFonts w:ascii="Courier New"/>
          <w:spacing w:val="-5"/>
          <w:sz w:val="20"/>
        </w:rPr>
        <w:t> </w:t>
      </w:r>
      <w:r>
        <w:rPr>
          <w:rFonts w:ascii="Courier New"/>
          <w:sz w:val="20"/>
        </w:rPr>
        <w:t>And</w:t>
      </w:r>
      <w:r>
        <w:rPr>
          <w:rFonts w:ascii="Courier New"/>
          <w:spacing w:val="-5"/>
          <w:sz w:val="20"/>
        </w:rPr>
        <w:t> </w:t>
      </w:r>
      <w:r>
        <w:rPr>
          <w:rFonts w:ascii="Courier New"/>
          <w:sz w:val="20"/>
        </w:rPr>
        <w:t>(bBreakBar</w:t>
      </w:r>
      <w:r>
        <w:rPr>
          <w:rFonts w:ascii="Courier New"/>
          <w:spacing w:val="-5"/>
          <w:sz w:val="20"/>
        </w:rPr>
        <w:t> </w:t>
      </w:r>
      <w:r>
        <w:rPr>
          <w:rFonts w:ascii="Courier New"/>
          <w:sz w:val="20"/>
        </w:rPr>
        <w:t>Or</w:t>
      </w:r>
      <w:r>
        <w:rPr>
          <w:rFonts w:ascii="Courier New"/>
          <w:spacing w:val="-5"/>
          <w:sz w:val="20"/>
        </w:rPr>
        <w:t> </w:t>
      </w:r>
      <w:r>
        <w:rPr>
          <w:rFonts w:ascii="Courier New"/>
          <w:sz w:val="20"/>
        </w:rPr>
        <w:t>Bar</w:t>
      </w:r>
      <w:r>
        <w:rPr>
          <w:rFonts w:ascii="Courier New"/>
          <w:spacing w:val="-5"/>
          <w:sz w:val="20"/>
        </w:rPr>
        <w:t> </w:t>
      </w:r>
      <w:r>
        <w:rPr>
          <w:rFonts w:ascii="Courier New"/>
          <w:sz w:val="20"/>
        </w:rPr>
        <w:t>= SymbolData.NumRec - 1) Then</w:t>
      </w:r>
    </w:p>
    <w:p>
      <w:pPr>
        <w:spacing w:before="1"/>
        <w:ind w:left="1580" w:right="1693" w:hanging="721"/>
        <w:jc w:val="left"/>
        <w:rPr>
          <w:rFonts w:ascii="Courier New"/>
          <w:sz w:val="20"/>
        </w:rPr>
      </w:pPr>
      <w:r>
        <w:rPr>
          <w:rFonts w:ascii="Courier New"/>
          <w:sz w:val="20"/>
        </w:rPr>
        <w:t>If</w:t>
      </w:r>
      <w:r>
        <w:rPr>
          <w:rFonts w:ascii="Courier New"/>
          <w:spacing w:val="-6"/>
          <w:sz w:val="20"/>
        </w:rPr>
        <w:t> </w:t>
      </w:r>
      <w:r>
        <w:rPr>
          <w:rFonts w:ascii="Courier New"/>
          <w:sz w:val="20"/>
        </w:rPr>
        <w:t>Bar</w:t>
      </w:r>
      <w:r>
        <w:rPr>
          <w:rFonts w:ascii="Courier New"/>
          <w:spacing w:val="-6"/>
          <w:sz w:val="20"/>
        </w:rPr>
        <w:t> </w:t>
      </w:r>
      <w:r>
        <w:rPr>
          <w:rFonts w:ascii="Courier New"/>
          <w:sz w:val="20"/>
        </w:rPr>
        <w:t>=</w:t>
      </w:r>
      <w:r>
        <w:rPr>
          <w:rFonts w:ascii="Courier New"/>
          <w:spacing w:val="-6"/>
          <w:sz w:val="20"/>
        </w:rPr>
        <w:t> </w:t>
      </w:r>
      <w:r>
        <w:rPr>
          <w:rFonts w:ascii="Courier New"/>
          <w:sz w:val="20"/>
        </w:rPr>
        <w:t>SymbolData.NumRec</w:t>
      </w:r>
      <w:r>
        <w:rPr>
          <w:rFonts w:ascii="Courier New"/>
          <w:spacing w:val="-6"/>
          <w:sz w:val="20"/>
        </w:rPr>
        <w:t> </w:t>
      </w:r>
      <w:r>
        <w:rPr>
          <w:rFonts w:ascii="Courier New"/>
          <w:sz w:val="20"/>
        </w:rPr>
        <w:t>-</w:t>
      </w:r>
      <w:r>
        <w:rPr>
          <w:rFonts w:ascii="Courier New"/>
          <w:spacing w:val="-6"/>
          <w:sz w:val="20"/>
        </w:rPr>
        <w:t> </w:t>
      </w:r>
      <w:r>
        <w:rPr>
          <w:rFonts w:ascii="Courier New"/>
          <w:sz w:val="20"/>
        </w:rPr>
        <w:t>1</w:t>
      </w:r>
      <w:r>
        <w:rPr>
          <w:rFonts w:ascii="Courier New"/>
          <w:spacing w:val="-6"/>
          <w:sz w:val="20"/>
        </w:rPr>
        <w:t> </w:t>
      </w:r>
      <w:r>
        <w:rPr>
          <w:rFonts w:ascii="Courier New"/>
          <w:sz w:val="20"/>
        </w:rPr>
        <w:t>Then nLastBar = Bar</w:t>
      </w:r>
    </w:p>
    <w:p>
      <w:pPr>
        <w:spacing w:line="226" w:lineRule="exact" w:before="0"/>
        <w:ind w:left="860" w:right="0" w:firstLine="0"/>
        <w:jc w:val="left"/>
        <w:rPr>
          <w:rFonts w:ascii="Courier New"/>
          <w:sz w:val="20"/>
        </w:rPr>
      </w:pPr>
      <w:r>
        <w:rPr>
          <w:rFonts w:ascii="Courier New"/>
          <w:spacing w:val="-4"/>
          <w:sz w:val="20"/>
        </w:rPr>
        <w:t>Else</w:t>
      </w:r>
    </w:p>
    <w:p>
      <w:pPr>
        <w:spacing w:before="0"/>
        <w:ind w:left="1580" w:right="0" w:firstLine="0"/>
        <w:jc w:val="left"/>
        <w:rPr>
          <w:rFonts w:ascii="Courier New"/>
          <w:sz w:val="20"/>
        </w:rPr>
      </w:pPr>
      <w:r>
        <w:rPr>
          <w:rFonts w:ascii="Courier New"/>
          <w:sz w:val="20"/>
        </w:rPr>
        <w:t>nLastBar</w:t>
      </w:r>
      <w:r>
        <w:rPr>
          <w:rFonts w:ascii="Courier New"/>
          <w:spacing w:val="-4"/>
          <w:sz w:val="20"/>
        </w:rPr>
        <w:t> </w:t>
      </w:r>
      <w:r>
        <w:rPr>
          <w:rFonts w:ascii="Courier New"/>
          <w:sz w:val="20"/>
        </w:rPr>
        <w:t>=</w:t>
      </w:r>
      <w:r>
        <w:rPr>
          <w:rFonts w:ascii="Courier New"/>
          <w:spacing w:val="-4"/>
          <w:sz w:val="20"/>
        </w:rPr>
        <w:t> </w:t>
      </w:r>
      <w:r>
        <w:rPr>
          <w:rFonts w:ascii="Courier New"/>
          <w:sz w:val="20"/>
        </w:rPr>
        <w:t>Bar</w:t>
      </w:r>
      <w:r>
        <w:rPr>
          <w:rFonts w:ascii="Courier New"/>
          <w:spacing w:val="-4"/>
          <w:sz w:val="20"/>
        </w:rPr>
        <w:t> </w:t>
      </w:r>
      <w:r>
        <w:rPr>
          <w:rFonts w:ascii="Courier New"/>
          <w:sz w:val="20"/>
        </w:rPr>
        <w:t>-</w:t>
      </w:r>
      <w:r>
        <w:rPr>
          <w:rFonts w:ascii="Courier New"/>
          <w:spacing w:val="-4"/>
          <w:sz w:val="20"/>
        </w:rPr>
        <w:t> </w:t>
      </w:r>
      <w:r>
        <w:rPr>
          <w:rFonts w:ascii="Courier New"/>
          <w:spacing w:val="-10"/>
          <w:sz w:val="20"/>
        </w:rPr>
        <w:t>1</w:t>
      </w:r>
    </w:p>
    <w:p>
      <w:pPr>
        <w:spacing w:before="0"/>
        <w:ind w:left="86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pStyle w:val="BodyText"/>
        <w:rPr>
          <w:rFonts w:ascii="Courier New"/>
          <w:sz w:val="20"/>
        </w:rPr>
      </w:pPr>
    </w:p>
    <w:p>
      <w:pPr>
        <w:spacing w:before="1"/>
        <w:ind w:left="140" w:right="224" w:firstLine="720"/>
        <w:jc w:val="left"/>
        <w:rPr>
          <w:rFonts w:ascii="Courier New"/>
          <w:sz w:val="20"/>
        </w:rPr>
      </w:pPr>
      <w:r>
        <w:rPr>
          <w:rFonts w:ascii="Courier New"/>
          <w:sz w:val="20"/>
        </w:rPr>
        <w:t>PlotPriceTrendLine("Central Pivot", nBreakBar-1, fPP[Bar</w:t>
      </w:r>
      <w:r>
        <w:rPr>
          <w:rFonts w:ascii="Courier New"/>
          <w:spacing w:val="-4"/>
          <w:sz w:val="20"/>
        </w:rPr>
        <w:t> </w:t>
      </w:r>
      <w:r>
        <w:rPr>
          <w:rFonts w:ascii="Courier New"/>
          <w:sz w:val="20"/>
        </w:rPr>
        <w:t>-</w:t>
      </w:r>
      <w:r>
        <w:rPr>
          <w:rFonts w:ascii="Courier New"/>
          <w:spacing w:val="-4"/>
          <w:sz w:val="20"/>
        </w:rPr>
        <w:t> </w:t>
      </w:r>
      <w:r>
        <w:rPr>
          <w:rFonts w:ascii="Courier New"/>
          <w:sz w:val="20"/>
        </w:rPr>
        <w:t>nBreakBar</w:t>
      </w:r>
      <w:r>
        <w:rPr>
          <w:rFonts w:ascii="Courier New"/>
          <w:spacing w:val="-4"/>
          <w:sz w:val="20"/>
        </w:rPr>
        <w:t> </w:t>
      </w:r>
      <w:r>
        <w:rPr>
          <w:rFonts w:ascii="Courier New"/>
          <w:sz w:val="20"/>
        </w:rPr>
        <w:t>+</w:t>
      </w:r>
      <w:r>
        <w:rPr>
          <w:rFonts w:ascii="Courier New"/>
          <w:spacing w:val="-4"/>
          <w:sz w:val="20"/>
        </w:rPr>
        <w:t> </w:t>
      </w:r>
      <w:r>
        <w:rPr>
          <w:rFonts w:ascii="Courier New"/>
          <w:sz w:val="20"/>
        </w:rPr>
        <w:t>1],</w:t>
      </w:r>
      <w:r>
        <w:rPr>
          <w:rFonts w:ascii="Courier New"/>
          <w:spacing w:val="-4"/>
          <w:sz w:val="20"/>
        </w:rPr>
        <w:t> </w:t>
      </w:r>
      <w:r>
        <w:rPr>
          <w:rFonts w:ascii="Courier New"/>
          <w:sz w:val="20"/>
        </w:rPr>
        <w:t>nLastBar,</w:t>
      </w:r>
      <w:r>
        <w:rPr>
          <w:rFonts w:ascii="Courier New"/>
          <w:spacing w:val="-4"/>
          <w:sz w:val="20"/>
        </w:rPr>
        <w:t> </w:t>
      </w:r>
      <w:r>
        <w:rPr>
          <w:rFonts w:ascii="Courier New"/>
          <w:sz w:val="20"/>
        </w:rPr>
        <w:t>fPP[Bar</w:t>
      </w:r>
      <w:r>
        <w:rPr>
          <w:rFonts w:ascii="Courier New"/>
          <w:spacing w:val="-4"/>
          <w:sz w:val="20"/>
        </w:rPr>
        <w:t> </w:t>
      </w:r>
      <w:r>
        <w:rPr>
          <w:rFonts w:ascii="Courier New"/>
          <w:sz w:val="20"/>
        </w:rPr>
        <w:t>-</w:t>
      </w:r>
      <w:r>
        <w:rPr>
          <w:rFonts w:ascii="Courier New"/>
          <w:spacing w:val="-4"/>
          <w:sz w:val="20"/>
        </w:rPr>
        <w:t> </w:t>
      </w:r>
      <w:r>
        <w:rPr>
          <w:rFonts w:ascii="Courier New"/>
          <w:sz w:val="20"/>
        </w:rPr>
        <w:t>nBreakBar</w:t>
      </w:r>
    </w:p>
    <w:p>
      <w:pPr>
        <w:spacing w:line="226" w:lineRule="exact" w:before="0"/>
        <w:ind w:left="140" w:right="0" w:firstLine="0"/>
        <w:jc w:val="left"/>
        <w:rPr>
          <w:rFonts w:ascii="Courier New"/>
          <w:sz w:val="20"/>
        </w:rPr>
      </w:pPr>
      <w:r>
        <w:rPr>
          <w:rFonts w:ascii="Courier New"/>
          <w:sz w:val="20"/>
        </w:rPr>
        <w:t>+</w:t>
      </w:r>
      <w:r>
        <w:rPr>
          <w:rFonts w:ascii="Courier New"/>
          <w:spacing w:val="-3"/>
          <w:sz w:val="20"/>
        </w:rPr>
        <w:t> </w:t>
      </w:r>
      <w:r>
        <w:rPr>
          <w:rFonts w:ascii="Courier New"/>
          <w:sz w:val="20"/>
        </w:rPr>
        <w:t>1],</w:t>
      </w:r>
      <w:r>
        <w:rPr>
          <w:rFonts w:ascii="Courier New"/>
          <w:spacing w:val="-2"/>
          <w:sz w:val="20"/>
        </w:rPr>
        <w:t> fuchsia)</w:t>
      </w:r>
    </w:p>
    <w:p>
      <w:pPr>
        <w:spacing w:before="0"/>
        <w:ind w:left="140" w:right="519" w:firstLine="720"/>
        <w:jc w:val="left"/>
        <w:rPr>
          <w:rFonts w:ascii="Courier New"/>
          <w:sz w:val="20"/>
        </w:rPr>
      </w:pPr>
      <w:r>
        <w:rPr>
          <w:rFonts w:ascii="Courier New"/>
          <w:sz w:val="20"/>
        </w:rPr>
        <w:t>PlotPriceTrendLine("Top Pivot", nBreakBar-1, fTC[Bar</w:t>
      </w:r>
      <w:r>
        <w:rPr>
          <w:rFonts w:ascii="Courier New"/>
          <w:spacing w:val="-4"/>
          <w:sz w:val="20"/>
        </w:rPr>
        <w:t> </w:t>
      </w:r>
      <w:r>
        <w:rPr>
          <w:rFonts w:ascii="Courier New"/>
          <w:sz w:val="20"/>
        </w:rPr>
        <w:t>-</w:t>
      </w:r>
      <w:r>
        <w:rPr>
          <w:rFonts w:ascii="Courier New"/>
          <w:spacing w:val="-4"/>
          <w:sz w:val="20"/>
        </w:rPr>
        <w:t> </w:t>
      </w:r>
      <w:r>
        <w:rPr>
          <w:rFonts w:ascii="Courier New"/>
          <w:sz w:val="20"/>
        </w:rPr>
        <w:t>nBreakBar</w:t>
      </w:r>
      <w:r>
        <w:rPr>
          <w:rFonts w:ascii="Courier New"/>
          <w:spacing w:val="-4"/>
          <w:sz w:val="20"/>
        </w:rPr>
        <w:t> </w:t>
      </w:r>
      <w:r>
        <w:rPr>
          <w:rFonts w:ascii="Courier New"/>
          <w:sz w:val="20"/>
        </w:rPr>
        <w:t>+</w:t>
      </w:r>
      <w:r>
        <w:rPr>
          <w:rFonts w:ascii="Courier New"/>
          <w:spacing w:val="-4"/>
          <w:sz w:val="20"/>
        </w:rPr>
        <w:t> </w:t>
      </w:r>
      <w:r>
        <w:rPr>
          <w:rFonts w:ascii="Courier New"/>
          <w:sz w:val="20"/>
        </w:rPr>
        <w:t>1],</w:t>
      </w:r>
      <w:r>
        <w:rPr>
          <w:rFonts w:ascii="Courier New"/>
          <w:spacing w:val="-4"/>
          <w:sz w:val="20"/>
        </w:rPr>
        <w:t> </w:t>
      </w:r>
      <w:r>
        <w:rPr>
          <w:rFonts w:ascii="Courier New"/>
          <w:sz w:val="20"/>
        </w:rPr>
        <w:t>nLastBar,</w:t>
      </w:r>
      <w:r>
        <w:rPr>
          <w:rFonts w:ascii="Courier New"/>
          <w:spacing w:val="-4"/>
          <w:sz w:val="20"/>
        </w:rPr>
        <w:t> </w:t>
      </w:r>
      <w:r>
        <w:rPr>
          <w:rFonts w:ascii="Courier New"/>
          <w:sz w:val="20"/>
        </w:rPr>
        <w:t>fTC[Bar</w:t>
      </w:r>
      <w:r>
        <w:rPr>
          <w:rFonts w:ascii="Courier New"/>
          <w:spacing w:val="-4"/>
          <w:sz w:val="20"/>
        </w:rPr>
        <w:t> </w:t>
      </w:r>
      <w:r>
        <w:rPr>
          <w:rFonts w:ascii="Courier New"/>
          <w:sz w:val="20"/>
        </w:rPr>
        <w:t>-</w:t>
      </w:r>
      <w:r>
        <w:rPr>
          <w:rFonts w:ascii="Courier New"/>
          <w:spacing w:val="-4"/>
          <w:sz w:val="20"/>
        </w:rPr>
        <w:t> </w:t>
      </w:r>
      <w:r>
        <w:rPr>
          <w:rFonts w:ascii="Courier New"/>
          <w:sz w:val="20"/>
        </w:rPr>
        <w:t>nBreakBar</w:t>
      </w:r>
    </w:p>
    <w:p>
      <w:pPr>
        <w:spacing w:line="226" w:lineRule="exact" w:before="0"/>
        <w:ind w:left="140" w:right="0" w:firstLine="0"/>
        <w:jc w:val="left"/>
        <w:rPr>
          <w:rFonts w:ascii="Courier New"/>
          <w:sz w:val="20"/>
        </w:rPr>
      </w:pPr>
      <w:r>
        <w:rPr>
          <w:rFonts w:ascii="Courier New"/>
          <w:sz w:val="20"/>
        </w:rPr>
        <w:t>+</w:t>
      </w:r>
      <w:r>
        <w:rPr>
          <w:rFonts w:ascii="Courier New"/>
          <w:spacing w:val="-3"/>
          <w:sz w:val="20"/>
        </w:rPr>
        <w:t> </w:t>
      </w:r>
      <w:r>
        <w:rPr>
          <w:rFonts w:ascii="Courier New"/>
          <w:sz w:val="20"/>
        </w:rPr>
        <w:t>1],</w:t>
      </w:r>
      <w:r>
        <w:rPr>
          <w:rFonts w:ascii="Courier New"/>
          <w:spacing w:val="-2"/>
          <w:sz w:val="20"/>
        </w:rPr>
        <w:t> fuchsia)</w:t>
      </w:r>
    </w:p>
    <w:p>
      <w:pPr>
        <w:spacing w:before="0"/>
        <w:ind w:left="140" w:right="224" w:firstLine="720"/>
        <w:jc w:val="left"/>
        <w:rPr>
          <w:rFonts w:ascii="Courier New"/>
          <w:sz w:val="20"/>
        </w:rPr>
      </w:pPr>
      <w:r>
        <w:rPr>
          <w:rFonts w:ascii="Courier New"/>
          <w:sz w:val="20"/>
        </w:rPr>
        <w:t>PlotPriceTrendLine("Bottom Pivot", nBreakBar-1, fBC[Bar</w:t>
      </w:r>
      <w:r>
        <w:rPr>
          <w:rFonts w:ascii="Courier New"/>
          <w:spacing w:val="-4"/>
          <w:sz w:val="20"/>
        </w:rPr>
        <w:t> </w:t>
      </w:r>
      <w:r>
        <w:rPr>
          <w:rFonts w:ascii="Courier New"/>
          <w:sz w:val="20"/>
        </w:rPr>
        <w:t>-</w:t>
      </w:r>
      <w:r>
        <w:rPr>
          <w:rFonts w:ascii="Courier New"/>
          <w:spacing w:val="-4"/>
          <w:sz w:val="20"/>
        </w:rPr>
        <w:t> </w:t>
      </w:r>
      <w:r>
        <w:rPr>
          <w:rFonts w:ascii="Courier New"/>
          <w:sz w:val="20"/>
        </w:rPr>
        <w:t>nBreakBar</w:t>
      </w:r>
      <w:r>
        <w:rPr>
          <w:rFonts w:ascii="Courier New"/>
          <w:spacing w:val="-4"/>
          <w:sz w:val="20"/>
        </w:rPr>
        <w:t> </w:t>
      </w:r>
      <w:r>
        <w:rPr>
          <w:rFonts w:ascii="Courier New"/>
          <w:sz w:val="20"/>
        </w:rPr>
        <w:t>+</w:t>
      </w:r>
      <w:r>
        <w:rPr>
          <w:rFonts w:ascii="Courier New"/>
          <w:spacing w:val="-4"/>
          <w:sz w:val="20"/>
        </w:rPr>
        <w:t> </w:t>
      </w:r>
      <w:r>
        <w:rPr>
          <w:rFonts w:ascii="Courier New"/>
          <w:sz w:val="20"/>
        </w:rPr>
        <w:t>1],</w:t>
      </w:r>
      <w:r>
        <w:rPr>
          <w:rFonts w:ascii="Courier New"/>
          <w:spacing w:val="-4"/>
          <w:sz w:val="20"/>
        </w:rPr>
        <w:t> </w:t>
      </w:r>
      <w:r>
        <w:rPr>
          <w:rFonts w:ascii="Courier New"/>
          <w:sz w:val="20"/>
        </w:rPr>
        <w:t>nLastBar,</w:t>
      </w:r>
      <w:r>
        <w:rPr>
          <w:rFonts w:ascii="Courier New"/>
          <w:spacing w:val="-4"/>
          <w:sz w:val="20"/>
        </w:rPr>
        <w:t> </w:t>
      </w:r>
      <w:r>
        <w:rPr>
          <w:rFonts w:ascii="Courier New"/>
          <w:sz w:val="20"/>
        </w:rPr>
        <w:t>fBC[Bar</w:t>
      </w:r>
      <w:r>
        <w:rPr>
          <w:rFonts w:ascii="Courier New"/>
          <w:spacing w:val="-4"/>
          <w:sz w:val="20"/>
        </w:rPr>
        <w:t> </w:t>
      </w:r>
      <w:r>
        <w:rPr>
          <w:rFonts w:ascii="Courier New"/>
          <w:sz w:val="20"/>
        </w:rPr>
        <w:t>-</w:t>
      </w:r>
      <w:r>
        <w:rPr>
          <w:rFonts w:ascii="Courier New"/>
          <w:spacing w:val="-4"/>
          <w:sz w:val="20"/>
        </w:rPr>
        <w:t> </w:t>
      </w:r>
      <w:r>
        <w:rPr>
          <w:rFonts w:ascii="Courier New"/>
          <w:sz w:val="20"/>
        </w:rPr>
        <w:t>nBreakBar</w:t>
      </w:r>
    </w:p>
    <w:p>
      <w:pPr>
        <w:spacing w:before="0"/>
        <w:ind w:left="140" w:right="5559" w:firstLine="0"/>
        <w:jc w:val="left"/>
        <w:rPr>
          <w:rFonts w:ascii="Courier New"/>
          <w:sz w:val="20"/>
        </w:rPr>
      </w:pPr>
      <w:r>
        <w:rPr>
          <w:rFonts w:ascii="Courier New"/>
          <w:sz w:val="20"/>
        </w:rPr>
        <w:t>+</w:t>
      </w:r>
      <w:r>
        <w:rPr>
          <w:rFonts w:ascii="Courier New"/>
          <w:spacing w:val="-19"/>
          <w:sz w:val="20"/>
        </w:rPr>
        <w:t> </w:t>
      </w:r>
      <w:r>
        <w:rPr>
          <w:rFonts w:ascii="Courier New"/>
          <w:sz w:val="20"/>
        </w:rPr>
        <w:t>1],</w:t>
      </w:r>
      <w:r>
        <w:rPr>
          <w:rFonts w:ascii="Courier New"/>
          <w:spacing w:val="-19"/>
          <w:sz w:val="20"/>
        </w:rPr>
        <w:t> </w:t>
      </w:r>
      <w:r>
        <w:rPr>
          <w:rFonts w:ascii="Courier New"/>
          <w:sz w:val="20"/>
        </w:rPr>
        <w:t>fuchsia) End If</w:t>
      </w:r>
    </w:p>
    <w:p>
      <w:pPr>
        <w:pStyle w:val="BodyText"/>
        <w:rPr>
          <w:rFonts w:ascii="Courier New"/>
          <w:sz w:val="20"/>
        </w:rPr>
      </w:pPr>
    </w:p>
    <w:p>
      <w:pPr>
        <w:spacing w:before="0"/>
        <w:ind w:left="620" w:right="3806" w:hanging="481"/>
        <w:jc w:val="left"/>
        <w:rPr>
          <w:rFonts w:ascii="Courier New"/>
          <w:sz w:val="20"/>
        </w:rPr>
      </w:pPr>
      <w:r>
        <w:rPr>
          <w:rFonts w:ascii="Courier New"/>
          <w:sz w:val="20"/>
        </w:rPr>
        <w:t>If</w:t>
      </w:r>
      <w:r>
        <w:rPr>
          <w:rFonts w:ascii="Courier New"/>
          <w:spacing w:val="-6"/>
          <w:sz w:val="20"/>
        </w:rPr>
        <w:t> </w:t>
      </w:r>
      <w:r>
        <w:rPr>
          <w:rFonts w:ascii="Courier New"/>
          <w:sz w:val="20"/>
        </w:rPr>
        <w:t>Bar</w:t>
      </w:r>
      <w:r>
        <w:rPr>
          <w:rFonts w:ascii="Courier New"/>
          <w:spacing w:val="-6"/>
          <w:sz w:val="20"/>
        </w:rPr>
        <w:t> </w:t>
      </w:r>
      <w:r>
        <w:rPr>
          <w:rFonts w:ascii="Courier New"/>
          <w:sz w:val="20"/>
        </w:rPr>
        <w:t>=</w:t>
      </w:r>
      <w:r>
        <w:rPr>
          <w:rFonts w:ascii="Courier New"/>
          <w:spacing w:val="-6"/>
          <w:sz w:val="20"/>
        </w:rPr>
        <w:t> </w:t>
      </w:r>
      <w:r>
        <w:rPr>
          <w:rFonts w:ascii="Courier New"/>
          <w:sz w:val="20"/>
        </w:rPr>
        <w:t>0</w:t>
      </w:r>
      <w:r>
        <w:rPr>
          <w:rFonts w:ascii="Courier New"/>
          <w:spacing w:val="-6"/>
          <w:sz w:val="20"/>
        </w:rPr>
        <w:t> </w:t>
      </w:r>
      <w:r>
        <w:rPr>
          <w:rFonts w:ascii="Courier New"/>
          <w:sz w:val="20"/>
        </w:rPr>
        <w:t>Or</w:t>
      </w:r>
      <w:r>
        <w:rPr>
          <w:rFonts w:ascii="Courier New"/>
          <w:spacing w:val="-6"/>
          <w:sz w:val="20"/>
        </w:rPr>
        <w:t> </w:t>
      </w:r>
      <w:r>
        <w:rPr>
          <w:rFonts w:ascii="Courier New"/>
          <w:sz w:val="20"/>
        </w:rPr>
        <w:t>bBreakBar</w:t>
      </w:r>
      <w:r>
        <w:rPr>
          <w:rFonts w:ascii="Courier New"/>
          <w:spacing w:val="-6"/>
          <w:sz w:val="20"/>
        </w:rPr>
        <w:t> </w:t>
      </w:r>
      <w:r>
        <w:rPr>
          <w:rFonts w:ascii="Courier New"/>
          <w:sz w:val="20"/>
        </w:rPr>
        <w:t>then fHigh = H</w:t>
      </w:r>
    </w:p>
    <w:p>
      <w:pPr>
        <w:spacing w:before="0"/>
        <w:ind w:left="620" w:right="4839" w:firstLine="0"/>
        <w:jc w:val="left"/>
        <w:rPr>
          <w:rFonts w:ascii="Courier New"/>
          <w:sz w:val="20"/>
        </w:rPr>
      </w:pPr>
      <w:r>
        <w:rPr>
          <w:rFonts w:ascii="Courier New"/>
          <w:sz w:val="20"/>
        </w:rPr>
        <w:t>fLow = L nBreakBar</w:t>
      </w:r>
      <w:r>
        <w:rPr>
          <w:rFonts w:ascii="Courier New"/>
          <w:spacing w:val="-18"/>
          <w:sz w:val="20"/>
        </w:rPr>
        <w:t> </w:t>
      </w:r>
      <w:r>
        <w:rPr>
          <w:rFonts w:ascii="Courier New"/>
          <w:sz w:val="20"/>
        </w:rPr>
        <w:t>=</w:t>
      </w:r>
      <w:r>
        <w:rPr>
          <w:rFonts w:ascii="Courier New"/>
          <w:spacing w:val="-18"/>
          <w:sz w:val="20"/>
        </w:rPr>
        <w:t> </w:t>
      </w:r>
      <w:r>
        <w:rPr>
          <w:rFonts w:ascii="Courier New"/>
          <w:sz w:val="20"/>
        </w:rPr>
        <w:t>Bar</w:t>
      </w:r>
    </w:p>
    <w:p>
      <w:pPr>
        <w:spacing w:after="0"/>
        <w:jc w:val="left"/>
        <w:rPr>
          <w:rFonts w:ascii="Courier New"/>
          <w:sz w:val="20"/>
        </w:rPr>
        <w:sectPr>
          <w:pgSz w:w="8640" w:h="12960"/>
          <w:pgMar w:header="579" w:footer="1060" w:top="760" w:bottom="1260" w:left="580" w:right="580"/>
        </w:sectPr>
      </w:pPr>
    </w:p>
    <w:p>
      <w:pPr>
        <w:pStyle w:val="BodyText"/>
        <w:spacing w:before="1"/>
        <w:rPr>
          <w:rFonts w:ascii="Courier New"/>
        </w:rPr>
      </w:pPr>
    </w:p>
    <w:p>
      <w:pPr>
        <w:spacing w:after="0"/>
        <w:rPr>
          <w:rFonts w:ascii="Courier New"/>
        </w:rPr>
        <w:sectPr>
          <w:pgSz w:w="8640" w:h="12960"/>
          <w:pgMar w:header="536" w:footer="1060" w:top="720" w:bottom="1260" w:left="580" w:right="580"/>
        </w:sectPr>
      </w:pPr>
    </w:p>
    <w:p>
      <w:pPr>
        <w:spacing w:before="76"/>
        <w:ind w:left="500" w:right="0" w:firstLine="0"/>
        <w:jc w:val="left"/>
        <w:rPr>
          <w:rFonts w:ascii="Courier New"/>
          <w:sz w:val="20"/>
        </w:rPr>
      </w:pPr>
      <w:r>
        <w:rPr>
          <w:rFonts w:ascii="Courier New"/>
          <w:spacing w:val="-4"/>
          <w:sz w:val="20"/>
        </w:rPr>
        <w:t>Else</w:t>
      </w:r>
    </w:p>
    <w:p>
      <w:pPr>
        <w:spacing w:line="240" w:lineRule="auto" w:before="8"/>
        <w:rPr>
          <w:rFonts w:ascii="Courier New"/>
          <w:sz w:val="26"/>
        </w:rPr>
      </w:pPr>
      <w:r>
        <w:rPr/>
        <w:br w:type="column"/>
      </w:r>
      <w:r>
        <w:rPr>
          <w:rFonts w:ascii="Courier New"/>
          <w:sz w:val="26"/>
        </w:rPr>
      </w:r>
    </w:p>
    <w:p>
      <w:pPr>
        <w:spacing w:before="1"/>
        <w:ind w:left="199" w:right="0" w:firstLine="0"/>
        <w:jc w:val="left"/>
        <w:rPr>
          <w:rFonts w:ascii="Courier New"/>
          <w:sz w:val="20"/>
        </w:rPr>
      </w:pPr>
      <w:r>
        <w:rPr>
          <w:rFonts w:ascii="Courier New"/>
          <w:sz w:val="20"/>
        </w:rPr>
        <w:t>If</w:t>
      </w:r>
      <w:r>
        <w:rPr>
          <w:rFonts w:ascii="Courier New"/>
          <w:spacing w:val="-3"/>
          <w:sz w:val="20"/>
        </w:rPr>
        <w:t> </w:t>
      </w:r>
      <w:r>
        <w:rPr>
          <w:rFonts w:ascii="Courier New"/>
          <w:sz w:val="20"/>
        </w:rPr>
        <w:t>H</w:t>
      </w:r>
      <w:r>
        <w:rPr>
          <w:rFonts w:ascii="Courier New"/>
          <w:spacing w:val="-3"/>
          <w:sz w:val="20"/>
        </w:rPr>
        <w:t> </w:t>
      </w:r>
      <w:r>
        <w:rPr>
          <w:rFonts w:ascii="Courier New"/>
          <w:sz w:val="20"/>
        </w:rPr>
        <w:t>&gt;</w:t>
      </w:r>
      <w:r>
        <w:rPr>
          <w:rFonts w:ascii="Courier New"/>
          <w:spacing w:val="-3"/>
          <w:sz w:val="20"/>
        </w:rPr>
        <w:t> </w:t>
      </w:r>
      <w:r>
        <w:rPr>
          <w:rFonts w:ascii="Courier New"/>
          <w:sz w:val="20"/>
        </w:rPr>
        <w:t>fHigh</w:t>
      </w:r>
      <w:r>
        <w:rPr>
          <w:rFonts w:ascii="Courier New"/>
          <w:spacing w:val="-2"/>
          <w:sz w:val="20"/>
        </w:rPr>
        <w:t> </w:t>
      </w:r>
      <w:r>
        <w:rPr>
          <w:rFonts w:ascii="Courier New"/>
          <w:spacing w:val="-4"/>
          <w:sz w:val="20"/>
        </w:rPr>
        <w:t>Then</w:t>
      </w:r>
    </w:p>
    <w:p>
      <w:pPr>
        <w:spacing w:before="0"/>
        <w:ind w:left="919" w:right="0" w:firstLine="0"/>
        <w:jc w:val="left"/>
        <w:rPr>
          <w:rFonts w:ascii="Courier New"/>
          <w:sz w:val="20"/>
        </w:rPr>
      </w:pPr>
      <w:r>
        <w:rPr>
          <w:rFonts w:ascii="Courier New"/>
          <w:sz w:val="20"/>
        </w:rPr>
        <w:t>fHigh</w:t>
      </w:r>
      <w:r>
        <w:rPr>
          <w:rFonts w:ascii="Courier New"/>
          <w:spacing w:val="-4"/>
          <w:sz w:val="20"/>
        </w:rPr>
        <w:t> </w:t>
      </w:r>
      <w:r>
        <w:rPr>
          <w:rFonts w:ascii="Courier New"/>
          <w:sz w:val="20"/>
        </w:rPr>
        <w:t>=</w:t>
      </w:r>
      <w:r>
        <w:rPr>
          <w:rFonts w:ascii="Courier New"/>
          <w:spacing w:val="-4"/>
          <w:sz w:val="20"/>
        </w:rPr>
        <w:t> </w:t>
      </w:r>
      <w:r>
        <w:rPr>
          <w:rFonts w:ascii="Courier New"/>
          <w:spacing w:val="-10"/>
          <w:sz w:val="20"/>
        </w:rPr>
        <w:t>H</w:t>
      </w:r>
    </w:p>
    <w:p>
      <w:pPr>
        <w:spacing w:after="0"/>
        <w:jc w:val="left"/>
        <w:rPr>
          <w:rFonts w:ascii="Courier New"/>
          <w:sz w:val="20"/>
        </w:rPr>
        <w:sectPr>
          <w:type w:val="continuous"/>
          <w:pgSz w:w="8640" w:h="12960"/>
          <w:pgMar w:header="579" w:footer="1060" w:top="1480" w:bottom="280" w:left="580" w:right="580"/>
          <w:cols w:num="2" w:equalWidth="0">
            <w:col w:w="981" w:space="40"/>
            <w:col w:w="6459"/>
          </w:cols>
        </w:sectPr>
      </w:pPr>
    </w:p>
    <w:p>
      <w:pPr>
        <w:spacing w:line="226" w:lineRule="exact" w:before="0"/>
        <w:ind w:left="98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spacing w:before="0"/>
        <w:ind w:left="0" w:right="4575" w:firstLine="0"/>
        <w:jc w:val="right"/>
        <w:rPr>
          <w:rFonts w:ascii="Courier New"/>
          <w:sz w:val="20"/>
        </w:rPr>
      </w:pPr>
      <w:r>
        <w:rPr>
          <w:rFonts w:ascii="Courier New"/>
          <w:sz w:val="20"/>
        </w:rPr>
        <w:t>If</w:t>
      </w:r>
      <w:r>
        <w:rPr>
          <w:rFonts w:ascii="Courier New"/>
          <w:spacing w:val="-3"/>
          <w:sz w:val="20"/>
        </w:rPr>
        <w:t> </w:t>
      </w:r>
      <w:r>
        <w:rPr>
          <w:rFonts w:ascii="Courier New"/>
          <w:sz w:val="20"/>
        </w:rPr>
        <w:t>L</w:t>
      </w:r>
      <w:r>
        <w:rPr>
          <w:rFonts w:ascii="Courier New"/>
          <w:spacing w:val="-2"/>
          <w:sz w:val="20"/>
        </w:rPr>
        <w:t> </w:t>
      </w:r>
      <w:r>
        <w:rPr>
          <w:rFonts w:ascii="Courier New"/>
          <w:sz w:val="20"/>
        </w:rPr>
        <w:t>&lt;</w:t>
      </w:r>
      <w:r>
        <w:rPr>
          <w:rFonts w:ascii="Courier New"/>
          <w:spacing w:val="-3"/>
          <w:sz w:val="20"/>
        </w:rPr>
        <w:t> </w:t>
      </w:r>
      <w:r>
        <w:rPr>
          <w:rFonts w:ascii="Courier New"/>
          <w:sz w:val="20"/>
        </w:rPr>
        <w:t>fLow</w:t>
      </w:r>
      <w:r>
        <w:rPr>
          <w:rFonts w:ascii="Courier New"/>
          <w:spacing w:val="-2"/>
          <w:sz w:val="20"/>
        </w:rPr>
        <w:t> </w:t>
      </w:r>
      <w:r>
        <w:rPr>
          <w:rFonts w:ascii="Courier New"/>
          <w:spacing w:val="-4"/>
          <w:sz w:val="20"/>
        </w:rPr>
        <w:t>Then</w:t>
      </w:r>
    </w:p>
    <w:p>
      <w:pPr>
        <w:spacing w:before="0"/>
        <w:ind w:left="0" w:right="4576" w:firstLine="0"/>
        <w:jc w:val="right"/>
        <w:rPr>
          <w:rFonts w:ascii="Courier New"/>
          <w:sz w:val="20"/>
        </w:rPr>
      </w:pPr>
      <w:r>
        <w:rPr>
          <w:rFonts w:ascii="Courier New"/>
          <w:sz w:val="20"/>
        </w:rPr>
        <w:t>fLow</w:t>
      </w:r>
      <w:r>
        <w:rPr>
          <w:rFonts w:ascii="Courier New"/>
          <w:spacing w:val="-5"/>
          <w:sz w:val="20"/>
        </w:rPr>
        <w:t> </w:t>
      </w:r>
      <w:r>
        <w:rPr>
          <w:rFonts w:ascii="Courier New"/>
          <w:sz w:val="20"/>
        </w:rPr>
        <w:t>=</w:t>
      </w:r>
      <w:r>
        <w:rPr>
          <w:rFonts w:ascii="Courier New"/>
          <w:spacing w:val="-3"/>
          <w:sz w:val="20"/>
        </w:rPr>
        <w:t> </w:t>
      </w:r>
      <w:r>
        <w:rPr>
          <w:rFonts w:ascii="Courier New"/>
          <w:spacing w:val="-10"/>
          <w:sz w:val="20"/>
        </w:rPr>
        <w:t>L</w:t>
      </w:r>
    </w:p>
    <w:p>
      <w:pPr>
        <w:spacing w:before="0"/>
        <w:ind w:left="500" w:right="5559" w:firstLine="480"/>
        <w:jc w:val="left"/>
        <w:rPr>
          <w:rFonts w:ascii="Courier New"/>
          <w:sz w:val="20"/>
        </w:rPr>
      </w:pPr>
      <w:r>
        <w:rPr>
          <w:rFonts w:ascii="Courier New"/>
          <w:sz w:val="20"/>
        </w:rPr>
        <w:t>End</w:t>
      </w:r>
      <w:r>
        <w:rPr>
          <w:rFonts w:ascii="Courier New"/>
          <w:spacing w:val="-32"/>
          <w:sz w:val="20"/>
        </w:rPr>
        <w:t> </w:t>
      </w:r>
      <w:r>
        <w:rPr>
          <w:rFonts w:ascii="Courier New"/>
          <w:sz w:val="20"/>
        </w:rPr>
        <w:t>If End If</w:t>
      </w:r>
    </w:p>
    <w:p>
      <w:pPr>
        <w:pStyle w:val="BodyText"/>
        <w:rPr>
          <w:rFonts w:ascii="Courier New"/>
          <w:sz w:val="20"/>
        </w:rPr>
      </w:pPr>
    </w:p>
    <w:p>
      <w:pPr>
        <w:spacing w:before="0"/>
        <w:ind w:left="500" w:right="3363" w:firstLine="0"/>
        <w:jc w:val="left"/>
        <w:rPr>
          <w:rFonts w:ascii="Courier New"/>
          <w:sz w:val="20"/>
        </w:rPr>
      </w:pPr>
      <w:r>
        <w:rPr>
          <w:rFonts w:ascii="Courier New"/>
          <w:sz w:val="20"/>
        </w:rPr>
        <w:t>fPP</w:t>
      </w:r>
      <w:r>
        <w:rPr>
          <w:rFonts w:ascii="Courier New"/>
          <w:spacing w:val="-5"/>
          <w:sz w:val="20"/>
        </w:rPr>
        <w:t> </w:t>
      </w:r>
      <w:r>
        <w:rPr>
          <w:rFonts w:ascii="Courier New"/>
          <w:sz w:val="20"/>
        </w:rPr>
        <w:t>=</w:t>
      </w:r>
      <w:r>
        <w:rPr>
          <w:rFonts w:ascii="Courier New"/>
          <w:spacing w:val="-5"/>
          <w:sz w:val="20"/>
        </w:rPr>
        <w:t> </w:t>
      </w:r>
      <w:r>
        <w:rPr>
          <w:rFonts w:ascii="Courier New"/>
          <w:sz w:val="20"/>
        </w:rPr>
        <w:t>((fHigh</w:t>
      </w:r>
      <w:r>
        <w:rPr>
          <w:rFonts w:ascii="Courier New"/>
          <w:spacing w:val="-5"/>
          <w:sz w:val="20"/>
        </w:rPr>
        <w:t> </w:t>
      </w:r>
      <w:r>
        <w:rPr>
          <w:rFonts w:ascii="Courier New"/>
          <w:sz w:val="20"/>
        </w:rPr>
        <w:t>+</w:t>
      </w:r>
      <w:r>
        <w:rPr>
          <w:rFonts w:ascii="Courier New"/>
          <w:spacing w:val="-5"/>
          <w:sz w:val="20"/>
        </w:rPr>
        <w:t> </w:t>
      </w:r>
      <w:r>
        <w:rPr>
          <w:rFonts w:ascii="Courier New"/>
          <w:sz w:val="20"/>
        </w:rPr>
        <w:t>fLow</w:t>
      </w:r>
      <w:r>
        <w:rPr>
          <w:rFonts w:ascii="Courier New"/>
          <w:spacing w:val="-5"/>
          <w:sz w:val="20"/>
        </w:rPr>
        <w:t> </w:t>
      </w:r>
      <w:r>
        <w:rPr>
          <w:rFonts w:ascii="Courier New"/>
          <w:sz w:val="20"/>
        </w:rPr>
        <w:t>+</w:t>
      </w:r>
      <w:r>
        <w:rPr>
          <w:rFonts w:ascii="Courier New"/>
          <w:spacing w:val="-5"/>
          <w:sz w:val="20"/>
        </w:rPr>
        <w:t> </w:t>
      </w:r>
      <w:r>
        <w:rPr>
          <w:rFonts w:ascii="Courier New"/>
          <w:sz w:val="20"/>
        </w:rPr>
        <w:t>C)</w:t>
      </w:r>
      <w:r>
        <w:rPr>
          <w:rFonts w:ascii="Courier New"/>
          <w:spacing w:val="-5"/>
          <w:sz w:val="20"/>
        </w:rPr>
        <w:t> </w:t>
      </w:r>
      <w:r>
        <w:rPr>
          <w:rFonts w:ascii="Courier New"/>
          <w:sz w:val="20"/>
        </w:rPr>
        <w:t>/</w:t>
      </w:r>
      <w:r>
        <w:rPr>
          <w:rFonts w:ascii="Courier New"/>
          <w:spacing w:val="-5"/>
          <w:sz w:val="20"/>
        </w:rPr>
        <w:t> </w:t>
      </w:r>
      <w:r>
        <w:rPr>
          <w:rFonts w:ascii="Courier New"/>
          <w:sz w:val="20"/>
        </w:rPr>
        <w:t>3) fBC</w:t>
      </w:r>
      <w:r>
        <w:rPr>
          <w:rFonts w:ascii="Courier New"/>
          <w:spacing w:val="26"/>
          <w:sz w:val="20"/>
        </w:rPr>
        <w:t> </w:t>
      </w:r>
      <w:r>
        <w:rPr>
          <w:rFonts w:ascii="Courier New"/>
          <w:sz w:val="20"/>
        </w:rPr>
        <w:t>=</w:t>
      </w:r>
      <w:r>
        <w:rPr>
          <w:rFonts w:ascii="Courier New"/>
          <w:spacing w:val="26"/>
          <w:sz w:val="20"/>
        </w:rPr>
        <w:t> </w:t>
      </w:r>
      <w:r>
        <w:rPr>
          <w:rFonts w:ascii="Courier New"/>
          <w:sz w:val="20"/>
        </w:rPr>
        <w:t>((fHigh</w:t>
      </w:r>
      <w:r>
        <w:rPr>
          <w:rFonts w:ascii="Courier New"/>
          <w:spacing w:val="26"/>
          <w:sz w:val="20"/>
        </w:rPr>
        <w:t> </w:t>
      </w:r>
      <w:r>
        <w:rPr>
          <w:rFonts w:ascii="Courier New"/>
          <w:sz w:val="20"/>
        </w:rPr>
        <w:t>+</w:t>
      </w:r>
      <w:r>
        <w:rPr>
          <w:rFonts w:ascii="Courier New"/>
          <w:spacing w:val="26"/>
          <w:sz w:val="20"/>
        </w:rPr>
        <w:t> </w:t>
      </w:r>
      <w:r>
        <w:rPr>
          <w:rFonts w:ascii="Courier New"/>
          <w:sz w:val="20"/>
        </w:rPr>
        <w:t>fLow)</w:t>
      </w:r>
      <w:r>
        <w:rPr>
          <w:rFonts w:ascii="Courier New"/>
          <w:spacing w:val="26"/>
          <w:sz w:val="20"/>
        </w:rPr>
        <w:t> </w:t>
      </w:r>
      <w:r>
        <w:rPr>
          <w:rFonts w:ascii="Courier New"/>
          <w:sz w:val="20"/>
        </w:rPr>
        <w:t>/</w:t>
      </w:r>
      <w:r>
        <w:rPr>
          <w:rFonts w:ascii="Courier New"/>
          <w:spacing w:val="26"/>
          <w:sz w:val="20"/>
        </w:rPr>
        <w:t> </w:t>
      </w:r>
      <w:r>
        <w:rPr>
          <w:rFonts w:ascii="Courier New"/>
          <w:sz w:val="20"/>
        </w:rPr>
        <w:t>2) fTC = ((fPP - fBC) + fPP)</w:t>
      </w:r>
    </w:p>
    <w:p>
      <w:pPr>
        <w:pStyle w:val="BodyText"/>
        <w:spacing w:before="1"/>
        <w:rPr>
          <w:rFonts w:ascii="Courier New"/>
          <w:sz w:val="20"/>
        </w:rPr>
      </w:pPr>
    </w:p>
    <w:p>
      <w:pPr>
        <w:spacing w:before="0"/>
        <w:ind w:left="1220" w:right="1212" w:hanging="721"/>
        <w:jc w:val="left"/>
        <w:rPr>
          <w:rFonts w:ascii="Courier New"/>
          <w:sz w:val="20"/>
        </w:rPr>
      </w:pPr>
      <w:r>
        <w:rPr>
          <w:rFonts w:ascii="Courier New"/>
          <w:sz w:val="20"/>
        </w:rPr>
        <w:t>If Plot_Developing = 1 Then PlotPrice("Developing</w:t>
      </w:r>
      <w:r>
        <w:rPr>
          <w:rFonts w:ascii="Courier New"/>
          <w:spacing w:val="-11"/>
          <w:sz w:val="20"/>
        </w:rPr>
        <w:t> </w:t>
      </w:r>
      <w:r>
        <w:rPr>
          <w:rFonts w:ascii="Courier New"/>
          <w:sz w:val="20"/>
        </w:rPr>
        <w:t>Central</w:t>
      </w:r>
      <w:r>
        <w:rPr>
          <w:rFonts w:ascii="Courier New"/>
          <w:spacing w:val="-11"/>
          <w:sz w:val="20"/>
        </w:rPr>
        <w:t> </w:t>
      </w:r>
      <w:r>
        <w:rPr>
          <w:rFonts w:ascii="Courier New"/>
          <w:sz w:val="20"/>
        </w:rPr>
        <w:t>Pivot",</w:t>
      </w:r>
      <w:r>
        <w:rPr>
          <w:rFonts w:ascii="Courier New"/>
          <w:spacing w:val="-11"/>
          <w:sz w:val="20"/>
        </w:rPr>
        <w:t> </w:t>
      </w:r>
      <w:r>
        <w:rPr>
          <w:rFonts w:ascii="Courier New"/>
          <w:sz w:val="20"/>
        </w:rPr>
        <w:t>fPP,</w:t>
      </w:r>
    </w:p>
    <w:p>
      <w:pPr>
        <w:spacing w:line="226" w:lineRule="exact" w:before="0"/>
        <w:ind w:left="500" w:right="0" w:firstLine="0"/>
        <w:jc w:val="left"/>
        <w:rPr>
          <w:rFonts w:ascii="Courier New"/>
          <w:sz w:val="20"/>
        </w:rPr>
      </w:pPr>
      <w:r>
        <w:rPr>
          <w:rFonts w:ascii="Courier New"/>
          <w:spacing w:val="-2"/>
          <w:sz w:val="20"/>
        </w:rPr>
        <w:t>fuchsia)</w:t>
      </w:r>
    </w:p>
    <w:p>
      <w:pPr>
        <w:spacing w:before="0"/>
        <w:ind w:left="1220" w:right="0" w:firstLine="0"/>
        <w:jc w:val="left"/>
        <w:rPr>
          <w:rFonts w:ascii="Courier New"/>
          <w:sz w:val="20"/>
        </w:rPr>
      </w:pPr>
      <w:r>
        <w:rPr>
          <w:rFonts w:ascii="Courier New"/>
          <w:sz w:val="20"/>
        </w:rPr>
        <w:t>PlotPrice("Developing Top Pivot", fTC, fuchsia) PlotPrice("Developing</w:t>
      </w:r>
      <w:r>
        <w:rPr>
          <w:rFonts w:ascii="Courier New"/>
          <w:spacing w:val="-8"/>
          <w:sz w:val="20"/>
        </w:rPr>
        <w:t> </w:t>
      </w:r>
      <w:r>
        <w:rPr>
          <w:rFonts w:ascii="Courier New"/>
          <w:sz w:val="20"/>
        </w:rPr>
        <w:t>Bottom</w:t>
      </w:r>
      <w:r>
        <w:rPr>
          <w:rFonts w:ascii="Courier New"/>
          <w:spacing w:val="-8"/>
          <w:sz w:val="20"/>
        </w:rPr>
        <w:t> </w:t>
      </w:r>
      <w:r>
        <w:rPr>
          <w:rFonts w:ascii="Courier New"/>
          <w:sz w:val="20"/>
        </w:rPr>
        <w:t>Pivot",</w:t>
      </w:r>
      <w:r>
        <w:rPr>
          <w:rFonts w:ascii="Courier New"/>
          <w:spacing w:val="-8"/>
          <w:sz w:val="20"/>
        </w:rPr>
        <w:t> </w:t>
      </w:r>
      <w:r>
        <w:rPr>
          <w:rFonts w:ascii="Courier New"/>
          <w:sz w:val="20"/>
        </w:rPr>
        <w:t>fBC,</w:t>
      </w:r>
      <w:r>
        <w:rPr>
          <w:rFonts w:ascii="Courier New"/>
          <w:spacing w:val="-8"/>
          <w:sz w:val="20"/>
        </w:rPr>
        <w:t> </w:t>
      </w:r>
      <w:r>
        <w:rPr>
          <w:rFonts w:ascii="Courier New"/>
          <w:sz w:val="20"/>
        </w:rPr>
        <w:t>fuchsia)</w:t>
      </w:r>
    </w:p>
    <w:p>
      <w:pPr>
        <w:spacing w:line="480" w:lineRule="auto" w:before="0"/>
        <w:ind w:left="500" w:right="5559" w:firstLine="0"/>
        <w:jc w:val="left"/>
        <w:rPr>
          <w:rFonts w:ascii="Courier New"/>
          <w:sz w:val="20"/>
        </w:rPr>
      </w:pPr>
      <w:r>
        <w:rPr>
          <w:rFonts w:ascii="Courier New"/>
          <w:sz w:val="20"/>
        </w:rPr>
        <w:t>End If Return</w:t>
      </w:r>
      <w:r>
        <w:rPr>
          <w:rFonts w:ascii="Courier New"/>
          <w:spacing w:val="-32"/>
          <w:sz w:val="20"/>
        </w:rPr>
        <w:t> </w:t>
      </w:r>
      <w:r>
        <w:rPr>
          <w:rFonts w:ascii="Courier New"/>
          <w:sz w:val="20"/>
        </w:rPr>
        <w:t>0</w:t>
      </w:r>
    </w:p>
    <w:p>
      <w:pPr>
        <w:spacing w:after="0" w:line="480" w:lineRule="auto"/>
        <w:jc w:val="left"/>
        <w:rPr>
          <w:rFonts w:ascii="Courier New"/>
          <w:sz w:val="20"/>
        </w:rPr>
        <w:sectPr>
          <w:type w:val="continuous"/>
          <w:pgSz w:w="8640" w:h="12960"/>
          <w:pgMar w:header="579" w:footer="1060" w:top="1480" w:bottom="280" w:left="580" w:right="580"/>
        </w:sectPr>
      </w:pPr>
    </w:p>
    <w:p>
      <w:pPr>
        <w:pStyle w:val="BodyText"/>
        <w:rPr>
          <w:rFonts w:ascii="Courier New"/>
          <w:sz w:val="20"/>
        </w:rPr>
      </w:pPr>
    </w:p>
    <w:p>
      <w:pPr>
        <w:pStyle w:val="BodyText"/>
        <w:rPr>
          <w:rFonts w:ascii="Courier New"/>
          <w:sz w:val="20"/>
        </w:rPr>
      </w:pPr>
    </w:p>
    <w:p>
      <w:pPr>
        <w:pStyle w:val="BodyText"/>
        <w:spacing w:before="4"/>
        <w:rPr>
          <w:rFonts w:ascii="Courier New"/>
          <w:sz w:val="12"/>
        </w:rPr>
      </w:pPr>
    </w:p>
    <w:p>
      <w:pPr>
        <w:pStyle w:val="BodyText"/>
        <w:ind w:left="504"/>
        <w:rPr>
          <w:rFonts w:ascii="Courier New"/>
          <w:sz w:val="20"/>
        </w:rPr>
      </w:pPr>
      <w:r>
        <w:rPr>
          <w:rFonts w:ascii="Courier New"/>
          <w:sz w:val="20"/>
        </w:rPr>
        <w:pict>
          <v:group style="width:305.55pt;height:29pt;mso-position-horizontal-relative:char;mso-position-vertical-relative:line" id="docshapegroup1105" coordorigin="0,0" coordsize="6111,580">
            <v:rect style="position:absolute;left:19;top:0;width:6072;height:580" id="docshape1106" filled="true" fillcolor="#000000" stroked="false">
              <v:fill type="solid"/>
            </v:rect>
            <v:shape style="position:absolute;left:0;top:0;width:6111;height:580" id="docshape1107" coordorigin="0,0" coordsize="6111,580" path="m19,0l0,0,0,580,19,580,19,0xm6110,0l6091,0,6091,580,6110,580,6110,0xe" filled="true" fillcolor="#3f3f3f" stroked="false">
              <v:path arrowok="t"/>
              <v:fill type="solid"/>
            </v:shape>
            <v:shape style="position:absolute;left:19;top:0;width:6072;height:580" type="#_x0000_t202" id="docshape1108" filled="false" stroked="false">
              <v:textbox inset="0,0,0,0">
                <w:txbxContent>
                  <w:p>
                    <w:pPr>
                      <w:spacing w:line="237" w:lineRule="auto" w:before="1"/>
                      <w:ind w:left="1443" w:right="694" w:hanging="395"/>
                      <w:jc w:val="left"/>
                      <w:rPr>
                        <w:rFonts w:ascii="Verdana"/>
                        <w:sz w:val="24"/>
                      </w:rPr>
                    </w:pPr>
                    <w:r>
                      <w:rPr>
                        <w:rFonts w:ascii="Verdana"/>
                        <w:color w:val="FFFFFF"/>
                        <w:sz w:val="24"/>
                      </w:rPr>
                      <w:t>Developing</w:t>
                    </w:r>
                    <w:r>
                      <w:rPr>
                        <w:rFonts w:ascii="Verdana"/>
                        <w:color w:val="FFFFFF"/>
                        <w:spacing w:val="-8"/>
                        <w:sz w:val="24"/>
                      </w:rPr>
                      <w:t> </w:t>
                    </w:r>
                    <w:r>
                      <w:rPr>
                        <w:rFonts w:ascii="Verdana"/>
                        <w:color w:val="FFFFFF"/>
                        <w:sz w:val="24"/>
                      </w:rPr>
                      <w:t>Camarilla</w:t>
                    </w:r>
                    <w:r>
                      <w:rPr>
                        <w:rFonts w:ascii="Verdana"/>
                        <w:color w:val="FFFFFF"/>
                        <w:spacing w:val="-8"/>
                        <w:sz w:val="24"/>
                      </w:rPr>
                      <w:t> </w:t>
                    </w:r>
                    <w:r>
                      <w:rPr>
                        <w:rFonts w:ascii="Verdana"/>
                        <w:color w:val="FFFFFF"/>
                        <w:sz w:val="24"/>
                      </w:rPr>
                      <w:t>3</w:t>
                    </w:r>
                    <w:r>
                      <w:rPr>
                        <w:rFonts w:ascii="Verdana"/>
                        <w:color w:val="FFFFFF"/>
                        <w:spacing w:val="-8"/>
                        <w:sz w:val="24"/>
                      </w:rPr>
                      <w:t> </w:t>
                    </w:r>
                    <w:r>
                      <w:rPr>
                        <w:rFonts w:ascii="Verdana"/>
                        <w:color w:val="FFFFFF"/>
                        <w:sz w:val="24"/>
                      </w:rPr>
                      <w:t>Indicator File Name: iDevCamarilla3</w:t>
                    </w:r>
                  </w:p>
                </w:txbxContent>
              </v:textbox>
              <w10:wrap type="none"/>
            </v:shape>
          </v:group>
        </w:pict>
      </w:r>
      <w:r>
        <w:rPr>
          <w:rFonts w:ascii="Courier New"/>
          <w:sz w:val="20"/>
        </w:rPr>
      </w:r>
    </w:p>
    <w:p>
      <w:pPr>
        <w:pStyle w:val="BodyText"/>
        <w:spacing w:before="3"/>
        <w:rPr>
          <w:rFonts w:ascii="Courier New"/>
          <w:sz w:val="16"/>
        </w:rPr>
      </w:pPr>
    </w:p>
    <w:p>
      <w:pPr>
        <w:spacing w:before="76"/>
        <w:ind w:left="140" w:right="0" w:firstLine="0"/>
        <w:jc w:val="left"/>
        <w:rPr>
          <w:rFonts w:ascii="Courier New"/>
          <w:sz w:val="20"/>
        </w:rPr>
      </w:pPr>
      <w:r>
        <w:rPr>
          <w:rFonts w:ascii="Courier New"/>
          <w:spacing w:val="-2"/>
          <w:sz w:val="20"/>
        </w:rPr>
        <w:t>#Indicator</w:t>
      </w:r>
    </w:p>
    <w:p>
      <w:pPr>
        <w:pStyle w:val="BodyText"/>
        <w:spacing w:before="10"/>
        <w:rPr>
          <w:rFonts w:ascii="Courier New"/>
          <w:sz w:val="19"/>
        </w:rPr>
      </w:pPr>
    </w:p>
    <w:p>
      <w:pPr>
        <w:spacing w:before="0"/>
        <w:ind w:left="140" w:right="0" w:firstLine="0"/>
        <w:jc w:val="left"/>
        <w:rPr>
          <w:rFonts w:ascii="Courier New"/>
          <w:sz w:val="20"/>
        </w:rPr>
      </w:pPr>
      <w:r>
        <w:rPr>
          <w:rFonts w:ascii="Courier New"/>
          <w:sz w:val="20"/>
        </w:rPr>
        <w:t>#PARAM</w:t>
      </w:r>
      <w:r>
        <w:rPr>
          <w:rFonts w:ascii="Courier New"/>
          <w:spacing w:val="-9"/>
          <w:sz w:val="20"/>
        </w:rPr>
        <w:t> </w:t>
      </w:r>
      <w:r>
        <w:rPr>
          <w:rFonts w:ascii="Courier New"/>
          <w:sz w:val="20"/>
        </w:rPr>
        <w:t>"Plot_Developing",</w:t>
      </w:r>
      <w:r>
        <w:rPr>
          <w:rFonts w:ascii="Courier New"/>
          <w:spacing w:val="-8"/>
          <w:sz w:val="20"/>
        </w:rPr>
        <w:t> </w:t>
      </w:r>
      <w:r>
        <w:rPr>
          <w:rFonts w:ascii="Courier New"/>
          <w:sz w:val="20"/>
        </w:rPr>
        <w:t>1,</w:t>
      </w:r>
      <w:r>
        <w:rPr>
          <w:rFonts w:ascii="Courier New"/>
          <w:spacing w:val="-9"/>
          <w:sz w:val="20"/>
        </w:rPr>
        <w:t> </w:t>
      </w:r>
      <w:r>
        <w:rPr>
          <w:rFonts w:ascii="Courier New"/>
          <w:sz w:val="20"/>
        </w:rPr>
        <w:t>0,</w:t>
      </w:r>
      <w:r>
        <w:rPr>
          <w:rFonts w:ascii="Courier New"/>
          <w:spacing w:val="-8"/>
          <w:sz w:val="20"/>
        </w:rPr>
        <w:t> </w:t>
      </w:r>
      <w:r>
        <w:rPr>
          <w:rFonts w:ascii="Courier New"/>
          <w:spacing w:val="-10"/>
          <w:sz w:val="20"/>
        </w:rPr>
        <w:t>1</w:t>
      </w:r>
    </w:p>
    <w:p>
      <w:pPr>
        <w:spacing w:before="1"/>
        <w:ind w:left="140" w:right="0" w:firstLine="0"/>
        <w:jc w:val="left"/>
        <w:rPr>
          <w:rFonts w:ascii="Courier New"/>
          <w:sz w:val="20"/>
        </w:rPr>
      </w:pPr>
      <w:r>
        <w:rPr>
          <w:rFonts w:ascii="Courier New"/>
          <w:sz w:val="20"/>
        </w:rPr>
        <w:t>#PARAM</w:t>
      </w:r>
      <w:r>
        <w:rPr>
          <w:rFonts w:ascii="Courier New"/>
          <w:spacing w:val="-8"/>
          <w:sz w:val="20"/>
        </w:rPr>
        <w:t> </w:t>
      </w:r>
      <w:r>
        <w:rPr>
          <w:rFonts w:ascii="Courier New"/>
          <w:sz w:val="20"/>
        </w:rPr>
        <w:t>"Plot_Pivots",</w:t>
      </w:r>
      <w:r>
        <w:rPr>
          <w:rFonts w:ascii="Courier New"/>
          <w:spacing w:val="-7"/>
          <w:sz w:val="20"/>
        </w:rPr>
        <w:t> </w:t>
      </w:r>
      <w:r>
        <w:rPr>
          <w:rFonts w:ascii="Courier New"/>
          <w:sz w:val="20"/>
        </w:rPr>
        <w:t>1,</w:t>
      </w:r>
      <w:r>
        <w:rPr>
          <w:rFonts w:ascii="Courier New"/>
          <w:spacing w:val="-7"/>
          <w:sz w:val="20"/>
        </w:rPr>
        <w:t> </w:t>
      </w:r>
      <w:r>
        <w:rPr>
          <w:rFonts w:ascii="Courier New"/>
          <w:sz w:val="20"/>
        </w:rPr>
        <w:t>0,</w:t>
      </w:r>
      <w:r>
        <w:rPr>
          <w:rFonts w:ascii="Courier New"/>
          <w:spacing w:val="-7"/>
          <w:sz w:val="20"/>
        </w:rPr>
        <w:t> </w:t>
      </w:r>
      <w:r>
        <w:rPr>
          <w:rFonts w:ascii="Courier New"/>
          <w:spacing w:val="-10"/>
          <w:sz w:val="20"/>
        </w:rPr>
        <w:t>1</w:t>
      </w:r>
    </w:p>
    <w:p>
      <w:pPr>
        <w:pStyle w:val="BodyText"/>
        <w:rPr>
          <w:rFonts w:ascii="Courier New"/>
          <w:sz w:val="20"/>
        </w:rPr>
      </w:pPr>
    </w:p>
    <w:p>
      <w:pPr>
        <w:tabs>
          <w:tab w:pos="3741" w:val="left" w:leader="none"/>
        </w:tabs>
        <w:spacing w:before="0"/>
        <w:ind w:left="140" w:right="2533" w:firstLine="0"/>
        <w:jc w:val="left"/>
        <w:rPr>
          <w:rFonts w:ascii="Courier New"/>
          <w:sz w:val="20"/>
        </w:rPr>
      </w:pPr>
      <w:r>
        <w:rPr>
          <w:rFonts w:ascii="Courier New"/>
          <w:sz w:val="20"/>
        </w:rPr>
        <w:t>Dim fHigh, fLow, fClose</w:t>
        <w:tab/>
      </w:r>
      <w:r>
        <w:rPr>
          <w:rFonts w:ascii="Courier New"/>
          <w:spacing w:val="-119"/>
          <w:sz w:val="20"/>
        </w:rPr>
        <w:t> </w:t>
      </w:r>
      <w:r>
        <w:rPr>
          <w:rFonts w:ascii="Courier New"/>
          <w:sz w:val="20"/>
        </w:rPr>
        <w:t>As Single Dim fH3, fL3</w:t>
        <w:tab/>
        <w:t>As Single Dim nBreakBar, nLastBar</w:t>
        <w:tab/>
      </w:r>
      <w:r>
        <w:rPr>
          <w:rFonts w:ascii="Courier New"/>
          <w:spacing w:val="-119"/>
          <w:sz w:val="20"/>
        </w:rPr>
        <w:t> </w:t>
      </w:r>
      <w:r>
        <w:rPr>
          <w:rFonts w:ascii="Courier New"/>
          <w:sz w:val="20"/>
        </w:rPr>
        <w:t>As</w:t>
      </w:r>
      <w:r>
        <w:rPr>
          <w:rFonts w:ascii="Courier New"/>
          <w:spacing w:val="-30"/>
          <w:sz w:val="20"/>
        </w:rPr>
        <w:t> </w:t>
      </w:r>
      <w:r>
        <w:rPr>
          <w:rFonts w:ascii="Courier New"/>
          <w:sz w:val="20"/>
        </w:rPr>
        <w:t>Integer</w:t>
      </w:r>
    </w:p>
    <w:p>
      <w:pPr>
        <w:tabs>
          <w:tab w:pos="3742" w:val="left" w:leader="none"/>
        </w:tabs>
        <w:spacing w:line="226" w:lineRule="exact" w:before="0"/>
        <w:ind w:left="14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bBreakBar</w:t>
      </w:r>
      <w:r>
        <w:rPr>
          <w:rFonts w:ascii="Courier New"/>
          <w:sz w:val="20"/>
        </w:rPr>
        <w:tab/>
        <w:t>As</w:t>
      </w:r>
      <w:r>
        <w:rPr>
          <w:rFonts w:ascii="Courier New"/>
          <w:spacing w:val="-6"/>
          <w:sz w:val="20"/>
        </w:rPr>
        <w:t> </w:t>
      </w:r>
      <w:r>
        <w:rPr>
          <w:rFonts w:ascii="Courier New"/>
          <w:sz w:val="20"/>
        </w:rPr>
        <w:t>Boolean</w:t>
      </w:r>
      <w:r>
        <w:rPr>
          <w:rFonts w:ascii="Courier New"/>
          <w:spacing w:val="-4"/>
          <w:sz w:val="20"/>
        </w:rPr>
        <w:t> </w:t>
      </w:r>
      <w:r>
        <w:rPr>
          <w:rFonts w:ascii="Courier New"/>
          <w:sz w:val="20"/>
        </w:rPr>
        <w:t>=</w:t>
      </w:r>
      <w:r>
        <w:rPr>
          <w:rFonts w:ascii="Courier New"/>
          <w:spacing w:val="-4"/>
          <w:sz w:val="20"/>
        </w:rPr>
        <w:t> </w:t>
      </w:r>
      <w:r>
        <w:rPr>
          <w:rFonts w:ascii="Courier New"/>
          <w:spacing w:val="-2"/>
          <w:sz w:val="20"/>
        </w:rPr>
        <w:t>False</w:t>
      </w:r>
    </w:p>
    <w:p>
      <w:pPr>
        <w:pStyle w:val="BodyText"/>
        <w:rPr>
          <w:rFonts w:ascii="Courier New"/>
          <w:sz w:val="20"/>
        </w:rPr>
      </w:pPr>
    </w:p>
    <w:p>
      <w:pPr>
        <w:spacing w:before="0"/>
        <w:ind w:left="140" w:right="0" w:firstLine="0"/>
        <w:jc w:val="left"/>
        <w:rPr>
          <w:rFonts w:ascii="Courier New"/>
          <w:sz w:val="20"/>
        </w:rPr>
      </w:pPr>
      <w:r>
        <w:rPr>
          <w:rFonts w:ascii="Courier New"/>
          <w:sz w:val="20"/>
        </w:rPr>
        <w:t>If</w:t>
      </w:r>
      <w:r>
        <w:rPr>
          <w:rFonts w:ascii="Courier New"/>
          <w:spacing w:val="-5"/>
          <w:sz w:val="20"/>
        </w:rPr>
        <w:t> </w:t>
      </w:r>
      <w:r>
        <w:rPr>
          <w:rFonts w:ascii="Courier New"/>
          <w:sz w:val="20"/>
        </w:rPr>
        <w:t>Periodicity</w:t>
      </w:r>
      <w:r>
        <w:rPr>
          <w:rFonts w:ascii="Courier New"/>
          <w:spacing w:val="-5"/>
          <w:sz w:val="20"/>
        </w:rPr>
        <w:t> </w:t>
      </w:r>
      <w:r>
        <w:rPr>
          <w:rFonts w:ascii="Courier New"/>
          <w:sz w:val="20"/>
        </w:rPr>
        <w:t>=</w:t>
      </w:r>
      <w:r>
        <w:rPr>
          <w:rFonts w:ascii="Courier New"/>
          <w:spacing w:val="-4"/>
          <w:sz w:val="20"/>
        </w:rPr>
        <w:t> </w:t>
      </w:r>
      <w:r>
        <w:rPr>
          <w:rFonts w:ascii="Courier New"/>
          <w:sz w:val="20"/>
        </w:rPr>
        <w:t>1</w:t>
      </w:r>
      <w:r>
        <w:rPr>
          <w:rFonts w:ascii="Courier New"/>
          <w:spacing w:val="-5"/>
          <w:sz w:val="20"/>
        </w:rPr>
        <w:t> </w:t>
      </w:r>
      <w:r>
        <w:rPr>
          <w:rFonts w:ascii="Courier New"/>
          <w:sz w:val="20"/>
        </w:rPr>
        <w:t>Then</w:t>
      </w:r>
      <w:r>
        <w:rPr>
          <w:rFonts w:ascii="Courier New"/>
          <w:spacing w:val="-4"/>
          <w:sz w:val="20"/>
        </w:rPr>
        <w:t> </w:t>
      </w:r>
      <w:r>
        <w:rPr>
          <w:rFonts w:ascii="Courier New"/>
          <w:spacing w:val="-10"/>
          <w:sz w:val="20"/>
        </w:rPr>
        <w:t>'</w:t>
      </w:r>
    </w:p>
    <w:p>
      <w:pPr>
        <w:spacing w:line="226" w:lineRule="exact" w:before="1"/>
        <w:ind w:left="860" w:right="0" w:firstLine="0"/>
        <w:jc w:val="left"/>
        <w:rPr>
          <w:rFonts w:ascii="Courier New"/>
          <w:sz w:val="20"/>
        </w:rPr>
      </w:pPr>
      <w:r>
        <w:rPr>
          <w:rFonts w:ascii="Courier New"/>
          <w:sz w:val="20"/>
        </w:rPr>
        <w:t>bBreakBar</w:t>
      </w:r>
      <w:r>
        <w:rPr>
          <w:rFonts w:ascii="Courier New"/>
          <w:spacing w:val="-7"/>
          <w:sz w:val="20"/>
        </w:rPr>
        <w:t> </w:t>
      </w:r>
      <w:r>
        <w:rPr>
          <w:rFonts w:ascii="Courier New"/>
          <w:sz w:val="20"/>
        </w:rPr>
        <w:t>=</w:t>
      </w:r>
      <w:r>
        <w:rPr>
          <w:rFonts w:ascii="Courier New"/>
          <w:spacing w:val="-7"/>
          <w:sz w:val="20"/>
        </w:rPr>
        <w:t> </w:t>
      </w:r>
      <w:r>
        <w:rPr>
          <w:rFonts w:ascii="Courier New"/>
          <w:sz w:val="20"/>
        </w:rPr>
        <w:t>Not</w:t>
      </w:r>
      <w:r>
        <w:rPr>
          <w:rFonts w:ascii="Courier New"/>
          <w:spacing w:val="-7"/>
          <w:sz w:val="20"/>
        </w:rPr>
        <w:t> </w:t>
      </w:r>
      <w:r>
        <w:rPr>
          <w:rFonts w:ascii="Courier New"/>
          <w:sz w:val="20"/>
        </w:rPr>
        <w:t>BarDayOfYear()</w:t>
      </w:r>
      <w:r>
        <w:rPr>
          <w:rFonts w:ascii="Courier New"/>
          <w:spacing w:val="-6"/>
          <w:sz w:val="20"/>
        </w:rPr>
        <w:t> </w:t>
      </w:r>
      <w:r>
        <w:rPr>
          <w:rFonts w:ascii="Courier New"/>
          <w:sz w:val="20"/>
        </w:rPr>
        <w:t>=</w:t>
      </w:r>
      <w:r>
        <w:rPr>
          <w:rFonts w:ascii="Courier New"/>
          <w:spacing w:val="-7"/>
          <w:sz w:val="20"/>
        </w:rPr>
        <w:t> </w:t>
      </w:r>
      <w:r>
        <w:rPr>
          <w:rFonts w:ascii="Courier New"/>
          <w:spacing w:val="-2"/>
          <w:sz w:val="20"/>
        </w:rPr>
        <w:t>BarDayOfYear()[1]</w:t>
      </w:r>
    </w:p>
    <w:p>
      <w:pPr>
        <w:spacing w:line="226" w:lineRule="exact" w:before="0"/>
        <w:ind w:left="140" w:right="0" w:firstLine="0"/>
        <w:jc w:val="left"/>
        <w:rPr>
          <w:rFonts w:ascii="Courier New"/>
          <w:sz w:val="20"/>
        </w:rPr>
      </w:pPr>
      <w:r>
        <w:rPr>
          <w:rFonts w:ascii="Courier New"/>
          <w:sz w:val="20"/>
        </w:rPr>
        <w:t>ElseIf</w:t>
      </w:r>
      <w:r>
        <w:rPr>
          <w:rFonts w:ascii="Courier New"/>
          <w:spacing w:val="-6"/>
          <w:sz w:val="20"/>
        </w:rPr>
        <w:t> </w:t>
      </w:r>
      <w:r>
        <w:rPr>
          <w:rFonts w:ascii="Courier New"/>
          <w:sz w:val="20"/>
        </w:rPr>
        <w:t>Periodicity</w:t>
      </w:r>
      <w:r>
        <w:rPr>
          <w:rFonts w:ascii="Courier New"/>
          <w:spacing w:val="-6"/>
          <w:sz w:val="20"/>
        </w:rPr>
        <w:t> </w:t>
      </w:r>
      <w:r>
        <w:rPr>
          <w:rFonts w:ascii="Courier New"/>
          <w:sz w:val="20"/>
        </w:rPr>
        <w:t>=</w:t>
      </w:r>
      <w:r>
        <w:rPr>
          <w:rFonts w:ascii="Courier New"/>
          <w:spacing w:val="-6"/>
          <w:sz w:val="20"/>
        </w:rPr>
        <w:t> </w:t>
      </w:r>
      <w:r>
        <w:rPr>
          <w:rFonts w:ascii="Courier New"/>
          <w:sz w:val="20"/>
        </w:rPr>
        <w:t>2</w:t>
      </w:r>
      <w:r>
        <w:rPr>
          <w:rFonts w:ascii="Courier New"/>
          <w:spacing w:val="-5"/>
          <w:sz w:val="20"/>
        </w:rPr>
        <w:t> </w:t>
      </w:r>
      <w:r>
        <w:rPr>
          <w:rFonts w:ascii="Courier New"/>
          <w:spacing w:val="-4"/>
          <w:sz w:val="20"/>
        </w:rPr>
        <w:t>Then</w:t>
      </w:r>
    </w:p>
    <w:p>
      <w:pPr>
        <w:spacing w:before="0"/>
        <w:ind w:left="860" w:right="0" w:firstLine="0"/>
        <w:jc w:val="left"/>
        <w:rPr>
          <w:rFonts w:ascii="Courier New"/>
          <w:sz w:val="20"/>
        </w:rPr>
      </w:pPr>
      <w:r>
        <w:rPr>
          <w:rFonts w:ascii="Courier New"/>
          <w:sz w:val="20"/>
        </w:rPr>
        <w:t>bBreakBar</w:t>
      </w:r>
      <w:r>
        <w:rPr>
          <w:rFonts w:ascii="Courier New"/>
          <w:spacing w:val="-6"/>
          <w:sz w:val="20"/>
        </w:rPr>
        <w:t> </w:t>
      </w:r>
      <w:r>
        <w:rPr>
          <w:rFonts w:ascii="Courier New"/>
          <w:sz w:val="20"/>
        </w:rPr>
        <w:t>=</w:t>
      </w:r>
      <w:r>
        <w:rPr>
          <w:rFonts w:ascii="Courier New"/>
          <w:spacing w:val="-6"/>
          <w:sz w:val="20"/>
        </w:rPr>
        <w:t> </w:t>
      </w:r>
      <w:r>
        <w:rPr>
          <w:rFonts w:ascii="Courier New"/>
          <w:sz w:val="20"/>
        </w:rPr>
        <w:t>Not</w:t>
      </w:r>
      <w:r>
        <w:rPr>
          <w:rFonts w:ascii="Courier New"/>
          <w:spacing w:val="-6"/>
          <w:sz w:val="20"/>
        </w:rPr>
        <w:t> </w:t>
      </w:r>
      <w:r>
        <w:rPr>
          <w:rFonts w:ascii="Courier New"/>
          <w:sz w:val="20"/>
        </w:rPr>
        <w:t>BarMonth()</w:t>
      </w:r>
      <w:r>
        <w:rPr>
          <w:rFonts w:ascii="Courier New"/>
          <w:spacing w:val="-6"/>
          <w:sz w:val="20"/>
        </w:rPr>
        <w:t> </w:t>
      </w:r>
      <w:r>
        <w:rPr>
          <w:rFonts w:ascii="Courier New"/>
          <w:sz w:val="20"/>
        </w:rPr>
        <w:t>=</w:t>
      </w:r>
      <w:r>
        <w:rPr>
          <w:rFonts w:ascii="Courier New"/>
          <w:spacing w:val="-5"/>
          <w:sz w:val="20"/>
        </w:rPr>
        <w:t> </w:t>
      </w:r>
      <w:r>
        <w:rPr>
          <w:rFonts w:ascii="Courier New"/>
          <w:spacing w:val="-2"/>
          <w:sz w:val="20"/>
        </w:rPr>
        <w:t>BarMonth()[1]</w:t>
      </w:r>
    </w:p>
    <w:p>
      <w:pPr>
        <w:spacing w:before="0"/>
        <w:ind w:left="140" w:right="0" w:firstLine="0"/>
        <w:jc w:val="left"/>
        <w:rPr>
          <w:rFonts w:ascii="Courier New"/>
          <w:sz w:val="20"/>
        </w:rPr>
      </w:pPr>
      <w:r>
        <w:rPr>
          <w:rFonts w:ascii="Courier New"/>
          <w:spacing w:val="-4"/>
          <w:sz w:val="20"/>
        </w:rPr>
        <w:t>Else</w:t>
      </w:r>
    </w:p>
    <w:p>
      <w:pPr>
        <w:spacing w:before="0"/>
        <w:ind w:left="860" w:right="0" w:firstLine="0"/>
        <w:jc w:val="left"/>
        <w:rPr>
          <w:rFonts w:ascii="Courier New"/>
          <w:sz w:val="20"/>
        </w:rPr>
      </w:pPr>
      <w:r>
        <w:rPr>
          <w:rFonts w:ascii="Courier New"/>
          <w:sz w:val="20"/>
        </w:rPr>
        <w:t>bBreakBar</w:t>
      </w:r>
      <w:r>
        <w:rPr>
          <w:rFonts w:ascii="Courier New"/>
          <w:spacing w:val="-8"/>
          <w:sz w:val="20"/>
        </w:rPr>
        <w:t> </w:t>
      </w:r>
      <w:r>
        <w:rPr>
          <w:rFonts w:ascii="Courier New"/>
          <w:sz w:val="20"/>
        </w:rPr>
        <w:t>=</w:t>
      </w:r>
      <w:r>
        <w:rPr>
          <w:rFonts w:ascii="Courier New"/>
          <w:spacing w:val="-6"/>
          <w:sz w:val="20"/>
        </w:rPr>
        <w:t> </w:t>
      </w:r>
      <w:r>
        <w:rPr>
          <w:rFonts w:ascii="Courier New"/>
          <w:spacing w:val="-2"/>
          <w:sz w:val="20"/>
        </w:rPr>
        <w:t>False</w:t>
      </w:r>
    </w:p>
    <w:p>
      <w:pPr>
        <w:spacing w:before="1"/>
        <w:ind w:left="1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pStyle w:val="BodyText"/>
        <w:spacing w:before="10"/>
        <w:rPr>
          <w:rFonts w:ascii="Courier New"/>
          <w:sz w:val="19"/>
        </w:rPr>
      </w:pPr>
    </w:p>
    <w:p>
      <w:pPr>
        <w:spacing w:before="0"/>
        <w:ind w:left="140" w:right="519" w:firstLine="0"/>
        <w:jc w:val="left"/>
        <w:rPr>
          <w:rFonts w:ascii="Courier New"/>
          <w:sz w:val="20"/>
        </w:rPr>
      </w:pPr>
      <w:r>
        <w:rPr>
          <w:rFonts w:ascii="Courier New"/>
          <w:sz w:val="20"/>
        </w:rPr>
        <w:t>If</w:t>
      </w:r>
      <w:r>
        <w:rPr>
          <w:rFonts w:ascii="Courier New"/>
          <w:spacing w:val="-5"/>
          <w:sz w:val="20"/>
        </w:rPr>
        <w:t> </w:t>
      </w:r>
      <w:r>
        <w:rPr>
          <w:rFonts w:ascii="Courier New"/>
          <w:sz w:val="20"/>
        </w:rPr>
        <w:t>Plot_Pivots</w:t>
      </w:r>
      <w:r>
        <w:rPr>
          <w:rFonts w:ascii="Courier New"/>
          <w:spacing w:val="-5"/>
          <w:sz w:val="20"/>
        </w:rPr>
        <w:t> </w:t>
      </w:r>
      <w:r>
        <w:rPr>
          <w:rFonts w:ascii="Courier New"/>
          <w:sz w:val="20"/>
        </w:rPr>
        <w:t>=</w:t>
      </w:r>
      <w:r>
        <w:rPr>
          <w:rFonts w:ascii="Courier New"/>
          <w:spacing w:val="-5"/>
          <w:sz w:val="20"/>
        </w:rPr>
        <w:t> </w:t>
      </w:r>
      <w:r>
        <w:rPr>
          <w:rFonts w:ascii="Courier New"/>
          <w:sz w:val="20"/>
        </w:rPr>
        <w:t>1</w:t>
      </w:r>
      <w:r>
        <w:rPr>
          <w:rFonts w:ascii="Courier New"/>
          <w:spacing w:val="-5"/>
          <w:sz w:val="20"/>
        </w:rPr>
        <w:t> </w:t>
      </w:r>
      <w:r>
        <w:rPr>
          <w:rFonts w:ascii="Courier New"/>
          <w:sz w:val="20"/>
        </w:rPr>
        <w:t>And</w:t>
      </w:r>
      <w:r>
        <w:rPr>
          <w:rFonts w:ascii="Courier New"/>
          <w:spacing w:val="-5"/>
          <w:sz w:val="20"/>
        </w:rPr>
        <w:t> </w:t>
      </w:r>
      <w:r>
        <w:rPr>
          <w:rFonts w:ascii="Courier New"/>
          <w:sz w:val="20"/>
        </w:rPr>
        <w:t>(bBreakBar</w:t>
      </w:r>
      <w:r>
        <w:rPr>
          <w:rFonts w:ascii="Courier New"/>
          <w:spacing w:val="-5"/>
          <w:sz w:val="20"/>
        </w:rPr>
        <w:t> </w:t>
      </w:r>
      <w:r>
        <w:rPr>
          <w:rFonts w:ascii="Courier New"/>
          <w:sz w:val="20"/>
        </w:rPr>
        <w:t>Or</w:t>
      </w:r>
      <w:r>
        <w:rPr>
          <w:rFonts w:ascii="Courier New"/>
          <w:spacing w:val="-5"/>
          <w:sz w:val="20"/>
        </w:rPr>
        <w:t> </w:t>
      </w:r>
      <w:r>
        <w:rPr>
          <w:rFonts w:ascii="Courier New"/>
          <w:sz w:val="20"/>
        </w:rPr>
        <w:t>Bar</w:t>
      </w:r>
      <w:r>
        <w:rPr>
          <w:rFonts w:ascii="Courier New"/>
          <w:spacing w:val="-5"/>
          <w:sz w:val="20"/>
        </w:rPr>
        <w:t> </w:t>
      </w:r>
      <w:r>
        <w:rPr>
          <w:rFonts w:ascii="Courier New"/>
          <w:sz w:val="20"/>
        </w:rPr>
        <w:t>= SymbolData.NumRec - 1) Then</w:t>
      </w:r>
    </w:p>
    <w:p>
      <w:pPr>
        <w:spacing w:before="1"/>
        <w:ind w:left="1580" w:right="1693" w:hanging="721"/>
        <w:jc w:val="left"/>
        <w:rPr>
          <w:rFonts w:ascii="Courier New"/>
          <w:sz w:val="20"/>
        </w:rPr>
      </w:pPr>
      <w:r>
        <w:rPr>
          <w:rFonts w:ascii="Courier New"/>
          <w:sz w:val="20"/>
        </w:rPr>
        <w:t>If</w:t>
      </w:r>
      <w:r>
        <w:rPr>
          <w:rFonts w:ascii="Courier New"/>
          <w:spacing w:val="-6"/>
          <w:sz w:val="20"/>
        </w:rPr>
        <w:t> </w:t>
      </w:r>
      <w:r>
        <w:rPr>
          <w:rFonts w:ascii="Courier New"/>
          <w:sz w:val="20"/>
        </w:rPr>
        <w:t>Bar</w:t>
      </w:r>
      <w:r>
        <w:rPr>
          <w:rFonts w:ascii="Courier New"/>
          <w:spacing w:val="-6"/>
          <w:sz w:val="20"/>
        </w:rPr>
        <w:t> </w:t>
      </w:r>
      <w:r>
        <w:rPr>
          <w:rFonts w:ascii="Courier New"/>
          <w:sz w:val="20"/>
        </w:rPr>
        <w:t>=</w:t>
      </w:r>
      <w:r>
        <w:rPr>
          <w:rFonts w:ascii="Courier New"/>
          <w:spacing w:val="-6"/>
          <w:sz w:val="20"/>
        </w:rPr>
        <w:t> </w:t>
      </w:r>
      <w:r>
        <w:rPr>
          <w:rFonts w:ascii="Courier New"/>
          <w:sz w:val="20"/>
        </w:rPr>
        <w:t>SymbolData.NumRec</w:t>
      </w:r>
      <w:r>
        <w:rPr>
          <w:rFonts w:ascii="Courier New"/>
          <w:spacing w:val="-6"/>
          <w:sz w:val="20"/>
        </w:rPr>
        <w:t> </w:t>
      </w:r>
      <w:r>
        <w:rPr>
          <w:rFonts w:ascii="Courier New"/>
          <w:sz w:val="20"/>
        </w:rPr>
        <w:t>-</w:t>
      </w:r>
      <w:r>
        <w:rPr>
          <w:rFonts w:ascii="Courier New"/>
          <w:spacing w:val="-6"/>
          <w:sz w:val="20"/>
        </w:rPr>
        <w:t> </w:t>
      </w:r>
      <w:r>
        <w:rPr>
          <w:rFonts w:ascii="Courier New"/>
          <w:sz w:val="20"/>
        </w:rPr>
        <w:t>1</w:t>
      </w:r>
      <w:r>
        <w:rPr>
          <w:rFonts w:ascii="Courier New"/>
          <w:spacing w:val="-6"/>
          <w:sz w:val="20"/>
        </w:rPr>
        <w:t> </w:t>
      </w:r>
      <w:r>
        <w:rPr>
          <w:rFonts w:ascii="Courier New"/>
          <w:sz w:val="20"/>
        </w:rPr>
        <w:t>Then nLastBar = Bar</w:t>
      </w:r>
    </w:p>
    <w:p>
      <w:pPr>
        <w:spacing w:line="226" w:lineRule="exact" w:before="0"/>
        <w:ind w:left="860" w:right="0" w:firstLine="0"/>
        <w:jc w:val="left"/>
        <w:rPr>
          <w:rFonts w:ascii="Courier New"/>
          <w:sz w:val="20"/>
        </w:rPr>
      </w:pPr>
      <w:r>
        <w:rPr>
          <w:rFonts w:ascii="Courier New"/>
          <w:spacing w:val="-4"/>
          <w:sz w:val="20"/>
        </w:rPr>
        <w:t>Else</w:t>
      </w:r>
    </w:p>
    <w:p>
      <w:pPr>
        <w:spacing w:before="0"/>
        <w:ind w:left="1580" w:right="0" w:firstLine="0"/>
        <w:jc w:val="left"/>
        <w:rPr>
          <w:rFonts w:ascii="Courier New"/>
          <w:sz w:val="20"/>
        </w:rPr>
      </w:pPr>
      <w:r>
        <w:rPr>
          <w:rFonts w:ascii="Courier New"/>
          <w:sz w:val="20"/>
        </w:rPr>
        <w:t>nLastBar</w:t>
      </w:r>
      <w:r>
        <w:rPr>
          <w:rFonts w:ascii="Courier New"/>
          <w:spacing w:val="-4"/>
          <w:sz w:val="20"/>
        </w:rPr>
        <w:t> </w:t>
      </w:r>
      <w:r>
        <w:rPr>
          <w:rFonts w:ascii="Courier New"/>
          <w:sz w:val="20"/>
        </w:rPr>
        <w:t>=</w:t>
      </w:r>
      <w:r>
        <w:rPr>
          <w:rFonts w:ascii="Courier New"/>
          <w:spacing w:val="-4"/>
          <w:sz w:val="20"/>
        </w:rPr>
        <w:t> </w:t>
      </w:r>
      <w:r>
        <w:rPr>
          <w:rFonts w:ascii="Courier New"/>
          <w:sz w:val="20"/>
        </w:rPr>
        <w:t>Bar</w:t>
      </w:r>
      <w:r>
        <w:rPr>
          <w:rFonts w:ascii="Courier New"/>
          <w:spacing w:val="-4"/>
          <w:sz w:val="20"/>
        </w:rPr>
        <w:t> </w:t>
      </w:r>
      <w:r>
        <w:rPr>
          <w:rFonts w:ascii="Courier New"/>
          <w:sz w:val="20"/>
        </w:rPr>
        <w:t>-</w:t>
      </w:r>
      <w:r>
        <w:rPr>
          <w:rFonts w:ascii="Courier New"/>
          <w:spacing w:val="-4"/>
          <w:sz w:val="20"/>
        </w:rPr>
        <w:t> </w:t>
      </w:r>
      <w:r>
        <w:rPr>
          <w:rFonts w:ascii="Courier New"/>
          <w:spacing w:val="-10"/>
          <w:sz w:val="20"/>
        </w:rPr>
        <w:t>1</w:t>
      </w:r>
    </w:p>
    <w:p>
      <w:pPr>
        <w:spacing w:before="0"/>
        <w:ind w:left="86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pStyle w:val="BodyText"/>
        <w:rPr>
          <w:rFonts w:ascii="Courier New"/>
          <w:sz w:val="20"/>
        </w:rPr>
      </w:pPr>
    </w:p>
    <w:p>
      <w:pPr>
        <w:spacing w:before="1"/>
        <w:ind w:left="140" w:right="0" w:firstLine="720"/>
        <w:jc w:val="left"/>
        <w:rPr>
          <w:rFonts w:ascii="Courier New"/>
          <w:sz w:val="20"/>
        </w:rPr>
      </w:pPr>
      <w:r>
        <w:rPr>
          <w:rFonts w:ascii="Courier New"/>
          <w:sz w:val="20"/>
        </w:rPr>
        <w:t>PlotPriceTrendLine("H3", nBreakBar-1, fH3[Bar - nBreakBar</w:t>
      </w:r>
      <w:r>
        <w:rPr>
          <w:rFonts w:ascii="Courier New"/>
          <w:spacing w:val="-4"/>
          <w:sz w:val="20"/>
        </w:rPr>
        <w:t> </w:t>
      </w:r>
      <w:r>
        <w:rPr>
          <w:rFonts w:ascii="Courier New"/>
          <w:sz w:val="20"/>
        </w:rPr>
        <w:t>+</w:t>
      </w:r>
      <w:r>
        <w:rPr>
          <w:rFonts w:ascii="Courier New"/>
          <w:spacing w:val="-4"/>
          <w:sz w:val="20"/>
        </w:rPr>
        <w:t> </w:t>
      </w:r>
      <w:r>
        <w:rPr>
          <w:rFonts w:ascii="Courier New"/>
          <w:sz w:val="20"/>
        </w:rPr>
        <w:t>1],</w:t>
      </w:r>
      <w:r>
        <w:rPr>
          <w:rFonts w:ascii="Courier New"/>
          <w:spacing w:val="-4"/>
          <w:sz w:val="20"/>
        </w:rPr>
        <w:t> </w:t>
      </w:r>
      <w:r>
        <w:rPr>
          <w:rFonts w:ascii="Courier New"/>
          <w:sz w:val="20"/>
        </w:rPr>
        <w:t>nLastBar,</w:t>
      </w:r>
      <w:r>
        <w:rPr>
          <w:rFonts w:ascii="Courier New"/>
          <w:spacing w:val="-4"/>
          <w:sz w:val="20"/>
        </w:rPr>
        <w:t> </w:t>
      </w:r>
      <w:r>
        <w:rPr>
          <w:rFonts w:ascii="Courier New"/>
          <w:sz w:val="20"/>
        </w:rPr>
        <w:t>fH3[Bar</w:t>
      </w:r>
      <w:r>
        <w:rPr>
          <w:rFonts w:ascii="Courier New"/>
          <w:spacing w:val="-4"/>
          <w:sz w:val="20"/>
        </w:rPr>
        <w:t> </w:t>
      </w:r>
      <w:r>
        <w:rPr>
          <w:rFonts w:ascii="Courier New"/>
          <w:sz w:val="20"/>
        </w:rPr>
        <w:t>-</w:t>
      </w:r>
      <w:r>
        <w:rPr>
          <w:rFonts w:ascii="Courier New"/>
          <w:spacing w:val="-4"/>
          <w:sz w:val="20"/>
        </w:rPr>
        <w:t> </w:t>
      </w:r>
      <w:r>
        <w:rPr>
          <w:rFonts w:ascii="Courier New"/>
          <w:sz w:val="20"/>
        </w:rPr>
        <w:t>nBreakBar</w:t>
      </w:r>
      <w:r>
        <w:rPr>
          <w:rFonts w:ascii="Courier New"/>
          <w:spacing w:val="-4"/>
          <w:sz w:val="20"/>
        </w:rPr>
        <w:t> </w:t>
      </w:r>
      <w:r>
        <w:rPr>
          <w:rFonts w:ascii="Courier New"/>
          <w:sz w:val="20"/>
        </w:rPr>
        <w:t>+</w:t>
      </w:r>
      <w:r>
        <w:rPr>
          <w:rFonts w:ascii="Courier New"/>
          <w:spacing w:val="-4"/>
          <w:sz w:val="20"/>
        </w:rPr>
        <w:t> </w:t>
      </w:r>
      <w:r>
        <w:rPr>
          <w:rFonts w:ascii="Courier New"/>
          <w:sz w:val="20"/>
        </w:rPr>
        <w:t>1],</w:t>
      </w:r>
      <w:r>
        <w:rPr>
          <w:rFonts w:ascii="Courier New"/>
          <w:spacing w:val="-4"/>
          <w:sz w:val="20"/>
        </w:rPr>
        <w:t> </w:t>
      </w:r>
      <w:r>
        <w:rPr>
          <w:rFonts w:ascii="Courier New"/>
          <w:sz w:val="20"/>
        </w:rPr>
        <w:t>red)</w:t>
      </w:r>
    </w:p>
    <w:p>
      <w:pPr>
        <w:spacing w:before="0"/>
        <w:ind w:left="140" w:right="552" w:firstLine="720"/>
        <w:jc w:val="left"/>
        <w:rPr>
          <w:rFonts w:ascii="Courier New"/>
          <w:sz w:val="20"/>
        </w:rPr>
      </w:pPr>
      <w:r>
        <w:rPr>
          <w:rFonts w:ascii="Courier New"/>
          <w:sz w:val="20"/>
        </w:rPr>
        <w:t>PlotPriceTrendLine("L3",</w:t>
      </w:r>
      <w:r>
        <w:rPr>
          <w:rFonts w:ascii="Courier New"/>
          <w:spacing w:val="-11"/>
          <w:sz w:val="20"/>
        </w:rPr>
        <w:t> </w:t>
      </w:r>
      <w:r>
        <w:rPr>
          <w:rFonts w:ascii="Courier New"/>
          <w:sz w:val="20"/>
        </w:rPr>
        <w:t>nBreakBar-1,</w:t>
      </w:r>
      <w:r>
        <w:rPr>
          <w:rFonts w:ascii="Courier New"/>
          <w:spacing w:val="-11"/>
          <w:sz w:val="20"/>
        </w:rPr>
        <w:t> </w:t>
      </w:r>
      <w:r>
        <w:rPr>
          <w:rFonts w:ascii="Courier New"/>
          <w:sz w:val="20"/>
        </w:rPr>
        <w:t>fL3[Bar</w:t>
      </w:r>
      <w:r>
        <w:rPr>
          <w:rFonts w:ascii="Courier New"/>
          <w:spacing w:val="-11"/>
          <w:sz w:val="20"/>
        </w:rPr>
        <w:t> </w:t>
      </w:r>
      <w:r>
        <w:rPr>
          <w:rFonts w:ascii="Courier New"/>
          <w:sz w:val="20"/>
        </w:rPr>
        <w:t>- nBreakBar + 1], nLastBar, fL3[Bar - nBreakBar + 1], </w:t>
      </w:r>
      <w:r>
        <w:rPr>
          <w:rFonts w:ascii="Courier New"/>
          <w:spacing w:val="-2"/>
          <w:sz w:val="20"/>
        </w:rPr>
        <w:t>green)</w:t>
      </w:r>
    </w:p>
    <w:p>
      <w:pPr>
        <w:spacing w:before="0"/>
        <w:ind w:left="14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pStyle w:val="BodyText"/>
        <w:spacing w:before="10"/>
        <w:rPr>
          <w:rFonts w:ascii="Courier New"/>
          <w:sz w:val="19"/>
        </w:rPr>
      </w:pPr>
    </w:p>
    <w:p>
      <w:pPr>
        <w:spacing w:before="0"/>
        <w:ind w:left="620" w:right="3806" w:hanging="481"/>
        <w:jc w:val="left"/>
        <w:rPr>
          <w:rFonts w:ascii="Courier New"/>
          <w:sz w:val="20"/>
        </w:rPr>
      </w:pPr>
      <w:r>
        <w:rPr>
          <w:rFonts w:ascii="Courier New"/>
          <w:sz w:val="20"/>
        </w:rPr>
        <w:t>If</w:t>
      </w:r>
      <w:r>
        <w:rPr>
          <w:rFonts w:ascii="Courier New"/>
          <w:spacing w:val="-6"/>
          <w:sz w:val="20"/>
        </w:rPr>
        <w:t> </w:t>
      </w:r>
      <w:r>
        <w:rPr>
          <w:rFonts w:ascii="Courier New"/>
          <w:sz w:val="20"/>
        </w:rPr>
        <w:t>Bar</w:t>
      </w:r>
      <w:r>
        <w:rPr>
          <w:rFonts w:ascii="Courier New"/>
          <w:spacing w:val="-6"/>
          <w:sz w:val="20"/>
        </w:rPr>
        <w:t> </w:t>
      </w:r>
      <w:r>
        <w:rPr>
          <w:rFonts w:ascii="Courier New"/>
          <w:sz w:val="20"/>
        </w:rPr>
        <w:t>=</w:t>
      </w:r>
      <w:r>
        <w:rPr>
          <w:rFonts w:ascii="Courier New"/>
          <w:spacing w:val="-6"/>
          <w:sz w:val="20"/>
        </w:rPr>
        <w:t> </w:t>
      </w:r>
      <w:r>
        <w:rPr>
          <w:rFonts w:ascii="Courier New"/>
          <w:sz w:val="20"/>
        </w:rPr>
        <w:t>0</w:t>
      </w:r>
      <w:r>
        <w:rPr>
          <w:rFonts w:ascii="Courier New"/>
          <w:spacing w:val="-6"/>
          <w:sz w:val="20"/>
        </w:rPr>
        <w:t> </w:t>
      </w:r>
      <w:r>
        <w:rPr>
          <w:rFonts w:ascii="Courier New"/>
          <w:sz w:val="20"/>
        </w:rPr>
        <w:t>Or</w:t>
      </w:r>
      <w:r>
        <w:rPr>
          <w:rFonts w:ascii="Courier New"/>
          <w:spacing w:val="-6"/>
          <w:sz w:val="20"/>
        </w:rPr>
        <w:t> </w:t>
      </w:r>
      <w:r>
        <w:rPr>
          <w:rFonts w:ascii="Courier New"/>
          <w:sz w:val="20"/>
        </w:rPr>
        <w:t>bBreakBar</w:t>
      </w:r>
      <w:r>
        <w:rPr>
          <w:rFonts w:ascii="Courier New"/>
          <w:spacing w:val="-6"/>
          <w:sz w:val="20"/>
        </w:rPr>
        <w:t> </w:t>
      </w:r>
      <w:r>
        <w:rPr>
          <w:rFonts w:ascii="Courier New"/>
          <w:sz w:val="20"/>
        </w:rPr>
        <w:t>then fHigh = H</w:t>
      </w:r>
    </w:p>
    <w:p>
      <w:pPr>
        <w:spacing w:before="1"/>
        <w:ind w:left="620" w:right="4839" w:firstLine="0"/>
        <w:jc w:val="left"/>
        <w:rPr>
          <w:rFonts w:ascii="Courier New"/>
          <w:sz w:val="20"/>
        </w:rPr>
      </w:pPr>
      <w:r>
        <w:rPr>
          <w:rFonts w:ascii="Courier New"/>
          <w:sz w:val="20"/>
        </w:rPr>
        <w:t>fLow = L nBreakBar</w:t>
      </w:r>
      <w:r>
        <w:rPr>
          <w:rFonts w:ascii="Courier New"/>
          <w:spacing w:val="-18"/>
          <w:sz w:val="20"/>
        </w:rPr>
        <w:t> </w:t>
      </w:r>
      <w:r>
        <w:rPr>
          <w:rFonts w:ascii="Courier New"/>
          <w:sz w:val="20"/>
        </w:rPr>
        <w:t>=</w:t>
      </w:r>
      <w:r>
        <w:rPr>
          <w:rFonts w:ascii="Courier New"/>
          <w:spacing w:val="-18"/>
          <w:sz w:val="20"/>
        </w:rPr>
        <w:t> </w:t>
      </w:r>
      <w:r>
        <w:rPr>
          <w:rFonts w:ascii="Courier New"/>
          <w:sz w:val="20"/>
        </w:rPr>
        <w:t>Bar</w:t>
      </w:r>
    </w:p>
    <w:p>
      <w:pPr>
        <w:spacing w:line="226" w:lineRule="exact" w:before="0"/>
        <w:ind w:left="140" w:right="0" w:firstLine="0"/>
        <w:jc w:val="left"/>
        <w:rPr>
          <w:rFonts w:ascii="Courier New"/>
          <w:sz w:val="20"/>
        </w:rPr>
      </w:pPr>
      <w:r>
        <w:rPr>
          <w:rFonts w:ascii="Courier New"/>
          <w:spacing w:val="-4"/>
          <w:sz w:val="20"/>
        </w:rPr>
        <w:t>Else</w:t>
      </w:r>
    </w:p>
    <w:p>
      <w:pPr>
        <w:spacing w:before="0"/>
        <w:ind w:left="860" w:right="0" w:firstLine="0"/>
        <w:jc w:val="left"/>
        <w:rPr>
          <w:rFonts w:ascii="Courier New"/>
          <w:sz w:val="20"/>
        </w:rPr>
      </w:pPr>
      <w:r>
        <w:rPr>
          <w:rFonts w:ascii="Courier New"/>
          <w:sz w:val="20"/>
        </w:rPr>
        <w:t>If</w:t>
      </w:r>
      <w:r>
        <w:rPr>
          <w:rFonts w:ascii="Courier New"/>
          <w:spacing w:val="-3"/>
          <w:sz w:val="20"/>
        </w:rPr>
        <w:t> </w:t>
      </w:r>
      <w:r>
        <w:rPr>
          <w:rFonts w:ascii="Courier New"/>
          <w:sz w:val="20"/>
        </w:rPr>
        <w:t>H</w:t>
      </w:r>
      <w:r>
        <w:rPr>
          <w:rFonts w:ascii="Courier New"/>
          <w:spacing w:val="-3"/>
          <w:sz w:val="20"/>
        </w:rPr>
        <w:t> </w:t>
      </w:r>
      <w:r>
        <w:rPr>
          <w:rFonts w:ascii="Courier New"/>
          <w:sz w:val="20"/>
        </w:rPr>
        <w:t>&gt;</w:t>
      </w:r>
      <w:r>
        <w:rPr>
          <w:rFonts w:ascii="Courier New"/>
          <w:spacing w:val="-3"/>
          <w:sz w:val="20"/>
        </w:rPr>
        <w:t> </w:t>
      </w:r>
      <w:r>
        <w:rPr>
          <w:rFonts w:ascii="Courier New"/>
          <w:sz w:val="20"/>
        </w:rPr>
        <w:t>fHigh</w:t>
      </w:r>
      <w:r>
        <w:rPr>
          <w:rFonts w:ascii="Courier New"/>
          <w:spacing w:val="-2"/>
          <w:sz w:val="20"/>
        </w:rPr>
        <w:t> </w:t>
      </w:r>
      <w:r>
        <w:rPr>
          <w:rFonts w:ascii="Courier New"/>
          <w:spacing w:val="-4"/>
          <w:sz w:val="20"/>
        </w:rPr>
        <w:t>Then</w:t>
      </w:r>
    </w:p>
    <w:p>
      <w:pPr>
        <w:spacing w:before="0"/>
        <w:ind w:left="1580" w:right="0" w:firstLine="0"/>
        <w:jc w:val="left"/>
        <w:rPr>
          <w:rFonts w:ascii="Courier New"/>
          <w:sz w:val="20"/>
        </w:rPr>
      </w:pPr>
      <w:r>
        <w:rPr>
          <w:rFonts w:ascii="Courier New"/>
          <w:sz w:val="20"/>
        </w:rPr>
        <w:t>fHigh</w:t>
      </w:r>
      <w:r>
        <w:rPr>
          <w:rFonts w:ascii="Courier New"/>
          <w:spacing w:val="-4"/>
          <w:sz w:val="20"/>
        </w:rPr>
        <w:t> </w:t>
      </w:r>
      <w:r>
        <w:rPr>
          <w:rFonts w:ascii="Courier New"/>
          <w:sz w:val="20"/>
        </w:rPr>
        <w:t>=</w:t>
      </w:r>
      <w:r>
        <w:rPr>
          <w:rFonts w:ascii="Courier New"/>
          <w:spacing w:val="-4"/>
          <w:sz w:val="20"/>
        </w:rPr>
        <w:t> </w:t>
      </w:r>
      <w:r>
        <w:rPr>
          <w:rFonts w:ascii="Courier New"/>
          <w:spacing w:val="-10"/>
          <w:sz w:val="20"/>
        </w:rPr>
        <w:t>H</w:t>
      </w:r>
    </w:p>
    <w:p>
      <w:pPr>
        <w:spacing w:before="0"/>
        <w:ind w:left="620" w:right="0" w:firstLine="0"/>
        <w:jc w:val="left"/>
        <w:rPr>
          <w:rFonts w:ascii="Courier New"/>
          <w:sz w:val="20"/>
        </w:rPr>
      </w:pPr>
      <w:r>
        <w:rPr>
          <w:rFonts w:ascii="Courier New"/>
          <w:sz w:val="20"/>
        </w:rPr>
        <w:t>End</w:t>
      </w:r>
      <w:r>
        <w:rPr>
          <w:rFonts w:ascii="Courier New"/>
          <w:spacing w:val="-4"/>
          <w:sz w:val="20"/>
        </w:rPr>
        <w:t> </w:t>
      </w:r>
      <w:r>
        <w:rPr>
          <w:rFonts w:ascii="Courier New"/>
          <w:spacing w:val="-5"/>
          <w:sz w:val="20"/>
        </w:rPr>
        <w:t>If</w:t>
      </w:r>
    </w:p>
    <w:p>
      <w:pPr>
        <w:spacing w:after="0"/>
        <w:jc w:val="left"/>
        <w:rPr>
          <w:rFonts w:ascii="Courier New"/>
          <w:sz w:val="20"/>
        </w:rPr>
        <w:sectPr>
          <w:pgSz w:w="8640" w:h="12960"/>
          <w:pgMar w:header="579" w:footer="1060" w:top="760" w:bottom="1260" w:left="580" w:right="580"/>
        </w:sectPr>
      </w:pPr>
    </w:p>
    <w:p>
      <w:pPr>
        <w:pStyle w:val="BodyText"/>
        <w:spacing w:before="1"/>
        <w:rPr>
          <w:rFonts w:ascii="Courier New"/>
        </w:rPr>
      </w:pPr>
    </w:p>
    <w:p>
      <w:pPr>
        <w:spacing w:before="76"/>
        <w:ind w:left="0" w:right="4575" w:firstLine="0"/>
        <w:jc w:val="right"/>
        <w:rPr>
          <w:rFonts w:ascii="Courier New"/>
          <w:sz w:val="20"/>
        </w:rPr>
      </w:pPr>
      <w:r>
        <w:rPr>
          <w:rFonts w:ascii="Courier New"/>
          <w:sz w:val="20"/>
        </w:rPr>
        <w:t>If</w:t>
      </w:r>
      <w:r>
        <w:rPr>
          <w:rFonts w:ascii="Courier New"/>
          <w:spacing w:val="-3"/>
          <w:sz w:val="20"/>
        </w:rPr>
        <w:t> </w:t>
      </w:r>
      <w:r>
        <w:rPr>
          <w:rFonts w:ascii="Courier New"/>
          <w:sz w:val="20"/>
        </w:rPr>
        <w:t>L</w:t>
      </w:r>
      <w:r>
        <w:rPr>
          <w:rFonts w:ascii="Courier New"/>
          <w:spacing w:val="-2"/>
          <w:sz w:val="20"/>
        </w:rPr>
        <w:t> </w:t>
      </w:r>
      <w:r>
        <w:rPr>
          <w:rFonts w:ascii="Courier New"/>
          <w:sz w:val="20"/>
        </w:rPr>
        <w:t>&lt;</w:t>
      </w:r>
      <w:r>
        <w:rPr>
          <w:rFonts w:ascii="Courier New"/>
          <w:spacing w:val="-3"/>
          <w:sz w:val="20"/>
        </w:rPr>
        <w:t> </w:t>
      </w:r>
      <w:r>
        <w:rPr>
          <w:rFonts w:ascii="Courier New"/>
          <w:sz w:val="20"/>
        </w:rPr>
        <w:t>fLow</w:t>
      </w:r>
      <w:r>
        <w:rPr>
          <w:rFonts w:ascii="Courier New"/>
          <w:spacing w:val="-2"/>
          <w:sz w:val="20"/>
        </w:rPr>
        <w:t> </w:t>
      </w:r>
      <w:r>
        <w:rPr>
          <w:rFonts w:ascii="Courier New"/>
          <w:spacing w:val="-4"/>
          <w:sz w:val="20"/>
        </w:rPr>
        <w:t>Then</w:t>
      </w:r>
    </w:p>
    <w:p>
      <w:pPr>
        <w:spacing w:before="0"/>
        <w:ind w:left="0" w:right="4576" w:firstLine="0"/>
        <w:jc w:val="right"/>
        <w:rPr>
          <w:rFonts w:ascii="Courier New"/>
          <w:sz w:val="20"/>
        </w:rPr>
      </w:pPr>
      <w:r>
        <w:rPr>
          <w:rFonts w:ascii="Courier New"/>
          <w:sz w:val="20"/>
        </w:rPr>
        <w:t>fLow</w:t>
      </w:r>
      <w:r>
        <w:rPr>
          <w:rFonts w:ascii="Courier New"/>
          <w:spacing w:val="-5"/>
          <w:sz w:val="20"/>
        </w:rPr>
        <w:t> </w:t>
      </w:r>
      <w:r>
        <w:rPr>
          <w:rFonts w:ascii="Courier New"/>
          <w:sz w:val="20"/>
        </w:rPr>
        <w:t>=</w:t>
      </w:r>
      <w:r>
        <w:rPr>
          <w:rFonts w:ascii="Courier New"/>
          <w:spacing w:val="-3"/>
          <w:sz w:val="20"/>
        </w:rPr>
        <w:t> </w:t>
      </w:r>
      <w:r>
        <w:rPr>
          <w:rFonts w:ascii="Courier New"/>
          <w:spacing w:val="-10"/>
          <w:sz w:val="20"/>
        </w:rPr>
        <w:t>L</w:t>
      </w:r>
    </w:p>
    <w:p>
      <w:pPr>
        <w:spacing w:before="1"/>
        <w:ind w:left="500" w:right="5559" w:firstLine="480"/>
        <w:jc w:val="left"/>
        <w:rPr>
          <w:rFonts w:ascii="Courier New"/>
          <w:sz w:val="20"/>
        </w:rPr>
      </w:pPr>
      <w:r>
        <w:rPr>
          <w:rFonts w:ascii="Courier New"/>
          <w:sz w:val="20"/>
        </w:rPr>
        <w:t>End</w:t>
      </w:r>
      <w:r>
        <w:rPr>
          <w:rFonts w:ascii="Courier New"/>
          <w:spacing w:val="-32"/>
          <w:sz w:val="20"/>
        </w:rPr>
        <w:t> </w:t>
      </w:r>
      <w:r>
        <w:rPr>
          <w:rFonts w:ascii="Courier New"/>
          <w:sz w:val="20"/>
        </w:rPr>
        <w:t>If End If</w:t>
      </w:r>
    </w:p>
    <w:p>
      <w:pPr>
        <w:pStyle w:val="BodyText"/>
        <w:spacing w:before="10"/>
        <w:rPr>
          <w:rFonts w:ascii="Courier New"/>
          <w:sz w:val="19"/>
        </w:rPr>
      </w:pPr>
    </w:p>
    <w:p>
      <w:pPr>
        <w:spacing w:before="1"/>
        <w:ind w:left="500" w:right="0" w:firstLine="0"/>
        <w:jc w:val="left"/>
        <w:rPr>
          <w:rFonts w:ascii="Courier New"/>
          <w:sz w:val="20"/>
        </w:rPr>
      </w:pPr>
      <w:r>
        <w:rPr>
          <w:rFonts w:ascii="Courier New"/>
          <w:sz w:val="20"/>
        </w:rPr>
        <w:t>fClose</w:t>
      </w:r>
      <w:r>
        <w:rPr>
          <w:rFonts w:ascii="Courier New"/>
          <w:spacing w:val="-5"/>
          <w:sz w:val="20"/>
        </w:rPr>
        <w:t> </w:t>
      </w:r>
      <w:r>
        <w:rPr>
          <w:rFonts w:ascii="Courier New"/>
          <w:sz w:val="20"/>
        </w:rPr>
        <w:t>=</w:t>
      </w:r>
      <w:r>
        <w:rPr>
          <w:rFonts w:ascii="Courier New"/>
          <w:spacing w:val="-4"/>
          <w:sz w:val="20"/>
        </w:rPr>
        <w:t> </w:t>
      </w:r>
      <w:r>
        <w:rPr>
          <w:rFonts w:ascii="Courier New"/>
          <w:spacing w:val="-10"/>
          <w:sz w:val="20"/>
        </w:rPr>
        <w:t>C</w:t>
      </w:r>
    </w:p>
    <w:p>
      <w:pPr>
        <w:pStyle w:val="BodyText"/>
        <w:rPr>
          <w:rFonts w:ascii="Courier New"/>
          <w:sz w:val="20"/>
        </w:rPr>
      </w:pPr>
    </w:p>
    <w:p>
      <w:pPr>
        <w:spacing w:before="0"/>
        <w:ind w:left="500" w:right="1693" w:firstLine="0"/>
        <w:jc w:val="left"/>
        <w:rPr>
          <w:rFonts w:ascii="Courier New"/>
          <w:sz w:val="20"/>
        </w:rPr>
      </w:pPr>
      <w:r>
        <w:rPr>
          <w:rFonts w:ascii="Courier New"/>
          <w:sz w:val="20"/>
        </w:rPr>
        <w:t>fH3</w:t>
      </w:r>
      <w:r>
        <w:rPr>
          <w:rFonts w:ascii="Courier New"/>
          <w:spacing w:val="-4"/>
          <w:sz w:val="20"/>
        </w:rPr>
        <w:t> </w:t>
      </w:r>
      <w:r>
        <w:rPr>
          <w:rFonts w:ascii="Courier New"/>
          <w:sz w:val="20"/>
        </w:rPr>
        <w:t>=</w:t>
      </w:r>
      <w:r>
        <w:rPr>
          <w:rFonts w:ascii="Courier New"/>
          <w:spacing w:val="-4"/>
          <w:sz w:val="20"/>
        </w:rPr>
        <w:t> </w:t>
      </w:r>
      <w:r>
        <w:rPr>
          <w:rFonts w:ascii="Courier New"/>
          <w:sz w:val="20"/>
        </w:rPr>
        <w:t>((fHigh</w:t>
      </w:r>
      <w:r>
        <w:rPr>
          <w:rFonts w:ascii="Courier New"/>
          <w:spacing w:val="-4"/>
          <w:sz w:val="20"/>
        </w:rPr>
        <w:t> </w:t>
      </w:r>
      <w:r>
        <w:rPr>
          <w:rFonts w:ascii="Courier New"/>
          <w:sz w:val="20"/>
        </w:rPr>
        <w:t>-</w:t>
      </w:r>
      <w:r>
        <w:rPr>
          <w:rFonts w:ascii="Courier New"/>
          <w:spacing w:val="-4"/>
          <w:sz w:val="20"/>
        </w:rPr>
        <w:t> </w:t>
      </w:r>
      <w:r>
        <w:rPr>
          <w:rFonts w:ascii="Courier New"/>
          <w:sz w:val="20"/>
        </w:rPr>
        <w:t>fLow)</w:t>
      </w:r>
      <w:r>
        <w:rPr>
          <w:rFonts w:ascii="Courier New"/>
          <w:spacing w:val="-4"/>
          <w:sz w:val="20"/>
        </w:rPr>
        <w:t> </w:t>
      </w:r>
      <w:r>
        <w:rPr>
          <w:rFonts w:ascii="Courier New"/>
          <w:sz w:val="20"/>
        </w:rPr>
        <w:t>*</w:t>
      </w:r>
      <w:r>
        <w:rPr>
          <w:rFonts w:ascii="Courier New"/>
          <w:spacing w:val="-4"/>
          <w:sz w:val="20"/>
        </w:rPr>
        <w:t> </w:t>
      </w:r>
      <w:r>
        <w:rPr>
          <w:rFonts w:ascii="Courier New"/>
          <w:sz w:val="20"/>
        </w:rPr>
        <w:t>(1.1</w:t>
      </w:r>
      <w:r>
        <w:rPr>
          <w:rFonts w:ascii="Courier New"/>
          <w:spacing w:val="-4"/>
          <w:sz w:val="20"/>
        </w:rPr>
        <w:t> </w:t>
      </w:r>
      <w:r>
        <w:rPr>
          <w:rFonts w:ascii="Courier New"/>
          <w:sz w:val="20"/>
        </w:rPr>
        <w:t>/</w:t>
      </w:r>
      <w:r>
        <w:rPr>
          <w:rFonts w:ascii="Courier New"/>
          <w:spacing w:val="-4"/>
          <w:sz w:val="20"/>
        </w:rPr>
        <w:t> </w:t>
      </w:r>
      <w:r>
        <w:rPr>
          <w:rFonts w:ascii="Courier New"/>
          <w:sz w:val="20"/>
        </w:rPr>
        <w:t>4))</w:t>
      </w:r>
      <w:r>
        <w:rPr>
          <w:rFonts w:ascii="Courier New"/>
          <w:spacing w:val="-4"/>
          <w:sz w:val="20"/>
        </w:rPr>
        <w:t> </w:t>
      </w:r>
      <w:r>
        <w:rPr>
          <w:rFonts w:ascii="Courier New"/>
          <w:sz w:val="20"/>
        </w:rPr>
        <w:t>+</w:t>
      </w:r>
      <w:r>
        <w:rPr>
          <w:rFonts w:ascii="Courier New"/>
          <w:spacing w:val="-4"/>
          <w:sz w:val="20"/>
        </w:rPr>
        <w:t> </w:t>
      </w:r>
      <w:r>
        <w:rPr>
          <w:rFonts w:ascii="Courier New"/>
          <w:sz w:val="20"/>
        </w:rPr>
        <w:t>fClose fL3 = fClose - (fHigh - fLow) * (1.1 / 4)</w:t>
      </w:r>
    </w:p>
    <w:p>
      <w:pPr>
        <w:pStyle w:val="BodyText"/>
        <w:spacing w:before="11"/>
        <w:rPr>
          <w:rFonts w:ascii="Courier New"/>
          <w:sz w:val="19"/>
        </w:rPr>
      </w:pPr>
    </w:p>
    <w:p>
      <w:pPr>
        <w:spacing w:before="0"/>
        <w:ind w:left="1220" w:right="1240" w:hanging="721"/>
        <w:jc w:val="left"/>
        <w:rPr>
          <w:rFonts w:ascii="Courier New"/>
          <w:sz w:val="20"/>
        </w:rPr>
      </w:pPr>
      <w:r>
        <w:rPr>
          <w:rFonts w:ascii="Courier New"/>
          <w:sz w:val="20"/>
        </w:rPr>
        <w:t>If Plot_Developing = 1 Then PlotPrice("Developing H3", fH3, red) PlotPrice("Developing</w:t>
      </w:r>
      <w:r>
        <w:rPr>
          <w:rFonts w:ascii="Courier New"/>
          <w:spacing w:val="-11"/>
          <w:sz w:val="20"/>
        </w:rPr>
        <w:t> </w:t>
      </w:r>
      <w:r>
        <w:rPr>
          <w:rFonts w:ascii="Courier New"/>
          <w:sz w:val="20"/>
        </w:rPr>
        <w:t>L3",</w:t>
      </w:r>
      <w:r>
        <w:rPr>
          <w:rFonts w:ascii="Courier New"/>
          <w:spacing w:val="-11"/>
          <w:sz w:val="20"/>
        </w:rPr>
        <w:t> </w:t>
      </w:r>
      <w:r>
        <w:rPr>
          <w:rFonts w:ascii="Courier New"/>
          <w:sz w:val="20"/>
        </w:rPr>
        <w:t>fL3,</w:t>
      </w:r>
      <w:r>
        <w:rPr>
          <w:rFonts w:ascii="Courier New"/>
          <w:spacing w:val="-11"/>
          <w:sz w:val="20"/>
        </w:rPr>
        <w:t> </w:t>
      </w:r>
      <w:r>
        <w:rPr>
          <w:rFonts w:ascii="Courier New"/>
          <w:sz w:val="20"/>
        </w:rPr>
        <w:t>green)</w:t>
      </w:r>
    </w:p>
    <w:p>
      <w:pPr>
        <w:spacing w:line="480" w:lineRule="auto" w:before="1"/>
        <w:ind w:left="500" w:right="5559" w:firstLine="0"/>
        <w:jc w:val="left"/>
        <w:rPr>
          <w:rFonts w:ascii="Courier New"/>
          <w:sz w:val="20"/>
        </w:rPr>
      </w:pPr>
      <w:r>
        <w:rPr>
          <w:rFonts w:ascii="Courier New"/>
          <w:sz w:val="20"/>
        </w:rPr>
        <w:t>End If Return</w:t>
      </w:r>
      <w:r>
        <w:rPr>
          <w:rFonts w:ascii="Courier New"/>
          <w:spacing w:val="-32"/>
          <w:sz w:val="20"/>
        </w:rPr>
        <w:t> </w:t>
      </w:r>
      <w:r>
        <w:rPr>
          <w:rFonts w:ascii="Courier New"/>
          <w:sz w:val="20"/>
        </w:rPr>
        <w:t>0</w:t>
      </w:r>
    </w:p>
    <w:p>
      <w:pPr>
        <w:spacing w:after="0" w:line="480" w:lineRule="auto"/>
        <w:jc w:val="left"/>
        <w:rPr>
          <w:rFonts w:ascii="Courier New"/>
          <w:sz w:val="20"/>
        </w:rPr>
        <w:sectPr>
          <w:pgSz w:w="8640" w:h="12960"/>
          <w:pgMar w:header="536" w:footer="1060" w:top="720" w:bottom="1260" w:left="580" w:right="580"/>
        </w:sectPr>
      </w:pPr>
    </w:p>
    <w:p>
      <w:pPr>
        <w:pStyle w:val="BodyText"/>
        <w:rPr>
          <w:rFonts w:ascii="Courier New"/>
          <w:sz w:val="20"/>
        </w:rPr>
      </w:pPr>
    </w:p>
    <w:p>
      <w:pPr>
        <w:pStyle w:val="BodyText"/>
        <w:rPr>
          <w:rFonts w:ascii="Courier New"/>
          <w:sz w:val="20"/>
        </w:rPr>
      </w:pPr>
    </w:p>
    <w:p>
      <w:pPr>
        <w:pStyle w:val="BodyText"/>
        <w:spacing w:before="4"/>
        <w:rPr>
          <w:rFonts w:ascii="Courier New"/>
          <w:sz w:val="12"/>
        </w:rPr>
      </w:pPr>
    </w:p>
    <w:p>
      <w:pPr>
        <w:pStyle w:val="BodyText"/>
        <w:ind w:left="504"/>
        <w:rPr>
          <w:rFonts w:ascii="Courier New"/>
          <w:sz w:val="20"/>
        </w:rPr>
      </w:pPr>
      <w:r>
        <w:rPr>
          <w:rFonts w:ascii="Courier New"/>
          <w:sz w:val="20"/>
        </w:rPr>
        <w:pict>
          <v:group style="width:305.55pt;height:29pt;mso-position-horizontal-relative:char;mso-position-vertical-relative:line" id="docshapegroup1109" coordorigin="0,0" coordsize="6111,580">
            <v:rect style="position:absolute;left:19;top:0;width:6072;height:580" id="docshape1110" filled="true" fillcolor="#000000" stroked="false">
              <v:fill type="solid"/>
            </v:rect>
            <v:shape style="position:absolute;left:0;top:0;width:6111;height:580" id="docshape1111" coordorigin="0,0" coordsize="6111,580" path="m19,0l0,0,0,580,19,580,19,0xm6110,0l6091,0,6091,580,6110,580,6110,0xe" filled="true" fillcolor="#3f3f3f" stroked="false">
              <v:path arrowok="t"/>
              <v:fill type="solid"/>
            </v:shape>
            <v:shape style="position:absolute;left:19;top:0;width:6072;height:580" type="#_x0000_t202" id="docshape1112" filled="false" stroked="false">
              <v:textbox inset="0,0,0,0">
                <w:txbxContent>
                  <w:p>
                    <w:pPr>
                      <w:spacing w:line="237" w:lineRule="auto" w:before="1"/>
                      <w:ind w:left="1331" w:right="1275" w:firstLine="315"/>
                      <w:jc w:val="left"/>
                      <w:rPr>
                        <w:rFonts w:ascii="Verdana"/>
                        <w:sz w:val="24"/>
                      </w:rPr>
                    </w:pPr>
                    <w:r>
                      <w:rPr>
                        <w:rFonts w:ascii="Verdana"/>
                        <w:color w:val="FFFFFF"/>
                        <w:sz w:val="24"/>
                      </w:rPr>
                      <w:t>Pivot Range Histogram File</w:t>
                    </w:r>
                    <w:r>
                      <w:rPr>
                        <w:rFonts w:ascii="Verdana"/>
                        <w:color w:val="FFFFFF"/>
                        <w:spacing w:val="-13"/>
                        <w:sz w:val="24"/>
                      </w:rPr>
                      <w:t> </w:t>
                    </w:r>
                    <w:r>
                      <w:rPr>
                        <w:rFonts w:ascii="Verdana"/>
                        <w:color w:val="FFFFFF"/>
                        <w:sz w:val="24"/>
                      </w:rPr>
                      <w:t>Name:</w:t>
                    </w:r>
                    <w:r>
                      <w:rPr>
                        <w:rFonts w:ascii="Verdana"/>
                        <w:color w:val="FFFFFF"/>
                        <w:spacing w:val="-13"/>
                        <w:sz w:val="24"/>
                      </w:rPr>
                      <w:t> </w:t>
                    </w:r>
                    <w:r>
                      <w:rPr>
                        <w:rFonts w:ascii="Verdana"/>
                        <w:color w:val="FFFFFF"/>
                        <w:sz w:val="24"/>
                      </w:rPr>
                      <w:t>iPivotRangeHIST</w:t>
                    </w:r>
                  </w:p>
                </w:txbxContent>
              </v:textbox>
              <w10:wrap type="none"/>
            </v:shape>
          </v:group>
        </w:pict>
      </w:r>
      <w:r>
        <w:rPr>
          <w:rFonts w:ascii="Courier New"/>
          <w:sz w:val="20"/>
        </w:rPr>
      </w:r>
    </w:p>
    <w:p>
      <w:pPr>
        <w:pStyle w:val="BodyText"/>
        <w:spacing w:before="3"/>
        <w:rPr>
          <w:rFonts w:ascii="Courier New"/>
          <w:sz w:val="16"/>
        </w:rPr>
      </w:pPr>
    </w:p>
    <w:p>
      <w:pPr>
        <w:spacing w:before="76"/>
        <w:ind w:left="140" w:right="0" w:firstLine="0"/>
        <w:jc w:val="left"/>
        <w:rPr>
          <w:rFonts w:ascii="Courier New"/>
          <w:sz w:val="20"/>
        </w:rPr>
      </w:pPr>
      <w:r>
        <w:rPr>
          <w:rFonts w:ascii="Courier New"/>
          <w:spacing w:val="-2"/>
          <w:sz w:val="20"/>
        </w:rPr>
        <w:t>#Indicator</w:t>
      </w:r>
    </w:p>
    <w:p>
      <w:pPr>
        <w:pStyle w:val="BodyText"/>
        <w:spacing w:before="10"/>
        <w:rPr>
          <w:rFonts w:ascii="Courier New"/>
          <w:sz w:val="19"/>
        </w:rPr>
      </w:pPr>
    </w:p>
    <w:p>
      <w:pPr>
        <w:spacing w:before="0"/>
        <w:ind w:left="140" w:right="0" w:firstLine="0"/>
        <w:jc w:val="left"/>
        <w:rPr>
          <w:rFonts w:ascii="Courier New"/>
          <w:sz w:val="20"/>
        </w:rPr>
      </w:pPr>
      <w:r>
        <w:rPr>
          <w:rFonts w:ascii="Courier New"/>
          <w:sz w:val="20"/>
        </w:rPr>
        <w:t>#PARAM</w:t>
      </w:r>
      <w:r>
        <w:rPr>
          <w:rFonts w:ascii="Courier New"/>
          <w:spacing w:val="-14"/>
          <w:sz w:val="20"/>
        </w:rPr>
        <w:t> </w:t>
      </w:r>
      <w:r>
        <w:rPr>
          <w:rFonts w:ascii="Courier New"/>
          <w:sz w:val="20"/>
        </w:rPr>
        <w:t>"UpperMarker",</w:t>
      </w:r>
      <w:r>
        <w:rPr>
          <w:rFonts w:ascii="Courier New"/>
          <w:spacing w:val="-12"/>
          <w:sz w:val="20"/>
        </w:rPr>
        <w:t> </w:t>
      </w:r>
      <w:r>
        <w:rPr>
          <w:rFonts w:ascii="Courier New"/>
          <w:spacing w:val="-5"/>
          <w:sz w:val="20"/>
        </w:rPr>
        <w:t>.75</w:t>
      </w:r>
    </w:p>
    <w:p>
      <w:pPr>
        <w:spacing w:before="1"/>
        <w:ind w:left="140" w:right="0" w:firstLine="0"/>
        <w:jc w:val="left"/>
        <w:rPr>
          <w:rFonts w:ascii="Courier New"/>
          <w:sz w:val="20"/>
        </w:rPr>
      </w:pPr>
      <w:r>
        <w:rPr>
          <w:rFonts w:ascii="Courier New"/>
          <w:sz w:val="20"/>
        </w:rPr>
        <w:t>#PARAM</w:t>
      </w:r>
      <w:r>
        <w:rPr>
          <w:rFonts w:ascii="Courier New"/>
          <w:spacing w:val="-14"/>
          <w:sz w:val="20"/>
        </w:rPr>
        <w:t> </w:t>
      </w:r>
      <w:r>
        <w:rPr>
          <w:rFonts w:ascii="Courier New"/>
          <w:sz w:val="20"/>
        </w:rPr>
        <w:t>"LowerMarker",</w:t>
      </w:r>
      <w:r>
        <w:rPr>
          <w:rFonts w:ascii="Courier New"/>
          <w:spacing w:val="-12"/>
          <w:sz w:val="20"/>
        </w:rPr>
        <w:t> </w:t>
      </w:r>
      <w:r>
        <w:rPr>
          <w:rFonts w:ascii="Courier New"/>
          <w:spacing w:val="-5"/>
          <w:sz w:val="20"/>
        </w:rPr>
        <w:t>.25</w:t>
      </w:r>
    </w:p>
    <w:p>
      <w:pPr>
        <w:pStyle w:val="BodyText"/>
        <w:rPr>
          <w:rFonts w:ascii="Courier New"/>
          <w:sz w:val="20"/>
        </w:rPr>
      </w:pPr>
    </w:p>
    <w:p>
      <w:pPr>
        <w:tabs>
          <w:tab w:pos="3022" w:val="left" w:leader="none"/>
        </w:tabs>
        <w:spacing w:before="0"/>
        <w:ind w:left="140" w:right="0" w:firstLine="0"/>
        <w:jc w:val="left"/>
        <w:rPr>
          <w:rFonts w:ascii="Courier New"/>
          <w:sz w:val="20"/>
        </w:rPr>
      </w:pPr>
      <w:r>
        <w:rPr>
          <w:rFonts w:ascii="Courier New"/>
          <w:sz w:val="20"/>
        </w:rPr>
        <w:t>Dim</w:t>
      </w:r>
      <w:r>
        <w:rPr>
          <w:rFonts w:ascii="Courier New"/>
          <w:spacing w:val="-4"/>
          <w:sz w:val="20"/>
        </w:rPr>
        <w:t> </w:t>
      </w:r>
      <w:r>
        <w:rPr>
          <w:rFonts w:ascii="Courier New"/>
          <w:spacing w:val="-2"/>
          <w:sz w:val="20"/>
        </w:rPr>
        <w:t>fPivotRange</w:t>
      </w:r>
      <w:r>
        <w:rPr>
          <w:rFonts w:ascii="Courier New"/>
          <w:sz w:val="20"/>
        </w:rPr>
        <w:tab/>
        <w:t>As</w:t>
      </w:r>
      <w:r>
        <w:rPr>
          <w:rFonts w:ascii="Courier New"/>
          <w:spacing w:val="-3"/>
          <w:sz w:val="20"/>
        </w:rPr>
        <w:t> </w:t>
      </w:r>
      <w:r>
        <w:rPr>
          <w:rFonts w:ascii="Courier New"/>
          <w:spacing w:val="-2"/>
          <w:sz w:val="20"/>
        </w:rPr>
        <w:t>Single</w:t>
      </w:r>
    </w:p>
    <w:p>
      <w:pPr>
        <w:pStyle w:val="BodyText"/>
        <w:spacing w:before="10"/>
        <w:rPr>
          <w:rFonts w:ascii="Courier New"/>
          <w:sz w:val="19"/>
        </w:rPr>
      </w:pPr>
    </w:p>
    <w:p>
      <w:pPr>
        <w:spacing w:before="1"/>
        <w:ind w:left="140" w:right="519" w:firstLine="0"/>
        <w:jc w:val="left"/>
        <w:rPr>
          <w:rFonts w:ascii="Courier New"/>
          <w:sz w:val="20"/>
        </w:rPr>
      </w:pPr>
      <w:r>
        <w:rPr>
          <w:rFonts w:ascii="Courier New"/>
          <w:sz w:val="20"/>
        </w:rPr>
        <w:t>fPivotRange</w:t>
      </w:r>
      <w:r>
        <w:rPr>
          <w:rFonts w:ascii="Courier New"/>
          <w:spacing w:val="-9"/>
          <w:sz w:val="20"/>
        </w:rPr>
        <w:t> </w:t>
      </w:r>
      <w:r>
        <w:rPr>
          <w:rFonts w:ascii="Courier New"/>
          <w:sz w:val="20"/>
        </w:rPr>
        <w:t>=</w:t>
      </w:r>
      <w:r>
        <w:rPr>
          <w:rFonts w:ascii="Courier New"/>
          <w:spacing w:val="-9"/>
          <w:sz w:val="20"/>
        </w:rPr>
        <w:t> </w:t>
      </w:r>
      <w:r>
        <w:rPr>
          <w:rFonts w:ascii="Courier New"/>
          <w:sz w:val="20"/>
        </w:rPr>
        <w:t>((FLOOR_PIV(1)</w:t>
      </w:r>
      <w:r>
        <w:rPr>
          <w:rFonts w:ascii="Courier New"/>
          <w:spacing w:val="-9"/>
          <w:sz w:val="20"/>
        </w:rPr>
        <w:t> </w:t>
      </w:r>
      <w:r>
        <w:rPr>
          <w:rFonts w:ascii="Courier New"/>
          <w:sz w:val="20"/>
        </w:rPr>
        <w:t>-</w:t>
      </w:r>
      <w:r>
        <w:rPr>
          <w:rFonts w:ascii="Courier New"/>
          <w:spacing w:val="-9"/>
          <w:sz w:val="20"/>
        </w:rPr>
        <w:t> </w:t>
      </w:r>
      <w:r>
        <w:rPr>
          <w:rFonts w:ascii="Courier New"/>
          <w:sz w:val="20"/>
        </w:rPr>
        <w:t>FLOOR_PIV(- 1))/FLOOR_PIV(0)) * 100</w:t>
      </w:r>
    </w:p>
    <w:p>
      <w:pPr>
        <w:pStyle w:val="BodyText"/>
        <w:rPr>
          <w:rFonts w:ascii="Courier New"/>
          <w:sz w:val="20"/>
        </w:rPr>
      </w:pPr>
    </w:p>
    <w:p>
      <w:pPr>
        <w:spacing w:before="0"/>
        <w:ind w:left="140" w:right="2167" w:firstLine="0"/>
        <w:jc w:val="left"/>
        <w:rPr>
          <w:rFonts w:ascii="Courier New"/>
          <w:sz w:val="20"/>
        </w:rPr>
      </w:pPr>
      <w:r>
        <w:rPr>
          <w:rFonts w:ascii="Courier New"/>
          <w:sz w:val="20"/>
        </w:rPr>
        <w:t>PlotHIST("PRHIST",</w:t>
      </w:r>
      <w:r>
        <w:rPr>
          <w:rFonts w:ascii="Courier New"/>
          <w:spacing w:val="-8"/>
          <w:sz w:val="20"/>
        </w:rPr>
        <w:t> </w:t>
      </w:r>
      <w:r>
        <w:rPr>
          <w:rFonts w:ascii="Courier New"/>
          <w:sz w:val="20"/>
        </w:rPr>
        <w:t>fPivotRange,</w:t>
      </w:r>
      <w:r>
        <w:rPr>
          <w:rFonts w:ascii="Courier New"/>
          <w:spacing w:val="-9"/>
          <w:sz w:val="20"/>
        </w:rPr>
        <w:t> </w:t>
      </w:r>
      <w:r>
        <w:rPr>
          <w:rFonts w:ascii="Courier New"/>
          <w:sz w:val="20"/>
        </w:rPr>
        <w:t>.5,</w:t>
      </w:r>
      <w:r>
        <w:rPr>
          <w:rFonts w:ascii="Courier New"/>
          <w:spacing w:val="-8"/>
          <w:sz w:val="20"/>
        </w:rPr>
        <w:t> </w:t>
      </w:r>
      <w:r>
        <w:rPr>
          <w:rFonts w:ascii="Courier New"/>
          <w:sz w:val="20"/>
        </w:rPr>
        <w:t>red,</w:t>
      </w:r>
      <w:r>
        <w:rPr>
          <w:rFonts w:ascii="Courier New"/>
          <w:spacing w:val="-9"/>
          <w:sz w:val="20"/>
        </w:rPr>
        <w:t> </w:t>
      </w:r>
      <w:r>
        <w:rPr>
          <w:rFonts w:ascii="Courier New"/>
          <w:sz w:val="20"/>
        </w:rPr>
        <w:t>3) </w:t>
      </w:r>
      <w:r>
        <w:rPr>
          <w:rFonts w:ascii="Courier New"/>
          <w:spacing w:val="-2"/>
          <w:sz w:val="20"/>
        </w:rPr>
        <w:t>PlotLabel(UpperMarker) PlotLabel(LowerMarker)</w:t>
      </w:r>
    </w:p>
    <w:p>
      <w:pPr>
        <w:pStyle w:val="BodyText"/>
        <w:rPr>
          <w:rFonts w:ascii="Courier New"/>
          <w:sz w:val="20"/>
        </w:rPr>
      </w:pPr>
    </w:p>
    <w:p>
      <w:pPr>
        <w:spacing w:before="0"/>
        <w:ind w:left="140" w:right="0" w:firstLine="0"/>
        <w:jc w:val="left"/>
        <w:rPr>
          <w:rFonts w:ascii="Courier New"/>
          <w:sz w:val="20"/>
        </w:rPr>
      </w:pPr>
      <w:r>
        <w:rPr>
          <w:rFonts w:ascii="Courier New"/>
          <w:sz w:val="20"/>
        </w:rPr>
        <w:t>SetScales(0,</w:t>
      </w:r>
      <w:r>
        <w:rPr>
          <w:rFonts w:ascii="Courier New"/>
          <w:spacing w:val="-15"/>
          <w:sz w:val="20"/>
        </w:rPr>
        <w:t> </w:t>
      </w:r>
      <w:r>
        <w:rPr>
          <w:rFonts w:ascii="Courier New"/>
          <w:spacing w:val="-5"/>
          <w:sz w:val="20"/>
        </w:rPr>
        <w:t>1)</w:t>
      </w:r>
    </w:p>
    <w:p>
      <w:pPr>
        <w:pStyle w:val="BodyText"/>
        <w:rPr>
          <w:rFonts w:ascii="Courier New"/>
          <w:sz w:val="20"/>
        </w:rPr>
      </w:pPr>
    </w:p>
    <w:p>
      <w:pPr>
        <w:spacing w:before="0"/>
        <w:ind w:left="140" w:right="0" w:firstLine="0"/>
        <w:jc w:val="left"/>
        <w:rPr>
          <w:rFonts w:ascii="Courier New"/>
          <w:sz w:val="20"/>
        </w:rPr>
      </w:pPr>
      <w:r>
        <w:rPr>
          <w:rFonts w:ascii="Courier New"/>
          <w:sz w:val="20"/>
        </w:rPr>
        <w:t>Return</w:t>
      </w:r>
      <w:r>
        <w:rPr>
          <w:rFonts w:ascii="Courier New"/>
          <w:spacing w:val="-8"/>
          <w:sz w:val="20"/>
        </w:rPr>
        <w:t> </w:t>
      </w:r>
      <w:r>
        <w:rPr>
          <w:rFonts w:ascii="Courier New"/>
          <w:spacing w:val="-10"/>
          <w:sz w:val="20"/>
        </w:rPr>
        <w:t>0</w:t>
      </w:r>
    </w:p>
    <w:p>
      <w:pPr>
        <w:spacing w:after="0"/>
        <w:jc w:val="left"/>
        <w:rPr>
          <w:rFonts w:ascii="Courier New"/>
          <w:sz w:val="20"/>
        </w:rPr>
        <w:sectPr>
          <w:pgSz w:w="8640" w:h="12960"/>
          <w:pgMar w:header="579" w:footer="1060" w:top="760" w:bottom="1260" w:left="580" w:right="580"/>
        </w:sectPr>
      </w:pPr>
    </w:p>
    <w:p>
      <w:pPr>
        <w:pStyle w:val="BodyText"/>
        <w:rPr>
          <w:rFonts w:ascii="Courier New"/>
          <w:sz w:val="20"/>
        </w:rPr>
      </w:pPr>
    </w:p>
    <w:p>
      <w:pPr>
        <w:pStyle w:val="BodyText"/>
        <w:rPr>
          <w:rFonts w:ascii="Courier New"/>
          <w:sz w:val="20"/>
        </w:rPr>
      </w:pPr>
    </w:p>
    <w:p>
      <w:pPr>
        <w:pStyle w:val="BodyText"/>
        <w:spacing w:before="5"/>
        <w:rPr>
          <w:rFonts w:ascii="Courier New"/>
          <w:sz w:val="11"/>
        </w:rPr>
      </w:pPr>
    </w:p>
    <w:p>
      <w:pPr>
        <w:pStyle w:val="BodyText"/>
        <w:ind w:left="864"/>
        <w:rPr>
          <w:rFonts w:ascii="Courier New"/>
          <w:sz w:val="20"/>
        </w:rPr>
      </w:pPr>
      <w:r>
        <w:rPr>
          <w:rFonts w:ascii="Courier New"/>
          <w:sz w:val="20"/>
        </w:rPr>
        <w:pict>
          <v:group style="width:305.55pt;height:46pt;mso-position-horizontal-relative:char;mso-position-vertical-relative:line" id="docshapegroup1113" coordorigin="0,0" coordsize="6111,920">
            <v:rect style="position:absolute;left:19;top:0;width:6072;height:341" id="docshape1114" filled="true" fillcolor="#000000" stroked="false">
              <v:fill type="solid"/>
            </v:rect>
            <v:shape style="position:absolute;left:0;top:0;width:6111;height:341" id="docshape1115" coordorigin="0,0" coordsize="6111,341" path="m19,0l0,0,0,341,19,341,19,0xm6110,0l6091,0,6091,341,6110,341,6110,0xe" filled="true" fillcolor="#3f3f3f" stroked="false">
              <v:path arrowok="t"/>
              <v:fill type="solid"/>
            </v:shape>
            <v:rect style="position:absolute;left:19;top:340;width:6072;height:579" id="docshape1116" filled="true" fillcolor="#000000" stroked="false">
              <v:fill type="solid"/>
            </v:rect>
            <v:shape style="position:absolute;left:0;top:340;width:6111;height:579" id="docshape1117" coordorigin="0,341" coordsize="6111,579" path="m19,341l0,341,0,919,19,919,19,341xm6110,341l6091,341,6091,919,6110,919,6110,341xe" filled="true" fillcolor="#3f3f3f" stroked="false">
              <v:path arrowok="t"/>
              <v:fill type="solid"/>
            </v:shape>
            <v:shape style="position:absolute;left:19;top:0;width:6072;height:920" type="#_x0000_t202" id="docshape1118" filled="false" stroked="false">
              <v:textbox inset="0,0,0,0">
                <w:txbxContent>
                  <w:p>
                    <w:pPr>
                      <w:spacing w:line="340" w:lineRule="exact" w:before="0"/>
                      <w:ind w:left="1641" w:right="1641" w:firstLine="0"/>
                      <w:jc w:val="center"/>
                      <w:rPr>
                        <w:rFonts w:ascii="Verdana"/>
                        <w:sz w:val="28"/>
                      </w:rPr>
                    </w:pPr>
                    <w:r>
                      <w:rPr>
                        <w:rFonts w:ascii="Verdana"/>
                        <w:color w:val="FFFFFF"/>
                        <w:spacing w:val="-2"/>
                        <w:sz w:val="28"/>
                      </w:rPr>
                      <w:t>STOPS</w:t>
                    </w:r>
                  </w:p>
                  <w:p>
                    <w:pPr>
                      <w:spacing w:line="290" w:lineRule="exact" w:before="0"/>
                      <w:ind w:left="1642" w:right="1641" w:firstLine="0"/>
                      <w:jc w:val="center"/>
                      <w:rPr>
                        <w:rFonts w:ascii="Verdana"/>
                        <w:sz w:val="24"/>
                      </w:rPr>
                    </w:pPr>
                    <w:r>
                      <w:rPr>
                        <w:rFonts w:ascii="Verdana"/>
                        <w:color w:val="FFFFFF"/>
                        <w:sz w:val="24"/>
                      </w:rPr>
                      <w:t>Trailing</w:t>
                    </w:r>
                    <w:r>
                      <w:rPr>
                        <w:rFonts w:ascii="Verdana"/>
                        <w:color w:val="FFFFFF"/>
                        <w:spacing w:val="-6"/>
                        <w:sz w:val="24"/>
                      </w:rPr>
                      <w:t> </w:t>
                    </w:r>
                    <w:r>
                      <w:rPr>
                        <w:rFonts w:ascii="Verdana"/>
                        <w:color w:val="FFFFFF"/>
                        <w:sz w:val="24"/>
                      </w:rPr>
                      <w:t>Centrals</w:t>
                    </w:r>
                    <w:r>
                      <w:rPr>
                        <w:rFonts w:ascii="Verdana"/>
                        <w:color w:val="FFFFFF"/>
                        <w:spacing w:val="-5"/>
                        <w:sz w:val="24"/>
                      </w:rPr>
                      <w:t> </w:t>
                    </w:r>
                    <w:r>
                      <w:rPr>
                        <w:rFonts w:ascii="Verdana"/>
                        <w:color w:val="FFFFFF"/>
                        <w:spacing w:val="-4"/>
                        <w:sz w:val="24"/>
                      </w:rPr>
                      <w:t>Stop</w:t>
                    </w:r>
                  </w:p>
                  <w:p>
                    <w:pPr>
                      <w:spacing w:line="289" w:lineRule="exact" w:before="0"/>
                      <w:ind w:left="961" w:right="961" w:firstLine="0"/>
                      <w:jc w:val="center"/>
                      <w:rPr>
                        <w:rFonts w:ascii="Verdana"/>
                        <w:sz w:val="24"/>
                      </w:rPr>
                    </w:pPr>
                    <w:r>
                      <w:rPr>
                        <w:rFonts w:ascii="Verdana"/>
                        <w:color w:val="FFFFFF"/>
                        <w:spacing w:val="-2"/>
                        <w:sz w:val="24"/>
                      </w:rPr>
                      <w:t>File</w:t>
                    </w:r>
                    <w:r>
                      <w:rPr>
                        <w:rFonts w:ascii="Verdana"/>
                        <w:color w:val="FFFFFF"/>
                        <w:spacing w:val="-13"/>
                        <w:sz w:val="24"/>
                      </w:rPr>
                      <w:t> </w:t>
                    </w:r>
                    <w:r>
                      <w:rPr>
                        <w:rFonts w:ascii="Verdana"/>
                        <w:color w:val="FFFFFF"/>
                        <w:spacing w:val="-2"/>
                        <w:sz w:val="24"/>
                      </w:rPr>
                      <w:t>Name:</w:t>
                    </w:r>
                    <w:r>
                      <w:rPr>
                        <w:rFonts w:ascii="Verdana"/>
                        <w:color w:val="FFFFFF"/>
                        <w:spacing w:val="-12"/>
                        <w:sz w:val="24"/>
                      </w:rPr>
                      <w:t> </w:t>
                    </w:r>
                    <w:r>
                      <w:rPr>
                        <w:rFonts w:ascii="Verdana"/>
                        <w:color w:val="FFFFFF"/>
                        <w:spacing w:val="-2"/>
                        <w:sz w:val="24"/>
                      </w:rPr>
                      <w:t>stoTrailingCentralsStop</w:t>
                    </w:r>
                  </w:p>
                </w:txbxContent>
              </v:textbox>
              <w10:wrap type="none"/>
            </v:shape>
          </v:group>
        </w:pict>
      </w:r>
      <w:r>
        <w:rPr>
          <w:rFonts w:ascii="Courier New"/>
          <w:sz w:val="20"/>
        </w:rPr>
      </w:r>
    </w:p>
    <w:p>
      <w:pPr>
        <w:pStyle w:val="BodyText"/>
        <w:spacing w:before="5"/>
        <w:rPr>
          <w:rFonts w:ascii="Courier New"/>
          <w:sz w:val="13"/>
        </w:rPr>
      </w:pPr>
    </w:p>
    <w:p>
      <w:pPr>
        <w:spacing w:before="76"/>
        <w:ind w:left="500" w:right="0" w:firstLine="0"/>
        <w:jc w:val="left"/>
        <w:rPr>
          <w:rFonts w:ascii="Courier New"/>
          <w:sz w:val="20"/>
        </w:rPr>
      </w:pPr>
      <w:r>
        <w:rPr>
          <w:rFonts w:ascii="Courier New"/>
          <w:spacing w:val="-2"/>
          <w:sz w:val="20"/>
        </w:rPr>
        <w:t>#Stop</w:t>
      </w:r>
    </w:p>
    <w:p>
      <w:pPr>
        <w:pStyle w:val="BodyText"/>
        <w:rPr>
          <w:rFonts w:ascii="Courier New"/>
          <w:sz w:val="20"/>
        </w:rPr>
      </w:pPr>
    </w:p>
    <w:p>
      <w:pPr>
        <w:tabs>
          <w:tab w:pos="1941" w:val="left" w:leader="none"/>
        </w:tabs>
        <w:spacing w:before="0"/>
        <w:ind w:left="500" w:right="0" w:firstLine="0"/>
        <w:jc w:val="left"/>
        <w:rPr>
          <w:rFonts w:ascii="Courier New"/>
          <w:sz w:val="20"/>
        </w:rPr>
      </w:pPr>
      <w:r>
        <w:rPr>
          <w:rFonts w:ascii="Courier New"/>
          <w:sz w:val="20"/>
        </w:rPr>
        <w:t>Dim</w:t>
      </w:r>
      <w:r>
        <w:rPr>
          <w:rFonts w:ascii="Courier New"/>
          <w:spacing w:val="-4"/>
          <w:sz w:val="20"/>
        </w:rPr>
        <w:t> fTCS</w:t>
      </w:r>
      <w:r>
        <w:rPr>
          <w:rFonts w:ascii="Courier New"/>
          <w:sz w:val="20"/>
        </w:rPr>
        <w:tab/>
        <w:t>As</w:t>
      </w:r>
      <w:r>
        <w:rPr>
          <w:rFonts w:ascii="Courier New"/>
          <w:spacing w:val="-3"/>
          <w:sz w:val="20"/>
        </w:rPr>
        <w:t> </w:t>
      </w:r>
      <w:r>
        <w:rPr>
          <w:rFonts w:ascii="Courier New"/>
          <w:spacing w:val="-2"/>
          <w:sz w:val="20"/>
        </w:rPr>
        <w:t>Single</w:t>
      </w:r>
    </w:p>
    <w:p>
      <w:pPr>
        <w:pStyle w:val="BodyText"/>
        <w:spacing w:before="1"/>
        <w:rPr>
          <w:rFonts w:ascii="Courier New"/>
          <w:sz w:val="20"/>
        </w:rPr>
      </w:pPr>
    </w:p>
    <w:p>
      <w:pPr>
        <w:spacing w:before="0"/>
        <w:ind w:left="1220" w:right="3443" w:hanging="721"/>
        <w:jc w:val="left"/>
        <w:rPr>
          <w:rFonts w:ascii="Courier New"/>
          <w:sz w:val="20"/>
        </w:rPr>
      </w:pPr>
      <w:r>
        <w:rPr>
          <w:rFonts w:ascii="Courier New"/>
          <w:sz w:val="20"/>
        </w:rPr>
        <w:t>If</w:t>
      </w:r>
      <w:r>
        <w:rPr>
          <w:rFonts w:ascii="Courier New"/>
          <w:spacing w:val="-9"/>
          <w:sz w:val="20"/>
        </w:rPr>
        <w:t> </w:t>
      </w:r>
      <w:r>
        <w:rPr>
          <w:rFonts w:ascii="Courier New"/>
          <w:sz w:val="20"/>
        </w:rPr>
        <w:t>Signal</w:t>
      </w:r>
      <w:r>
        <w:rPr>
          <w:rFonts w:ascii="Courier New"/>
          <w:spacing w:val="-9"/>
          <w:sz w:val="20"/>
        </w:rPr>
        <w:t> </w:t>
      </w:r>
      <w:r>
        <w:rPr>
          <w:rFonts w:ascii="Courier New"/>
          <w:sz w:val="20"/>
        </w:rPr>
        <w:t>=</w:t>
      </w:r>
      <w:r>
        <w:rPr>
          <w:rFonts w:ascii="Courier New"/>
          <w:spacing w:val="-9"/>
          <w:sz w:val="20"/>
        </w:rPr>
        <w:t> </w:t>
      </w:r>
      <w:r>
        <w:rPr>
          <w:rFonts w:ascii="Courier New"/>
          <w:sz w:val="20"/>
        </w:rPr>
        <w:t>LongSignal</w:t>
      </w:r>
      <w:r>
        <w:rPr>
          <w:rFonts w:ascii="Courier New"/>
          <w:spacing w:val="-9"/>
          <w:sz w:val="20"/>
        </w:rPr>
        <w:t> </w:t>
      </w:r>
      <w:r>
        <w:rPr>
          <w:rFonts w:ascii="Courier New"/>
          <w:sz w:val="20"/>
        </w:rPr>
        <w:t>Then fTCS = FLOOR_PIV(-1)</w:t>
      </w:r>
    </w:p>
    <w:p>
      <w:pPr>
        <w:spacing w:before="0"/>
        <w:ind w:left="1220" w:right="3806" w:firstLine="0"/>
        <w:jc w:val="left"/>
        <w:rPr>
          <w:rFonts w:ascii="Courier New"/>
          <w:sz w:val="20"/>
        </w:rPr>
      </w:pPr>
      <w:r>
        <w:rPr>
          <w:rFonts w:ascii="Courier New"/>
          <w:sz w:val="20"/>
        </w:rPr>
        <w:t>if L &lt;= fTCS Then Signal</w:t>
      </w:r>
      <w:r>
        <w:rPr>
          <w:rFonts w:ascii="Courier New"/>
          <w:spacing w:val="-18"/>
          <w:sz w:val="20"/>
        </w:rPr>
        <w:t> </w:t>
      </w:r>
      <w:r>
        <w:rPr>
          <w:rFonts w:ascii="Courier New"/>
          <w:sz w:val="20"/>
        </w:rPr>
        <w:t>=</w:t>
      </w:r>
      <w:r>
        <w:rPr>
          <w:rFonts w:ascii="Courier New"/>
          <w:spacing w:val="-18"/>
          <w:sz w:val="20"/>
        </w:rPr>
        <w:t> </w:t>
      </w:r>
      <w:r>
        <w:rPr>
          <w:rFonts w:ascii="Courier New"/>
          <w:sz w:val="20"/>
        </w:rPr>
        <w:t>ExitSignal end if</w:t>
      </w:r>
    </w:p>
    <w:p>
      <w:pPr>
        <w:pStyle w:val="BodyText"/>
        <w:spacing w:before="10"/>
        <w:rPr>
          <w:rFonts w:ascii="Courier New"/>
          <w:sz w:val="19"/>
        </w:rPr>
      </w:pPr>
    </w:p>
    <w:p>
      <w:pPr>
        <w:spacing w:before="0"/>
        <w:ind w:left="1220" w:right="0" w:firstLine="0"/>
        <w:jc w:val="left"/>
        <w:rPr>
          <w:rFonts w:ascii="Courier New"/>
          <w:sz w:val="20"/>
        </w:rPr>
      </w:pPr>
      <w:r>
        <w:rPr>
          <w:rFonts w:ascii="Courier New"/>
          <w:spacing w:val="-2"/>
          <w:sz w:val="20"/>
        </w:rPr>
        <w:t>PlotPrice("TCS",fTCS,red)</w:t>
      </w:r>
    </w:p>
    <w:p>
      <w:pPr>
        <w:pStyle w:val="BodyText"/>
        <w:rPr>
          <w:rFonts w:ascii="Courier New"/>
          <w:sz w:val="20"/>
        </w:rPr>
      </w:pPr>
    </w:p>
    <w:p>
      <w:pPr>
        <w:spacing w:before="1"/>
        <w:ind w:left="1220" w:right="2716" w:hanging="721"/>
        <w:jc w:val="left"/>
        <w:rPr>
          <w:rFonts w:ascii="Courier New"/>
          <w:sz w:val="20"/>
        </w:rPr>
      </w:pPr>
      <w:r>
        <w:rPr>
          <w:rFonts w:ascii="Courier New"/>
          <w:sz w:val="20"/>
        </w:rPr>
        <w:t>ElseIf</w:t>
      </w:r>
      <w:r>
        <w:rPr>
          <w:rFonts w:ascii="Courier New"/>
          <w:spacing w:val="-9"/>
          <w:sz w:val="20"/>
        </w:rPr>
        <w:t> </w:t>
      </w:r>
      <w:r>
        <w:rPr>
          <w:rFonts w:ascii="Courier New"/>
          <w:sz w:val="20"/>
        </w:rPr>
        <w:t>Signal</w:t>
      </w:r>
      <w:r>
        <w:rPr>
          <w:rFonts w:ascii="Courier New"/>
          <w:spacing w:val="-9"/>
          <w:sz w:val="20"/>
        </w:rPr>
        <w:t> </w:t>
      </w:r>
      <w:r>
        <w:rPr>
          <w:rFonts w:ascii="Courier New"/>
          <w:sz w:val="20"/>
        </w:rPr>
        <w:t>=</w:t>
      </w:r>
      <w:r>
        <w:rPr>
          <w:rFonts w:ascii="Courier New"/>
          <w:spacing w:val="-9"/>
          <w:sz w:val="20"/>
        </w:rPr>
        <w:t> </w:t>
      </w:r>
      <w:r>
        <w:rPr>
          <w:rFonts w:ascii="Courier New"/>
          <w:sz w:val="20"/>
        </w:rPr>
        <w:t>ShortSignal</w:t>
      </w:r>
      <w:r>
        <w:rPr>
          <w:rFonts w:ascii="Courier New"/>
          <w:spacing w:val="-9"/>
          <w:sz w:val="20"/>
        </w:rPr>
        <w:t> </w:t>
      </w:r>
      <w:r>
        <w:rPr>
          <w:rFonts w:ascii="Courier New"/>
          <w:sz w:val="20"/>
        </w:rPr>
        <w:t>Then fTCS = FLOOR_PIV(1)</w:t>
      </w:r>
    </w:p>
    <w:p>
      <w:pPr>
        <w:spacing w:before="0"/>
        <w:ind w:left="1220" w:right="3806" w:firstLine="0"/>
        <w:jc w:val="left"/>
        <w:rPr>
          <w:rFonts w:ascii="Courier New"/>
          <w:sz w:val="20"/>
        </w:rPr>
      </w:pPr>
      <w:r>
        <w:rPr>
          <w:rFonts w:ascii="Courier New"/>
          <w:sz w:val="20"/>
        </w:rPr>
        <w:t>if H &gt;= fTCS Then Signal</w:t>
      </w:r>
      <w:r>
        <w:rPr>
          <w:rFonts w:ascii="Courier New"/>
          <w:spacing w:val="-18"/>
          <w:sz w:val="20"/>
        </w:rPr>
        <w:t> </w:t>
      </w:r>
      <w:r>
        <w:rPr>
          <w:rFonts w:ascii="Courier New"/>
          <w:sz w:val="20"/>
        </w:rPr>
        <w:t>=</w:t>
      </w:r>
      <w:r>
        <w:rPr>
          <w:rFonts w:ascii="Courier New"/>
          <w:spacing w:val="-18"/>
          <w:sz w:val="20"/>
        </w:rPr>
        <w:t> </w:t>
      </w:r>
      <w:r>
        <w:rPr>
          <w:rFonts w:ascii="Courier New"/>
          <w:sz w:val="20"/>
        </w:rPr>
        <w:t>ExitSignal end if</w:t>
      </w:r>
    </w:p>
    <w:p>
      <w:pPr>
        <w:pStyle w:val="BodyText"/>
        <w:rPr>
          <w:rFonts w:ascii="Courier New"/>
          <w:sz w:val="20"/>
        </w:rPr>
      </w:pPr>
    </w:p>
    <w:p>
      <w:pPr>
        <w:spacing w:line="480" w:lineRule="auto" w:before="0"/>
        <w:ind w:left="500" w:right="3102" w:firstLine="720"/>
        <w:jc w:val="left"/>
        <w:rPr>
          <w:rFonts w:ascii="Courier New"/>
          <w:sz w:val="20"/>
        </w:rPr>
      </w:pPr>
      <w:r>
        <w:rPr>
          <w:rFonts w:ascii="Courier New"/>
          <w:spacing w:val="-2"/>
          <w:sz w:val="20"/>
        </w:rPr>
        <w:t>PlotPrice("TCS",fTCS,red)</w:t>
      </w:r>
      <w:r>
        <w:rPr>
          <w:rFonts w:ascii="Courier New"/>
          <w:spacing w:val="-2"/>
          <w:sz w:val="20"/>
        </w:rPr>
        <w:t> </w:t>
      </w:r>
      <w:r>
        <w:rPr>
          <w:rFonts w:ascii="Courier New"/>
          <w:sz w:val="20"/>
        </w:rPr>
        <w:t>End if</w:t>
      </w:r>
    </w:p>
    <w:p>
      <w:pPr>
        <w:spacing w:line="226" w:lineRule="exact" w:before="0"/>
        <w:ind w:left="500" w:right="0" w:firstLine="0"/>
        <w:jc w:val="left"/>
        <w:rPr>
          <w:rFonts w:ascii="Courier New"/>
          <w:sz w:val="20"/>
        </w:rPr>
      </w:pPr>
      <w:r>
        <w:rPr>
          <w:rFonts w:ascii="Courier New"/>
          <w:spacing w:val="-2"/>
          <w:sz w:val="20"/>
        </w:rPr>
        <w:t>Summary:</w:t>
      </w:r>
    </w:p>
    <w:p>
      <w:pPr>
        <w:spacing w:before="0"/>
        <w:ind w:left="500" w:right="130" w:firstLine="0"/>
        <w:jc w:val="both"/>
        <w:rPr>
          <w:rFonts w:ascii="Courier New"/>
          <w:sz w:val="20"/>
        </w:rPr>
      </w:pPr>
      <w:r>
        <w:rPr>
          <w:rFonts w:ascii="Courier New"/>
          <w:sz w:val="20"/>
        </w:rPr>
        <w:t>Creates a trailing stop based off the central pivot range.</w:t>
      </w:r>
      <w:r>
        <w:rPr>
          <w:rFonts w:ascii="Courier New"/>
          <w:spacing w:val="80"/>
          <w:sz w:val="20"/>
        </w:rPr>
        <w:t> </w:t>
      </w:r>
      <w:r>
        <w:rPr>
          <w:rFonts w:ascii="Courier New"/>
          <w:sz w:val="20"/>
        </w:rPr>
        <w:t>The top central pivot is the trailing stop for Shorts, and the bottom central pivot is the stop for </w:t>
      </w:r>
      <w:r>
        <w:rPr>
          <w:rFonts w:ascii="Courier New"/>
          <w:spacing w:val="-2"/>
          <w:sz w:val="20"/>
        </w:rPr>
        <w:t>Longs.</w:t>
      </w:r>
    </w:p>
    <w:p>
      <w:pPr>
        <w:spacing w:after="0"/>
        <w:jc w:val="both"/>
        <w:rPr>
          <w:rFonts w:ascii="Courier New"/>
          <w:sz w:val="20"/>
        </w:rPr>
        <w:sectPr>
          <w:pgSz w:w="8640" w:h="12960"/>
          <w:pgMar w:header="536" w:footer="1060" w:top="720" w:bottom="1260" w:left="580" w:right="580"/>
        </w:sectPr>
      </w:pPr>
    </w:p>
    <w:p>
      <w:pPr>
        <w:pStyle w:val="BodyText"/>
        <w:spacing w:before="7"/>
        <w:rPr>
          <w:rFonts w:ascii="Courier New"/>
          <w:sz w:val="17"/>
        </w:rPr>
      </w:pPr>
    </w:p>
    <w:p>
      <w:pPr>
        <w:spacing w:after="0"/>
        <w:rPr>
          <w:rFonts w:ascii="Courier New"/>
          <w:sz w:val="17"/>
        </w:rPr>
        <w:sectPr>
          <w:headerReference w:type="even" r:id="rId369"/>
          <w:footerReference w:type="even" r:id="rId370"/>
          <w:pgSz w:w="8640" w:h="12960"/>
          <w:pgMar w:header="0" w:footer="0" w:top="1480" w:bottom="280" w:left="580" w:right="580"/>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18"/>
        </w:rPr>
      </w:pPr>
    </w:p>
    <w:p>
      <w:pPr>
        <w:pStyle w:val="Heading1"/>
        <w:spacing w:before="133"/>
        <w:ind w:right="136"/>
        <w:jc w:val="right"/>
      </w:pPr>
      <w:bookmarkStart w:name="_TOC_250000" w:id="91"/>
      <w:bookmarkEnd w:id="91"/>
      <w:r>
        <w:rPr>
          <w:smallCaps/>
          <w:spacing w:val="-2"/>
        </w:rPr>
        <w:t>Index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after="0"/>
        <w:rPr>
          <w:sz w:val="18"/>
        </w:rPr>
        <w:sectPr>
          <w:headerReference w:type="default" r:id="rId371"/>
          <w:footerReference w:type="default" r:id="rId372"/>
          <w:footerReference w:type="even" r:id="rId373"/>
          <w:pgSz w:w="8640" w:h="12960"/>
          <w:pgMar w:header="0" w:footer="1060" w:top="1480" w:bottom="1260" w:left="580" w:right="580"/>
          <w:pgNumType w:start="311"/>
        </w:sectPr>
      </w:pPr>
    </w:p>
    <w:p>
      <w:pPr>
        <w:pStyle w:val="BodyText"/>
        <w:spacing w:before="2"/>
        <w:rPr>
          <w:sz w:val="27"/>
        </w:rPr>
      </w:pPr>
    </w:p>
    <w:p>
      <w:pPr>
        <w:pStyle w:val="Heading4"/>
        <w:ind w:left="466"/>
      </w:pPr>
      <w:r>
        <w:rPr>
          <w:w w:val="105"/>
        </w:rPr>
        <w:t>A</w:t>
      </w:r>
    </w:p>
    <w:p>
      <w:pPr>
        <w:pStyle w:val="BodyText"/>
        <w:rPr>
          <w:rFonts w:ascii="Calibri"/>
          <w:sz w:val="23"/>
        </w:rPr>
      </w:pPr>
    </w:p>
    <w:p>
      <w:pPr>
        <w:spacing w:before="0"/>
        <w:ind w:left="500" w:right="0" w:firstLine="0"/>
        <w:jc w:val="left"/>
        <w:rPr>
          <w:rFonts w:ascii="Calibri"/>
          <w:sz w:val="18"/>
        </w:rPr>
      </w:pPr>
      <w:r>
        <w:rPr>
          <w:rFonts w:ascii="Calibri"/>
          <w:sz w:val="18"/>
        </w:rPr>
        <w:t>ambush</w:t>
      </w:r>
      <w:r>
        <w:rPr>
          <w:rFonts w:ascii="Calibri"/>
          <w:spacing w:val="-7"/>
          <w:sz w:val="18"/>
        </w:rPr>
        <w:t> </w:t>
      </w:r>
      <w:r>
        <w:rPr>
          <w:rFonts w:ascii="Calibri"/>
          <w:sz w:val="18"/>
        </w:rPr>
        <w:t>entry,</w:t>
      </w:r>
      <w:r>
        <w:rPr>
          <w:rFonts w:ascii="Calibri"/>
          <w:spacing w:val="-5"/>
          <w:sz w:val="18"/>
        </w:rPr>
        <w:t> </w:t>
      </w:r>
      <w:r>
        <w:rPr>
          <w:rFonts w:ascii="Calibri"/>
          <w:sz w:val="18"/>
        </w:rPr>
        <w:t>131,</w:t>
      </w:r>
      <w:r>
        <w:rPr>
          <w:rFonts w:ascii="Calibri"/>
          <w:spacing w:val="-5"/>
          <w:sz w:val="18"/>
        </w:rPr>
        <w:t> </w:t>
      </w:r>
      <w:r>
        <w:rPr>
          <w:rFonts w:ascii="Calibri"/>
          <w:sz w:val="18"/>
        </w:rPr>
        <w:t>132,</w:t>
      </w:r>
      <w:r>
        <w:rPr>
          <w:rFonts w:ascii="Calibri"/>
          <w:spacing w:val="-5"/>
          <w:sz w:val="18"/>
        </w:rPr>
        <w:t> </w:t>
      </w:r>
      <w:r>
        <w:rPr>
          <w:rFonts w:ascii="Calibri"/>
          <w:sz w:val="18"/>
        </w:rPr>
        <w:t>221,</w:t>
      </w:r>
      <w:r>
        <w:rPr>
          <w:rFonts w:ascii="Calibri"/>
          <w:spacing w:val="-4"/>
          <w:sz w:val="18"/>
        </w:rPr>
        <w:t> </w:t>
      </w:r>
      <w:r>
        <w:rPr>
          <w:rFonts w:ascii="Calibri"/>
          <w:spacing w:val="-5"/>
          <w:sz w:val="18"/>
        </w:rPr>
        <w:t>232</w:t>
      </w:r>
    </w:p>
    <w:p>
      <w:pPr>
        <w:pStyle w:val="BodyText"/>
        <w:spacing w:before="11"/>
        <w:rPr>
          <w:rFonts w:ascii="Calibri"/>
        </w:rPr>
      </w:pPr>
    </w:p>
    <w:p>
      <w:pPr>
        <w:spacing w:before="0"/>
        <w:ind w:left="500" w:right="0" w:firstLine="0"/>
        <w:jc w:val="left"/>
        <w:rPr>
          <w:rFonts w:ascii="Calibri"/>
          <w:sz w:val="18"/>
        </w:rPr>
      </w:pPr>
      <w:r>
        <w:rPr>
          <w:rFonts w:ascii="Calibri"/>
          <w:sz w:val="18"/>
        </w:rPr>
        <w:t>auction</w:t>
      </w:r>
      <w:r>
        <w:rPr>
          <w:rFonts w:ascii="Calibri"/>
          <w:spacing w:val="-5"/>
          <w:sz w:val="18"/>
        </w:rPr>
        <w:t> </w:t>
      </w:r>
      <w:r>
        <w:rPr>
          <w:rFonts w:ascii="Calibri"/>
          <w:sz w:val="18"/>
        </w:rPr>
        <w:t>process,</w:t>
      </w:r>
      <w:r>
        <w:rPr>
          <w:rFonts w:ascii="Calibri"/>
          <w:spacing w:val="-4"/>
          <w:sz w:val="18"/>
        </w:rPr>
        <w:t> </w:t>
      </w:r>
      <w:r>
        <w:rPr>
          <w:rFonts w:ascii="Calibri"/>
          <w:sz w:val="18"/>
        </w:rPr>
        <w:t>15,</w:t>
      </w:r>
      <w:r>
        <w:rPr>
          <w:rFonts w:ascii="Calibri"/>
          <w:spacing w:val="-4"/>
          <w:sz w:val="18"/>
        </w:rPr>
        <w:t> </w:t>
      </w:r>
      <w:r>
        <w:rPr>
          <w:rFonts w:ascii="Calibri"/>
          <w:spacing w:val="-5"/>
          <w:sz w:val="18"/>
        </w:rPr>
        <w:t>16</w:t>
      </w:r>
    </w:p>
    <w:p>
      <w:pPr>
        <w:pStyle w:val="BodyText"/>
        <w:spacing w:before="10"/>
        <w:rPr>
          <w:rFonts w:ascii="Calibri"/>
        </w:rPr>
      </w:pPr>
    </w:p>
    <w:p>
      <w:pPr>
        <w:pStyle w:val="Heading4"/>
        <w:ind w:left="466"/>
      </w:pPr>
      <w:r>
        <w:rPr>
          <w:w w:val="103"/>
        </w:rPr>
        <w:t>B</w:t>
      </w:r>
    </w:p>
    <w:p>
      <w:pPr>
        <w:pStyle w:val="BodyText"/>
        <w:rPr>
          <w:rFonts w:ascii="Calibri"/>
          <w:sz w:val="23"/>
        </w:rPr>
      </w:pPr>
    </w:p>
    <w:p>
      <w:pPr>
        <w:spacing w:before="0"/>
        <w:ind w:left="500" w:right="0" w:firstLine="0"/>
        <w:jc w:val="left"/>
        <w:rPr>
          <w:rFonts w:ascii="Calibri"/>
          <w:sz w:val="18"/>
        </w:rPr>
      </w:pPr>
      <w:r>
        <w:rPr>
          <w:rFonts w:ascii="Calibri"/>
          <w:sz w:val="18"/>
        </w:rPr>
        <w:t>BOSS</w:t>
      </w:r>
      <w:r>
        <w:rPr>
          <w:rFonts w:ascii="Calibri"/>
          <w:spacing w:val="-3"/>
          <w:sz w:val="18"/>
        </w:rPr>
        <w:t> </w:t>
      </w:r>
      <w:r>
        <w:rPr>
          <w:rFonts w:ascii="Calibri"/>
          <w:sz w:val="18"/>
        </w:rPr>
        <w:t>IN</w:t>
      </w:r>
      <w:r>
        <w:rPr>
          <w:rFonts w:ascii="Calibri"/>
          <w:spacing w:val="-2"/>
          <w:sz w:val="18"/>
        </w:rPr>
        <w:t> </w:t>
      </w:r>
      <w:r>
        <w:rPr>
          <w:rFonts w:ascii="Calibri"/>
          <w:sz w:val="18"/>
        </w:rPr>
        <w:t>ACTION,</w:t>
      </w:r>
      <w:r>
        <w:rPr>
          <w:rFonts w:ascii="Calibri"/>
          <w:spacing w:val="-3"/>
          <w:sz w:val="18"/>
        </w:rPr>
        <w:t> </w:t>
      </w:r>
      <w:r>
        <w:rPr>
          <w:rFonts w:ascii="Calibri"/>
          <w:sz w:val="18"/>
        </w:rPr>
        <w:t>89,</w:t>
      </w:r>
      <w:r>
        <w:rPr>
          <w:rFonts w:ascii="Calibri"/>
          <w:spacing w:val="-2"/>
          <w:sz w:val="18"/>
        </w:rPr>
        <w:t> </w:t>
      </w:r>
      <w:r>
        <w:rPr>
          <w:rFonts w:ascii="Calibri"/>
          <w:sz w:val="18"/>
        </w:rPr>
        <w:t>94,</w:t>
      </w:r>
      <w:r>
        <w:rPr>
          <w:rFonts w:ascii="Calibri"/>
          <w:spacing w:val="-2"/>
          <w:sz w:val="18"/>
        </w:rPr>
        <w:t> </w:t>
      </w:r>
      <w:r>
        <w:rPr>
          <w:rFonts w:ascii="Calibri"/>
          <w:sz w:val="18"/>
        </w:rPr>
        <w:t>99,</w:t>
      </w:r>
      <w:r>
        <w:rPr>
          <w:rFonts w:ascii="Calibri"/>
          <w:spacing w:val="-3"/>
          <w:sz w:val="18"/>
        </w:rPr>
        <w:t> </w:t>
      </w:r>
      <w:r>
        <w:rPr>
          <w:rFonts w:ascii="Calibri"/>
          <w:sz w:val="18"/>
        </w:rPr>
        <w:t>128,</w:t>
      </w:r>
      <w:r>
        <w:rPr>
          <w:rFonts w:ascii="Calibri"/>
          <w:spacing w:val="-1"/>
          <w:sz w:val="18"/>
        </w:rPr>
        <w:t> </w:t>
      </w:r>
      <w:r>
        <w:rPr>
          <w:rFonts w:ascii="Calibri"/>
          <w:spacing w:val="-4"/>
          <w:sz w:val="18"/>
        </w:rPr>
        <w:t>132,</w:t>
      </w:r>
    </w:p>
    <w:p>
      <w:pPr>
        <w:spacing w:before="0"/>
        <w:ind w:left="719" w:right="0" w:firstLine="0"/>
        <w:jc w:val="left"/>
        <w:rPr>
          <w:rFonts w:ascii="Calibri"/>
          <w:sz w:val="18"/>
        </w:rPr>
      </w:pPr>
      <w:r>
        <w:rPr>
          <w:rFonts w:ascii="Calibri"/>
          <w:sz w:val="18"/>
        </w:rPr>
        <w:t>157,</w:t>
      </w:r>
      <w:r>
        <w:rPr>
          <w:rFonts w:ascii="Calibri"/>
          <w:spacing w:val="-3"/>
          <w:sz w:val="18"/>
        </w:rPr>
        <w:t> </w:t>
      </w:r>
      <w:r>
        <w:rPr>
          <w:rFonts w:ascii="Calibri"/>
          <w:sz w:val="18"/>
        </w:rPr>
        <w:t>171,</w:t>
      </w:r>
      <w:r>
        <w:rPr>
          <w:rFonts w:ascii="Calibri"/>
          <w:spacing w:val="-2"/>
          <w:sz w:val="18"/>
        </w:rPr>
        <w:t> </w:t>
      </w:r>
      <w:r>
        <w:rPr>
          <w:rFonts w:ascii="Calibri"/>
          <w:sz w:val="18"/>
        </w:rPr>
        <w:t>178,</w:t>
      </w:r>
      <w:r>
        <w:rPr>
          <w:rFonts w:ascii="Calibri"/>
          <w:spacing w:val="-3"/>
          <w:sz w:val="18"/>
        </w:rPr>
        <w:t> </w:t>
      </w:r>
      <w:r>
        <w:rPr>
          <w:rFonts w:ascii="Calibri"/>
          <w:sz w:val="18"/>
        </w:rPr>
        <w:t>191,</w:t>
      </w:r>
      <w:r>
        <w:rPr>
          <w:rFonts w:ascii="Calibri"/>
          <w:spacing w:val="-2"/>
          <w:sz w:val="18"/>
        </w:rPr>
        <w:t> </w:t>
      </w:r>
      <w:r>
        <w:rPr>
          <w:rFonts w:ascii="Calibri"/>
          <w:sz w:val="18"/>
        </w:rPr>
        <w:t>197,</w:t>
      </w:r>
      <w:r>
        <w:rPr>
          <w:rFonts w:ascii="Calibri"/>
          <w:spacing w:val="-3"/>
          <w:sz w:val="18"/>
        </w:rPr>
        <w:t> </w:t>
      </w:r>
      <w:r>
        <w:rPr>
          <w:rFonts w:ascii="Calibri"/>
          <w:sz w:val="18"/>
        </w:rPr>
        <w:t>226,</w:t>
      </w:r>
      <w:r>
        <w:rPr>
          <w:rFonts w:ascii="Calibri"/>
          <w:spacing w:val="-2"/>
          <w:sz w:val="18"/>
        </w:rPr>
        <w:t> </w:t>
      </w:r>
      <w:r>
        <w:rPr>
          <w:rFonts w:ascii="Calibri"/>
          <w:sz w:val="18"/>
        </w:rPr>
        <w:t>232,</w:t>
      </w:r>
      <w:r>
        <w:rPr>
          <w:rFonts w:ascii="Calibri"/>
          <w:spacing w:val="-3"/>
          <w:sz w:val="18"/>
        </w:rPr>
        <w:t> </w:t>
      </w:r>
      <w:r>
        <w:rPr>
          <w:rFonts w:ascii="Calibri"/>
          <w:spacing w:val="-4"/>
          <w:sz w:val="18"/>
        </w:rPr>
        <w:t>265,</w:t>
      </w:r>
    </w:p>
    <w:p>
      <w:pPr>
        <w:spacing w:before="0"/>
        <w:ind w:left="719" w:right="0" w:firstLine="0"/>
        <w:jc w:val="left"/>
        <w:rPr>
          <w:rFonts w:ascii="Calibri"/>
          <w:sz w:val="18"/>
        </w:rPr>
      </w:pPr>
      <w:r>
        <w:rPr>
          <w:rFonts w:ascii="Calibri"/>
          <w:sz w:val="18"/>
        </w:rPr>
        <w:t>271,</w:t>
      </w:r>
      <w:r>
        <w:rPr>
          <w:rFonts w:ascii="Calibri"/>
          <w:spacing w:val="-4"/>
          <w:sz w:val="18"/>
        </w:rPr>
        <w:t> </w:t>
      </w:r>
      <w:r>
        <w:rPr>
          <w:rFonts w:ascii="Calibri"/>
          <w:spacing w:val="-5"/>
          <w:sz w:val="18"/>
        </w:rPr>
        <w:t>278</w:t>
      </w:r>
    </w:p>
    <w:p>
      <w:pPr>
        <w:pStyle w:val="BodyText"/>
        <w:rPr>
          <w:rFonts w:ascii="Calibri"/>
          <w:sz w:val="23"/>
        </w:rPr>
      </w:pPr>
    </w:p>
    <w:p>
      <w:pPr>
        <w:spacing w:before="0"/>
        <w:ind w:left="500" w:right="0" w:firstLine="0"/>
        <w:jc w:val="left"/>
        <w:rPr>
          <w:rFonts w:ascii="Calibri"/>
          <w:sz w:val="18"/>
        </w:rPr>
      </w:pPr>
      <w:r>
        <w:rPr>
          <w:rFonts w:ascii="Calibri"/>
          <w:sz w:val="18"/>
        </w:rPr>
        <w:t>breakaway</w:t>
      </w:r>
      <w:r>
        <w:rPr>
          <w:rFonts w:ascii="Calibri"/>
          <w:spacing w:val="-3"/>
          <w:sz w:val="18"/>
        </w:rPr>
        <w:t> </w:t>
      </w:r>
      <w:r>
        <w:rPr>
          <w:rFonts w:ascii="Calibri"/>
          <w:sz w:val="18"/>
        </w:rPr>
        <w:t>play,</w:t>
      </w:r>
      <w:r>
        <w:rPr>
          <w:rFonts w:ascii="Calibri"/>
          <w:spacing w:val="-2"/>
          <w:sz w:val="18"/>
        </w:rPr>
        <w:t> </w:t>
      </w:r>
      <w:r>
        <w:rPr>
          <w:rFonts w:ascii="Calibri"/>
          <w:sz w:val="18"/>
        </w:rPr>
        <w:t>132,</w:t>
      </w:r>
      <w:r>
        <w:rPr>
          <w:rFonts w:ascii="Calibri"/>
          <w:spacing w:val="-3"/>
          <w:sz w:val="18"/>
        </w:rPr>
        <w:t> </w:t>
      </w:r>
      <w:r>
        <w:rPr>
          <w:rFonts w:ascii="Calibri"/>
          <w:sz w:val="18"/>
        </w:rPr>
        <w:t>226,</w:t>
      </w:r>
      <w:r>
        <w:rPr>
          <w:rFonts w:ascii="Calibri"/>
          <w:spacing w:val="-2"/>
          <w:sz w:val="18"/>
        </w:rPr>
        <w:t> </w:t>
      </w:r>
      <w:r>
        <w:rPr>
          <w:rFonts w:ascii="Calibri"/>
          <w:spacing w:val="-5"/>
          <w:sz w:val="18"/>
        </w:rPr>
        <w:t>227</w:t>
      </w:r>
    </w:p>
    <w:p>
      <w:pPr>
        <w:pStyle w:val="BodyText"/>
        <w:spacing w:before="10"/>
        <w:rPr>
          <w:rFonts w:ascii="Calibri"/>
        </w:rPr>
      </w:pPr>
    </w:p>
    <w:p>
      <w:pPr>
        <w:pStyle w:val="Heading4"/>
        <w:ind w:left="465"/>
      </w:pPr>
      <w:r>
        <w:rPr>
          <w:w w:val="99"/>
        </w:rPr>
        <w:t>C</w:t>
      </w:r>
    </w:p>
    <w:p>
      <w:pPr>
        <w:pStyle w:val="BodyText"/>
        <w:rPr>
          <w:rFonts w:ascii="Calibri"/>
          <w:sz w:val="23"/>
        </w:rPr>
      </w:pPr>
    </w:p>
    <w:p>
      <w:pPr>
        <w:spacing w:before="0"/>
        <w:ind w:left="0" w:right="53" w:firstLine="0"/>
        <w:jc w:val="right"/>
        <w:rPr>
          <w:rFonts w:ascii="Calibri"/>
          <w:sz w:val="18"/>
        </w:rPr>
      </w:pPr>
      <w:r>
        <w:rPr>
          <w:rFonts w:ascii="Calibri"/>
          <w:sz w:val="18"/>
        </w:rPr>
        <w:t>Camarilla</w:t>
      </w:r>
      <w:r>
        <w:rPr>
          <w:rFonts w:ascii="Calibri"/>
          <w:spacing w:val="-6"/>
          <w:sz w:val="18"/>
        </w:rPr>
        <w:t> </w:t>
      </w:r>
      <w:r>
        <w:rPr>
          <w:rFonts w:ascii="Calibri"/>
          <w:sz w:val="18"/>
        </w:rPr>
        <w:t>Equation,</w:t>
      </w:r>
      <w:r>
        <w:rPr>
          <w:rFonts w:ascii="Calibri"/>
          <w:spacing w:val="-5"/>
          <w:sz w:val="18"/>
        </w:rPr>
        <w:t> </w:t>
      </w:r>
      <w:r>
        <w:rPr>
          <w:rFonts w:ascii="Calibri"/>
          <w:sz w:val="18"/>
        </w:rPr>
        <w:t>11,</w:t>
      </w:r>
      <w:r>
        <w:rPr>
          <w:rFonts w:ascii="Calibri"/>
          <w:spacing w:val="-5"/>
          <w:sz w:val="18"/>
        </w:rPr>
        <w:t> </w:t>
      </w:r>
      <w:r>
        <w:rPr>
          <w:rFonts w:ascii="Calibri"/>
          <w:sz w:val="18"/>
        </w:rPr>
        <w:t>30,</w:t>
      </w:r>
      <w:r>
        <w:rPr>
          <w:rFonts w:ascii="Calibri"/>
          <w:spacing w:val="-5"/>
          <w:sz w:val="18"/>
        </w:rPr>
        <w:t> </w:t>
      </w:r>
      <w:r>
        <w:rPr>
          <w:rFonts w:ascii="Calibri"/>
          <w:sz w:val="18"/>
        </w:rPr>
        <w:t>153,</w:t>
      </w:r>
      <w:r>
        <w:rPr>
          <w:rFonts w:ascii="Calibri"/>
          <w:spacing w:val="-4"/>
          <w:sz w:val="18"/>
        </w:rPr>
        <w:t> </w:t>
      </w:r>
      <w:r>
        <w:rPr>
          <w:rFonts w:ascii="Calibri"/>
          <w:sz w:val="18"/>
        </w:rPr>
        <w:t>182,</w:t>
      </w:r>
      <w:r>
        <w:rPr>
          <w:rFonts w:ascii="Calibri"/>
          <w:spacing w:val="-5"/>
          <w:sz w:val="18"/>
        </w:rPr>
        <w:t> </w:t>
      </w:r>
      <w:r>
        <w:rPr>
          <w:rFonts w:ascii="Calibri"/>
          <w:spacing w:val="-4"/>
          <w:sz w:val="18"/>
        </w:rPr>
        <w:t>183,</w:t>
      </w:r>
    </w:p>
    <w:p>
      <w:pPr>
        <w:spacing w:before="0"/>
        <w:ind w:left="0" w:right="38" w:firstLine="0"/>
        <w:jc w:val="right"/>
        <w:rPr>
          <w:rFonts w:ascii="Calibri"/>
          <w:sz w:val="18"/>
        </w:rPr>
      </w:pPr>
      <w:r>
        <w:rPr>
          <w:rFonts w:ascii="Calibri"/>
          <w:sz w:val="18"/>
        </w:rPr>
        <w:t>184,</w:t>
      </w:r>
      <w:r>
        <w:rPr>
          <w:rFonts w:ascii="Calibri"/>
          <w:spacing w:val="-3"/>
          <w:sz w:val="18"/>
        </w:rPr>
        <w:t> </w:t>
      </w:r>
      <w:r>
        <w:rPr>
          <w:rFonts w:ascii="Calibri"/>
          <w:sz w:val="18"/>
        </w:rPr>
        <w:t>185,</w:t>
      </w:r>
      <w:r>
        <w:rPr>
          <w:rFonts w:ascii="Calibri"/>
          <w:spacing w:val="-2"/>
          <w:sz w:val="18"/>
        </w:rPr>
        <w:t> </w:t>
      </w:r>
      <w:r>
        <w:rPr>
          <w:rFonts w:ascii="Calibri"/>
          <w:sz w:val="18"/>
        </w:rPr>
        <w:t>187,</w:t>
      </w:r>
      <w:r>
        <w:rPr>
          <w:rFonts w:ascii="Calibri"/>
          <w:spacing w:val="-3"/>
          <w:sz w:val="18"/>
        </w:rPr>
        <w:t> </w:t>
      </w:r>
      <w:r>
        <w:rPr>
          <w:rFonts w:ascii="Calibri"/>
          <w:sz w:val="18"/>
        </w:rPr>
        <w:t>193,</w:t>
      </w:r>
      <w:r>
        <w:rPr>
          <w:rFonts w:ascii="Calibri"/>
          <w:spacing w:val="-2"/>
          <w:sz w:val="18"/>
        </w:rPr>
        <w:t> </w:t>
      </w:r>
      <w:r>
        <w:rPr>
          <w:rFonts w:ascii="Calibri"/>
          <w:sz w:val="18"/>
        </w:rPr>
        <w:t>198,</w:t>
      </w:r>
      <w:r>
        <w:rPr>
          <w:rFonts w:ascii="Calibri"/>
          <w:spacing w:val="-3"/>
          <w:sz w:val="18"/>
        </w:rPr>
        <w:t> </w:t>
      </w:r>
      <w:r>
        <w:rPr>
          <w:rFonts w:ascii="Calibri"/>
          <w:sz w:val="18"/>
        </w:rPr>
        <w:t>201,</w:t>
      </w:r>
      <w:r>
        <w:rPr>
          <w:rFonts w:ascii="Calibri"/>
          <w:spacing w:val="-2"/>
          <w:sz w:val="18"/>
        </w:rPr>
        <w:t> </w:t>
      </w:r>
      <w:r>
        <w:rPr>
          <w:rFonts w:ascii="Calibri"/>
          <w:sz w:val="18"/>
        </w:rPr>
        <w:t>202,</w:t>
      </w:r>
      <w:r>
        <w:rPr>
          <w:rFonts w:ascii="Calibri"/>
          <w:spacing w:val="-3"/>
          <w:sz w:val="18"/>
        </w:rPr>
        <w:t> </w:t>
      </w:r>
      <w:r>
        <w:rPr>
          <w:rFonts w:ascii="Calibri"/>
          <w:spacing w:val="-4"/>
          <w:sz w:val="18"/>
        </w:rPr>
        <w:t>203,</w:t>
      </w:r>
    </w:p>
    <w:p>
      <w:pPr>
        <w:spacing w:before="0"/>
        <w:ind w:left="0" w:right="38" w:firstLine="0"/>
        <w:jc w:val="right"/>
        <w:rPr>
          <w:rFonts w:ascii="Calibri"/>
          <w:sz w:val="18"/>
        </w:rPr>
      </w:pPr>
      <w:r>
        <w:rPr>
          <w:rFonts w:ascii="Calibri"/>
          <w:sz w:val="18"/>
        </w:rPr>
        <w:t>206,</w:t>
      </w:r>
      <w:r>
        <w:rPr>
          <w:rFonts w:ascii="Calibri"/>
          <w:spacing w:val="-3"/>
          <w:sz w:val="18"/>
        </w:rPr>
        <w:t> </w:t>
      </w:r>
      <w:r>
        <w:rPr>
          <w:rFonts w:ascii="Calibri"/>
          <w:sz w:val="18"/>
        </w:rPr>
        <w:t>217,</w:t>
      </w:r>
      <w:r>
        <w:rPr>
          <w:rFonts w:ascii="Calibri"/>
          <w:spacing w:val="-2"/>
          <w:sz w:val="18"/>
        </w:rPr>
        <w:t> </w:t>
      </w:r>
      <w:r>
        <w:rPr>
          <w:rFonts w:ascii="Calibri"/>
          <w:sz w:val="18"/>
        </w:rPr>
        <w:t>222,</w:t>
      </w:r>
      <w:r>
        <w:rPr>
          <w:rFonts w:ascii="Calibri"/>
          <w:spacing w:val="-3"/>
          <w:sz w:val="18"/>
        </w:rPr>
        <w:t> </w:t>
      </w:r>
      <w:r>
        <w:rPr>
          <w:rFonts w:ascii="Calibri"/>
          <w:sz w:val="18"/>
        </w:rPr>
        <w:t>238,</w:t>
      </w:r>
      <w:r>
        <w:rPr>
          <w:rFonts w:ascii="Calibri"/>
          <w:spacing w:val="-2"/>
          <w:sz w:val="18"/>
        </w:rPr>
        <w:t> </w:t>
      </w:r>
      <w:r>
        <w:rPr>
          <w:rFonts w:ascii="Calibri"/>
          <w:sz w:val="18"/>
        </w:rPr>
        <w:t>250,</w:t>
      </w:r>
      <w:r>
        <w:rPr>
          <w:rFonts w:ascii="Calibri"/>
          <w:spacing w:val="-3"/>
          <w:sz w:val="18"/>
        </w:rPr>
        <w:t> </w:t>
      </w:r>
      <w:r>
        <w:rPr>
          <w:rFonts w:ascii="Calibri"/>
          <w:sz w:val="18"/>
        </w:rPr>
        <w:t>260,</w:t>
      </w:r>
      <w:r>
        <w:rPr>
          <w:rFonts w:ascii="Calibri"/>
          <w:spacing w:val="-2"/>
          <w:sz w:val="18"/>
        </w:rPr>
        <w:t> </w:t>
      </w:r>
      <w:r>
        <w:rPr>
          <w:rFonts w:ascii="Calibri"/>
          <w:sz w:val="18"/>
        </w:rPr>
        <w:t>266,</w:t>
      </w:r>
      <w:r>
        <w:rPr>
          <w:rFonts w:ascii="Calibri"/>
          <w:spacing w:val="-3"/>
          <w:sz w:val="18"/>
        </w:rPr>
        <w:t> </w:t>
      </w:r>
      <w:r>
        <w:rPr>
          <w:rFonts w:ascii="Calibri"/>
          <w:spacing w:val="-4"/>
          <w:sz w:val="18"/>
        </w:rPr>
        <w:t>267,</w:t>
      </w:r>
    </w:p>
    <w:p>
      <w:pPr>
        <w:spacing w:before="0"/>
        <w:ind w:left="719" w:right="0" w:firstLine="0"/>
        <w:jc w:val="left"/>
        <w:rPr>
          <w:rFonts w:ascii="Calibri"/>
          <w:sz w:val="18"/>
        </w:rPr>
      </w:pPr>
      <w:r>
        <w:rPr>
          <w:rFonts w:ascii="Calibri"/>
          <w:sz w:val="18"/>
        </w:rPr>
        <w:t>274,</w:t>
      </w:r>
      <w:r>
        <w:rPr>
          <w:rFonts w:ascii="Calibri"/>
          <w:spacing w:val="-4"/>
          <w:sz w:val="18"/>
        </w:rPr>
        <w:t> </w:t>
      </w:r>
      <w:r>
        <w:rPr>
          <w:rFonts w:ascii="Calibri"/>
          <w:sz w:val="18"/>
        </w:rPr>
        <w:t>277,</w:t>
      </w:r>
      <w:r>
        <w:rPr>
          <w:rFonts w:ascii="Calibri"/>
          <w:spacing w:val="-3"/>
          <w:sz w:val="18"/>
        </w:rPr>
        <w:t> </w:t>
      </w:r>
      <w:r>
        <w:rPr>
          <w:rFonts w:ascii="Calibri"/>
          <w:spacing w:val="-5"/>
          <w:sz w:val="18"/>
        </w:rPr>
        <w:t>285</w:t>
      </w:r>
    </w:p>
    <w:p>
      <w:pPr>
        <w:spacing w:before="73"/>
        <w:ind w:left="500" w:right="0" w:firstLine="0"/>
        <w:jc w:val="left"/>
        <w:rPr>
          <w:rFonts w:ascii="Calibri"/>
          <w:sz w:val="18"/>
        </w:rPr>
      </w:pPr>
      <w:r>
        <w:rPr/>
        <w:br w:type="column"/>
      </w:r>
      <w:r>
        <w:rPr>
          <w:rFonts w:ascii="Calibri"/>
          <w:sz w:val="18"/>
        </w:rPr>
        <w:t>candlestick</w:t>
      </w:r>
      <w:r>
        <w:rPr>
          <w:rFonts w:ascii="Calibri"/>
          <w:spacing w:val="-8"/>
          <w:sz w:val="18"/>
        </w:rPr>
        <w:t> </w:t>
      </w:r>
      <w:r>
        <w:rPr>
          <w:rFonts w:ascii="Calibri"/>
          <w:sz w:val="18"/>
        </w:rPr>
        <w:t>reduction,</w:t>
      </w:r>
      <w:r>
        <w:rPr>
          <w:rFonts w:ascii="Calibri"/>
          <w:spacing w:val="-8"/>
          <w:sz w:val="18"/>
        </w:rPr>
        <w:t> </w:t>
      </w:r>
      <w:r>
        <w:rPr>
          <w:rFonts w:ascii="Calibri"/>
          <w:spacing w:val="-5"/>
          <w:sz w:val="18"/>
        </w:rPr>
        <w:t>47</w:t>
      </w:r>
    </w:p>
    <w:p>
      <w:pPr>
        <w:pStyle w:val="BodyText"/>
        <w:spacing w:before="11"/>
        <w:rPr>
          <w:rFonts w:ascii="Calibri"/>
        </w:rPr>
      </w:pPr>
    </w:p>
    <w:p>
      <w:pPr>
        <w:spacing w:before="0"/>
        <w:ind w:left="500" w:right="0" w:firstLine="0"/>
        <w:jc w:val="left"/>
        <w:rPr>
          <w:rFonts w:ascii="Calibri"/>
          <w:sz w:val="18"/>
        </w:rPr>
      </w:pPr>
      <w:r>
        <w:rPr>
          <w:rFonts w:ascii="Calibri"/>
          <w:sz w:val="18"/>
        </w:rPr>
        <w:t>Central</w:t>
      </w:r>
      <w:r>
        <w:rPr>
          <w:rFonts w:ascii="Calibri"/>
          <w:spacing w:val="-5"/>
          <w:sz w:val="18"/>
        </w:rPr>
        <w:t> </w:t>
      </w:r>
      <w:r>
        <w:rPr>
          <w:rFonts w:ascii="Calibri"/>
          <w:sz w:val="18"/>
        </w:rPr>
        <w:t>Pivot</w:t>
      </w:r>
      <w:r>
        <w:rPr>
          <w:rFonts w:ascii="Calibri"/>
          <w:spacing w:val="-5"/>
          <w:sz w:val="18"/>
        </w:rPr>
        <w:t> </w:t>
      </w:r>
      <w:r>
        <w:rPr>
          <w:rFonts w:ascii="Calibri"/>
          <w:sz w:val="18"/>
        </w:rPr>
        <w:t>Range,</w:t>
      </w:r>
      <w:r>
        <w:rPr>
          <w:rFonts w:ascii="Calibri"/>
          <w:spacing w:val="-5"/>
          <w:sz w:val="18"/>
        </w:rPr>
        <w:t> </w:t>
      </w:r>
      <w:r>
        <w:rPr>
          <w:rFonts w:ascii="Calibri"/>
          <w:sz w:val="18"/>
        </w:rPr>
        <w:t>135,</w:t>
      </w:r>
      <w:r>
        <w:rPr>
          <w:rFonts w:ascii="Calibri"/>
          <w:spacing w:val="-5"/>
          <w:sz w:val="18"/>
        </w:rPr>
        <w:t> </w:t>
      </w:r>
      <w:r>
        <w:rPr>
          <w:rFonts w:ascii="Calibri"/>
          <w:sz w:val="18"/>
        </w:rPr>
        <w:t>136,</w:t>
      </w:r>
      <w:r>
        <w:rPr>
          <w:rFonts w:ascii="Calibri"/>
          <w:spacing w:val="-5"/>
          <w:sz w:val="18"/>
        </w:rPr>
        <w:t> </w:t>
      </w:r>
      <w:r>
        <w:rPr>
          <w:rFonts w:ascii="Calibri"/>
          <w:sz w:val="18"/>
        </w:rPr>
        <w:t>206,</w:t>
      </w:r>
      <w:r>
        <w:rPr>
          <w:rFonts w:ascii="Calibri"/>
          <w:spacing w:val="-5"/>
          <w:sz w:val="18"/>
        </w:rPr>
        <w:t> 302</w:t>
      </w:r>
    </w:p>
    <w:p>
      <w:pPr>
        <w:pStyle w:val="BodyText"/>
        <w:rPr>
          <w:rFonts w:ascii="Calibri"/>
          <w:sz w:val="23"/>
        </w:rPr>
      </w:pPr>
    </w:p>
    <w:p>
      <w:pPr>
        <w:spacing w:before="0"/>
        <w:ind w:left="500" w:right="0" w:firstLine="0"/>
        <w:jc w:val="left"/>
        <w:rPr>
          <w:rFonts w:ascii="Calibri"/>
          <w:sz w:val="18"/>
        </w:rPr>
      </w:pPr>
      <w:r>
        <w:rPr>
          <w:rFonts w:ascii="Calibri"/>
          <w:sz w:val="18"/>
        </w:rPr>
        <w:t>confluence,</w:t>
      </w:r>
      <w:r>
        <w:rPr>
          <w:rFonts w:ascii="Calibri"/>
          <w:spacing w:val="-4"/>
          <w:sz w:val="18"/>
        </w:rPr>
        <w:t> </w:t>
      </w:r>
      <w:r>
        <w:rPr>
          <w:rFonts w:ascii="Calibri"/>
          <w:sz w:val="18"/>
        </w:rPr>
        <w:t>237,</w:t>
      </w:r>
      <w:r>
        <w:rPr>
          <w:rFonts w:ascii="Calibri"/>
          <w:spacing w:val="-3"/>
          <w:sz w:val="18"/>
        </w:rPr>
        <w:t> </w:t>
      </w:r>
      <w:r>
        <w:rPr>
          <w:rFonts w:ascii="Calibri"/>
          <w:sz w:val="18"/>
        </w:rPr>
        <w:t>260,</w:t>
      </w:r>
      <w:r>
        <w:rPr>
          <w:rFonts w:ascii="Calibri"/>
          <w:spacing w:val="-4"/>
          <w:sz w:val="18"/>
        </w:rPr>
        <w:t> </w:t>
      </w:r>
      <w:r>
        <w:rPr>
          <w:rFonts w:ascii="Calibri"/>
          <w:sz w:val="18"/>
        </w:rPr>
        <w:t>261,</w:t>
      </w:r>
      <w:r>
        <w:rPr>
          <w:rFonts w:ascii="Calibri"/>
          <w:spacing w:val="-4"/>
          <w:sz w:val="18"/>
        </w:rPr>
        <w:t> </w:t>
      </w:r>
      <w:r>
        <w:rPr>
          <w:rFonts w:ascii="Calibri"/>
          <w:sz w:val="18"/>
        </w:rPr>
        <w:t>262,</w:t>
      </w:r>
      <w:r>
        <w:rPr>
          <w:rFonts w:ascii="Calibri"/>
          <w:spacing w:val="-3"/>
          <w:sz w:val="18"/>
        </w:rPr>
        <w:t> </w:t>
      </w:r>
      <w:r>
        <w:rPr>
          <w:rFonts w:ascii="Calibri"/>
          <w:sz w:val="18"/>
        </w:rPr>
        <w:t>267,</w:t>
      </w:r>
      <w:r>
        <w:rPr>
          <w:rFonts w:ascii="Calibri"/>
          <w:spacing w:val="-4"/>
          <w:sz w:val="18"/>
        </w:rPr>
        <w:t> 271,</w:t>
      </w:r>
    </w:p>
    <w:p>
      <w:pPr>
        <w:spacing w:before="0"/>
        <w:ind w:left="719" w:right="0" w:firstLine="0"/>
        <w:jc w:val="left"/>
        <w:rPr>
          <w:rFonts w:ascii="Calibri"/>
          <w:sz w:val="18"/>
        </w:rPr>
      </w:pPr>
      <w:r>
        <w:rPr>
          <w:rFonts w:ascii="Calibri"/>
          <w:sz w:val="18"/>
        </w:rPr>
        <w:t>272,</w:t>
      </w:r>
      <w:r>
        <w:rPr>
          <w:rFonts w:ascii="Calibri"/>
          <w:spacing w:val="-3"/>
          <w:sz w:val="18"/>
        </w:rPr>
        <w:t> </w:t>
      </w:r>
      <w:r>
        <w:rPr>
          <w:rFonts w:ascii="Calibri"/>
          <w:sz w:val="18"/>
        </w:rPr>
        <w:t>274,</w:t>
      </w:r>
      <w:r>
        <w:rPr>
          <w:rFonts w:ascii="Calibri"/>
          <w:spacing w:val="-3"/>
          <w:sz w:val="18"/>
        </w:rPr>
        <w:t> </w:t>
      </w:r>
      <w:r>
        <w:rPr>
          <w:rFonts w:ascii="Calibri"/>
          <w:sz w:val="18"/>
        </w:rPr>
        <w:t>275,</w:t>
      </w:r>
      <w:r>
        <w:rPr>
          <w:rFonts w:ascii="Calibri"/>
          <w:spacing w:val="-3"/>
          <w:sz w:val="18"/>
        </w:rPr>
        <w:t> </w:t>
      </w:r>
      <w:r>
        <w:rPr>
          <w:rFonts w:ascii="Calibri"/>
          <w:sz w:val="18"/>
        </w:rPr>
        <w:t>276,</w:t>
      </w:r>
      <w:r>
        <w:rPr>
          <w:rFonts w:ascii="Calibri"/>
          <w:spacing w:val="-3"/>
          <w:sz w:val="18"/>
        </w:rPr>
        <w:t> </w:t>
      </w:r>
      <w:r>
        <w:rPr>
          <w:rFonts w:ascii="Calibri"/>
          <w:sz w:val="18"/>
        </w:rPr>
        <w:t>278,</w:t>
      </w:r>
      <w:r>
        <w:rPr>
          <w:rFonts w:ascii="Calibri"/>
          <w:spacing w:val="-3"/>
          <w:sz w:val="18"/>
        </w:rPr>
        <w:t> </w:t>
      </w:r>
      <w:r>
        <w:rPr>
          <w:rFonts w:ascii="Calibri"/>
          <w:spacing w:val="-5"/>
          <w:sz w:val="18"/>
        </w:rPr>
        <w:t>279</w:t>
      </w:r>
    </w:p>
    <w:p>
      <w:pPr>
        <w:pStyle w:val="BodyText"/>
        <w:spacing w:before="10"/>
        <w:rPr>
          <w:rFonts w:ascii="Calibri"/>
        </w:rPr>
      </w:pPr>
    </w:p>
    <w:p>
      <w:pPr>
        <w:pStyle w:val="Heading4"/>
        <w:ind w:left="358"/>
      </w:pPr>
      <w:r>
        <w:rPr>
          <w:w w:val="102"/>
        </w:rPr>
        <w:t>D</w:t>
      </w:r>
    </w:p>
    <w:p>
      <w:pPr>
        <w:pStyle w:val="BodyText"/>
        <w:rPr>
          <w:rFonts w:ascii="Calibri"/>
          <w:sz w:val="23"/>
        </w:rPr>
      </w:pPr>
    </w:p>
    <w:p>
      <w:pPr>
        <w:spacing w:before="0"/>
        <w:ind w:left="500" w:right="0" w:firstLine="0"/>
        <w:jc w:val="left"/>
        <w:rPr>
          <w:rFonts w:ascii="Calibri"/>
          <w:sz w:val="18"/>
        </w:rPr>
      </w:pPr>
      <w:r>
        <w:rPr>
          <w:rFonts w:ascii="Calibri"/>
          <w:sz w:val="18"/>
        </w:rPr>
        <w:t>data debate, </w:t>
      </w:r>
      <w:r>
        <w:rPr>
          <w:rFonts w:ascii="Calibri"/>
          <w:spacing w:val="-5"/>
          <w:sz w:val="18"/>
        </w:rPr>
        <w:t>122</w:t>
      </w:r>
    </w:p>
    <w:p>
      <w:pPr>
        <w:spacing w:line="500" w:lineRule="exact" w:before="51"/>
        <w:ind w:left="500" w:right="41" w:firstLine="0"/>
        <w:jc w:val="left"/>
        <w:rPr>
          <w:rFonts w:ascii="Calibri"/>
          <w:sz w:val="18"/>
        </w:rPr>
      </w:pPr>
      <w:r>
        <w:rPr>
          <w:rFonts w:ascii="Calibri"/>
          <w:sz w:val="18"/>
        </w:rPr>
        <w:t>Developing Camarilla Three, 202 developing</w:t>
      </w:r>
      <w:r>
        <w:rPr>
          <w:rFonts w:ascii="Calibri"/>
          <w:spacing w:val="-7"/>
          <w:sz w:val="18"/>
        </w:rPr>
        <w:t> </w:t>
      </w:r>
      <w:r>
        <w:rPr>
          <w:rFonts w:ascii="Calibri"/>
          <w:sz w:val="18"/>
        </w:rPr>
        <w:t>pivot</w:t>
      </w:r>
      <w:r>
        <w:rPr>
          <w:rFonts w:ascii="Calibri"/>
          <w:spacing w:val="-9"/>
          <w:sz w:val="18"/>
        </w:rPr>
        <w:t> </w:t>
      </w:r>
      <w:r>
        <w:rPr>
          <w:rFonts w:ascii="Calibri"/>
          <w:sz w:val="18"/>
        </w:rPr>
        <w:t>range,</w:t>
      </w:r>
      <w:r>
        <w:rPr>
          <w:rFonts w:ascii="Calibri"/>
          <w:spacing w:val="-7"/>
          <w:sz w:val="18"/>
        </w:rPr>
        <w:t> </w:t>
      </w:r>
      <w:r>
        <w:rPr>
          <w:rFonts w:ascii="Calibri"/>
          <w:sz w:val="18"/>
        </w:rPr>
        <w:t>137,</w:t>
      </w:r>
      <w:r>
        <w:rPr>
          <w:rFonts w:ascii="Calibri"/>
          <w:spacing w:val="-7"/>
          <w:sz w:val="18"/>
        </w:rPr>
        <w:t> </w:t>
      </w:r>
      <w:r>
        <w:rPr>
          <w:rFonts w:ascii="Calibri"/>
          <w:sz w:val="18"/>
        </w:rPr>
        <w:t>138,</w:t>
      </w:r>
      <w:r>
        <w:rPr>
          <w:rFonts w:ascii="Calibri"/>
          <w:spacing w:val="-7"/>
          <w:sz w:val="18"/>
        </w:rPr>
        <w:t> </w:t>
      </w:r>
      <w:r>
        <w:rPr>
          <w:rFonts w:ascii="Calibri"/>
          <w:sz w:val="18"/>
        </w:rPr>
        <w:t>139,</w:t>
      </w:r>
    </w:p>
    <w:p>
      <w:pPr>
        <w:spacing w:line="168" w:lineRule="exact" w:before="0"/>
        <w:ind w:left="719" w:right="0" w:firstLine="0"/>
        <w:jc w:val="left"/>
        <w:rPr>
          <w:rFonts w:ascii="Calibri"/>
          <w:sz w:val="18"/>
        </w:rPr>
      </w:pPr>
      <w:r>
        <w:rPr>
          <w:rFonts w:ascii="Calibri"/>
          <w:sz w:val="18"/>
        </w:rPr>
        <w:t>141,</w:t>
      </w:r>
      <w:r>
        <w:rPr>
          <w:rFonts w:ascii="Calibri"/>
          <w:spacing w:val="-3"/>
          <w:sz w:val="18"/>
        </w:rPr>
        <w:t> </w:t>
      </w:r>
      <w:r>
        <w:rPr>
          <w:rFonts w:ascii="Calibri"/>
          <w:sz w:val="18"/>
        </w:rPr>
        <w:t>145,</w:t>
      </w:r>
      <w:r>
        <w:rPr>
          <w:rFonts w:ascii="Calibri"/>
          <w:spacing w:val="-3"/>
          <w:sz w:val="18"/>
        </w:rPr>
        <w:t> </w:t>
      </w:r>
      <w:r>
        <w:rPr>
          <w:rFonts w:ascii="Calibri"/>
          <w:sz w:val="18"/>
        </w:rPr>
        <w:t>151,</w:t>
      </w:r>
      <w:r>
        <w:rPr>
          <w:rFonts w:ascii="Calibri"/>
          <w:spacing w:val="-3"/>
          <w:sz w:val="18"/>
        </w:rPr>
        <w:t> </w:t>
      </w:r>
      <w:r>
        <w:rPr>
          <w:rFonts w:ascii="Calibri"/>
          <w:sz w:val="18"/>
        </w:rPr>
        <w:t>157,</w:t>
      </w:r>
      <w:r>
        <w:rPr>
          <w:rFonts w:ascii="Calibri"/>
          <w:spacing w:val="-2"/>
          <w:sz w:val="18"/>
        </w:rPr>
        <w:t> </w:t>
      </w:r>
      <w:r>
        <w:rPr>
          <w:rFonts w:ascii="Calibri"/>
          <w:spacing w:val="-5"/>
          <w:sz w:val="18"/>
        </w:rPr>
        <w:t>164</w:t>
      </w:r>
    </w:p>
    <w:p>
      <w:pPr>
        <w:pStyle w:val="BodyText"/>
        <w:spacing w:before="11"/>
        <w:rPr>
          <w:rFonts w:ascii="Calibri"/>
        </w:rPr>
      </w:pPr>
    </w:p>
    <w:p>
      <w:pPr>
        <w:spacing w:before="0"/>
        <w:ind w:left="500" w:right="0" w:firstLine="0"/>
        <w:jc w:val="left"/>
        <w:rPr>
          <w:rFonts w:ascii="Calibri"/>
          <w:sz w:val="18"/>
        </w:rPr>
      </w:pPr>
      <w:r>
        <w:rPr>
          <w:rFonts w:ascii="Calibri"/>
          <w:sz w:val="18"/>
        </w:rPr>
        <w:t>Developing</w:t>
      </w:r>
      <w:r>
        <w:rPr>
          <w:rFonts w:ascii="Calibri"/>
          <w:spacing w:val="-6"/>
          <w:sz w:val="18"/>
        </w:rPr>
        <w:t> </w:t>
      </w:r>
      <w:r>
        <w:rPr>
          <w:rFonts w:ascii="Calibri"/>
          <w:sz w:val="18"/>
        </w:rPr>
        <w:t>Pivot</w:t>
      </w:r>
      <w:r>
        <w:rPr>
          <w:rFonts w:ascii="Calibri"/>
          <w:spacing w:val="-6"/>
          <w:sz w:val="18"/>
        </w:rPr>
        <w:t> </w:t>
      </w:r>
      <w:r>
        <w:rPr>
          <w:rFonts w:ascii="Calibri"/>
          <w:sz w:val="18"/>
        </w:rPr>
        <w:t>Range,</w:t>
      </w:r>
      <w:r>
        <w:rPr>
          <w:rFonts w:ascii="Calibri"/>
          <w:spacing w:val="-5"/>
          <w:sz w:val="18"/>
        </w:rPr>
        <w:t> </w:t>
      </w:r>
      <w:r>
        <w:rPr>
          <w:rFonts w:ascii="Calibri"/>
          <w:sz w:val="18"/>
        </w:rPr>
        <w:t>138,</w:t>
      </w:r>
      <w:r>
        <w:rPr>
          <w:rFonts w:ascii="Calibri"/>
          <w:spacing w:val="-6"/>
          <w:sz w:val="18"/>
        </w:rPr>
        <w:t> </w:t>
      </w:r>
      <w:r>
        <w:rPr>
          <w:rFonts w:ascii="Calibri"/>
          <w:sz w:val="18"/>
        </w:rPr>
        <w:t>202,</w:t>
      </w:r>
      <w:r>
        <w:rPr>
          <w:rFonts w:ascii="Calibri"/>
          <w:spacing w:val="-6"/>
          <w:sz w:val="18"/>
        </w:rPr>
        <w:t> </w:t>
      </w:r>
      <w:r>
        <w:rPr>
          <w:rFonts w:ascii="Calibri"/>
          <w:spacing w:val="-4"/>
          <w:sz w:val="18"/>
        </w:rPr>
        <w:t>255,</w:t>
      </w:r>
    </w:p>
    <w:p>
      <w:pPr>
        <w:spacing w:before="0"/>
        <w:ind w:left="719" w:right="0" w:firstLine="0"/>
        <w:jc w:val="left"/>
        <w:rPr>
          <w:rFonts w:ascii="Calibri"/>
          <w:sz w:val="18"/>
        </w:rPr>
      </w:pPr>
      <w:r>
        <w:rPr>
          <w:rFonts w:ascii="Calibri"/>
          <w:sz w:val="18"/>
        </w:rPr>
        <w:t>272,</w:t>
      </w:r>
      <w:r>
        <w:rPr>
          <w:rFonts w:ascii="Calibri"/>
          <w:spacing w:val="-4"/>
          <w:sz w:val="18"/>
        </w:rPr>
        <w:t> </w:t>
      </w:r>
      <w:r>
        <w:rPr>
          <w:rFonts w:ascii="Calibri"/>
          <w:spacing w:val="-5"/>
          <w:sz w:val="18"/>
        </w:rPr>
        <w:t>304</w:t>
      </w:r>
    </w:p>
    <w:p>
      <w:pPr>
        <w:pStyle w:val="BodyText"/>
        <w:spacing w:before="12"/>
        <w:rPr>
          <w:rFonts w:ascii="Calibri"/>
        </w:rPr>
      </w:pPr>
    </w:p>
    <w:p>
      <w:pPr>
        <w:spacing w:before="0"/>
        <w:ind w:left="500" w:right="0" w:firstLine="0"/>
        <w:jc w:val="left"/>
        <w:rPr>
          <w:rFonts w:ascii="Calibri"/>
          <w:sz w:val="18"/>
        </w:rPr>
      </w:pPr>
      <w:r>
        <w:rPr>
          <w:rFonts w:ascii="Calibri"/>
          <w:sz w:val="18"/>
        </w:rPr>
        <w:t>Developing</w:t>
      </w:r>
      <w:r>
        <w:rPr>
          <w:rFonts w:ascii="Calibri"/>
          <w:spacing w:val="-6"/>
          <w:sz w:val="18"/>
        </w:rPr>
        <w:t> </w:t>
      </w:r>
      <w:r>
        <w:rPr>
          <w:rFonts w:ascii="Calibri"/>
          <w:sz w:val="18"/>
        </w:rPr>
        <w:t>Point</w:t>
      </w:r>
      <w:r>
        <w:rPr>
          <w:rFonts w:ascii="Calibri"/>
          <w:spacing w:val="-6"/>
          <w:sz w:val="18"/>
        </w:rPr>
        <w:t> </w:t>
      </w:r>
      <w:r>
        <w:rPr>
          <w:rFonts w:ascii="Calibri"/>
          <w:sz w:val="18"/>
        </w:rPr>
        <w:t>of</w:t>
      </w:r>
      <w:r>
        <w:rPr>
          <w:rFonts w:ascii="Calibri"/>
          <w:spacing w:val="-6"/>
          <w:sz w:val="18"/>
        </w:rPr>
        <w:t> </w:t>
      </w:r>
      <w:r>
        <w:rPr>
          <w:rFonts w:ascii="Calibri"/>
          <w:sz w:val="18"/>
        </w:rPr>
        <w:t>Control,</w:t>
      </w:r>
      <w:r>
        <w:rPr>
          <w:rFonts w:ascii="Calibri"/>
          <w:spacing w:val="-6"/>
          <w:sz w:val="18"/>
        </w:rPr>
        <w:t> </w:t>
      </w:r>
      <w:r>
        <w:rPr>
          <w:rFonts w:ascii="Calibri"/>
          <w:sz w:val="18"/>
        </w:rPr>
        <w:t>63,</w:t>
      </w:r>
      <w:r>
        <w:rPr>
          <w:rFonts w:ascii="Calibri"/>
          <w:spacing w:val="-5"/>
          <w:sz w:val="18"/>
        </w:rPr>
        <w:t> 272</w:t>
      </w:r>
    </w:p>
    <w:p>
      <w:pPr>
        <w:pStyle w:val="BodyText"/>
        <w:spacing w:before="10"/>
        <w:rPr>
          <w:rFonts w:ascii="Calibri"/>
        </w:rPr>
      </w:pPr>
    </w:p>
    <w:p>
      <w:pPr>
        <w:spacing w:before="1"/>
        <w:ind w:left="500" w:right="0" w:firstLine="0"/>
        <w:jc w:val="left"/>
        <w:rPr>
          <w:rFonts w:ascii="Calibri"/>
          <w:sz w:val="18"/>
        </w:rPr>
      </w:pPr>
      <w:r>
        <w:rPr>
          <w:rFonts w:ascii="Calibri"/>
          <w:sz w:val="18"/>
        </w:rPr>
        <w:t>developing</w:t>
      </w:r>
      <w:r>
        <w:rPr>
          <w:rFonts w:ascii="Calibri"/>
          <w:spacing w:val="-2"/>
          <w:sz w:val="18"/>
        </w:rPr>
        <w:t> </w:t>
      </w:r>
      <w:r>
        <w:rPr>
          <w:rFonts w:ascii="Calibri"/>
          <w:sz w:val="18"/>
        </w:rPr>
        <w:t>value</w:t>
      </w:r>
      <w:r>
        <w:rPr>
          <w:rFonts w:ascii="Calibri"/>
          <w:spacing w:val="-2"/>
          <w:sz w:val="18"/>
        </w:rPr>
        <w:t> </w:t>
      </w:r>
      <w:r>
        <w:rPr>
          <w:rFonts w:ascii="Calibri"/>
          <w:sz w:val="18"/>
        </w:rPr>
        <w:t>area,</w:t>
      </w:r>
      <w:r>
        <w:rPr>
          <w:rFonts w:ascii="Calibri"/>
          <w:spacing w:val="-2"/>
          <w:sz w:val="18"/>
        </w:rPr>
        <w:t> </w:t>
      </w:r>
      <w:r>
        <w:rPr>
          <w:rFonts w:ascii="Calibri"/>
          <w:sz w:val="18"/>
        </w:rPr>
        <w:t>66,</w:t>
      </w:r>
      <w:r>
        <w:rPr>
          <w:rFonts w:ascii="Calibri"/>
          <w:spacing w:val="-2"/>
          <w:sz w:val="18"/>
        </w:rPr>
        <w:t> </w:t>
      </w:r>
      <w:r>
        <w:rPr>
          <w:rFonts w:ascii="Calibri"/>
          <w:spacing w:val="-5"/>
          <w:sz w:val="18"/>
        </w:rPr>
        <w:t>89</w:t>
      </w:r>
    </w:p>
    <w:p>
      <w:pPr>
        <w:spacing w:after="0"/>
        <w:jc w:val="left"/>
        <w:rPr>
          <w:rFonts w:ascii="Calibri"/>
          <w:sz w:val="18"/>
        </w:rPr>
        <w:sectPr>
          <w:type w:val="continuous"/>
          <w:pgSz w:w="8640" w:h="12960"/>
          <w:pgMar w:header="0" w:footer="1060" w:top="1480" w:bottom="280" w:left="580" w:right="580"/>
          <w:cols w:num="2" w:equalWidth="0">
            <w:col w:w="3594" w:space="186"/>
            <w:col w:w="3700"/>
          </w:cols>
        </w:sectPr>
      </w:pPr>
    </w:p>
    <w:p>
      <w:pPr>
        <w:pStyle w:val="BodyText"/>
        <w:spacing w:before="11"/>
        <w:rPr>
          <w:rFonts w:ascii="Calibri"/>
          <w:sz w:val="16"/>
        </w:rPr>
      </w:pPr>
    </w:p>
    <w:p>
      <w:pPr>
        <w:spacing w:after="0"/>
        <w:rPr>
          <w:rFonts w:ascii="Calibri"/>
          <w:sz w:val="16"/>
        </w:rPr>
        <w:sectPr>
          <w:headerReference w:type="even" r:id="rId374"/>
          <w:pgSz w:w="8640" w:h="12960"/>
          <w:pgMar w:header="579" w:footer="1060" w:top="760" w:bottom="1260" w:left="580" w:right="580"/>
        </w:sectPr>
      </w:pPr>
    </w:p>
    <w:p>
      <w:pPr>
        <w:spacing w:before="73"/>
        <w:ind w:left="140" w:right="0" w:firstLine="0"/>
        <w:jc w:val="left"/>
        <w:rPr>
          <w:rFonts w:ascii="Calibri"/>
          <w:sz w:val="18"/>
        </w:rPr>
      </w:pPr>
      <w:r>
        <w:rPr>
          <w:rFonts w:ascii="Calibri"/>
          <w:sz w:val="18"/>
        </w:rPr>
        <w:t>doji</w:t>
      </w:r>
      <w:r>
        <w:rPr>
          <w:rFonts w:ascii="Calibri"/>
          <w:spacing w:val="-4"/>
          <w:sz w:val="18"/>
        </w:rPr>
        <w:t> </w:t>
      </w:r>
      <w:r>
        <w:rPr>
          <w:rFonts w:ascii="Calibri"/>
          <w:sz w:val="18"/>
        </w:rPr>
        <w:t>reversal,</w:t>
      </w:r>
      <w:r>
        <w:rPr>
          <w:rFonts w:ascii="Calibri"/>
          <w:spacing w:val="-2"/>
          <w:sz w:val="18"/>
        </w:rPr>
        <w:t> </w:t>
      </w:r>
      <w:r>
        <w:rPr>
          <w:rFonts w:ascii="Calibri"/>
          <w:sz w:val="18"/>
        </w:rPr>
        <w:t>49,</w:t>
      </w:r>
      <w:r>
        <w:rPr>
          <w:rFonts w:ascii="Calibri"/>
          <w:spacing w:val="-2"/>
          <w:sz w:val="18"/>
        </w:rPr>
        <w:t> </w:t>
      </w:r>
      <w:r>
        <w:rPr>
          <w:rFonts w:ascii="Calibri"/>
          <w:sz w:val="18"/>
        </w:rPr>
        <w:t>51,</w:t>
      </w:r>
      <w:r>
        <w:rPr>
          <w:rFonts w:ascii="Calibri"/>
          <w:spacing w:val="-1"/>
          <w:sz w:val="18"/>
        </w:rPr>
        <w:t> </w:t>
      </w:r>
      <w:r>
        <w:rPr>
          <w:rFonts w:ascii="Calibri"/>
          <w:sz w:val="18"/>
        </w:rPr>
        <w:t>52,</w:t>
      </w:r>
      <w:r>
        <w:rPr>
          <w:rFonts w:ascii="Calibri"/>
          <w:spacing w:val="-2"/>
          <w:sz w:val="18"/>
        </w:rPr>
        <w:t> </w:t>
      </w:r>
      <w:r>
        <w:rPr>
          <w:rFonts w:ascii="Calibri"/>
          <w:sz w:val="18"/>
        </w:rPr>
        <w:t>53,</w:t>
      </w:r>
      <w:r>
        <w:rPr>
          <w:rFonts w:ascii="Calibri"/>
          <w:spacing w:val="-2"/>
          <w:sz w:val="18"/>
        </w:rPr>
        <w:t> </w:t>
      </w:r>
      <w:r>
        <w:rPr>
          <w:rFonts w:ascii="Calibri"/>
          <w:sz w:val="18"/>
        </w:rPr>
        <w:t>54,</w:t>
      </w:r>
      <w:r>
        <w:rPr>
          <w:rFonts w:ascii="Calibri"/>
          <w:spacing w:val="-2"/>
          <w:sz w:val="18"/>
        </w:rPr>
        <w:t> </w:t>
      </w:r>
      <w:r>
        <w:rPr>
          <w:rFonts w:ascii="Calibri"/>
          <w:sz w:val="18"/>
        </w:rPr>
        <w:t>55,</w:t>
      </w:r>
      <w:r>
        <w:rPr>
          <w:rFonts w:ascii="Calibri"/>
          <w:spacing w:val="-1"/>
          <w:sz w:val="18"/>
        </w:rPr>
        <w:t> </w:t>
      </w:r>
      <w:r>
        <w:rPr>
          <w:rFonts w:ascii="Calibri"/>
          <w:spacing w:val="-4"/>
          <w:sz w:val="18"/>
        </w:rPr>
        <w:t>173,</w:t>
      </w:r>
    </w:p>
    <w:p>
      <w:pPr>
        <w:spacing w:before="0"/>
        <w:ind w:left="359" w:right="0" w:firstLine="0"/>
        <w:jc w:val="left"/>
        <w:rPr>
          <w:rFonts w:ascii="Calibri"/>
          <w:sz w:val="18"/>
        </w:rPr>
      </w:pPr>
      <w:r>
        <w:rPr>
          <w:rFonts w:ascii="Calibri"/>
          <w:sz w:val="18"/>
        </w:rPr>
        <w:t>241,</w:t>
      </w:r>
      <w:r>
        <w:rPr>
          <w:rFonts w:ascii="Calibri"/>
          <w:spacing w:val="-3"/>
          <w:sz w:val="18"/>
        </w:rPr>
        <w:t> </w:t>
      </w:r>
      <w:r>
        <w:rPr>
          <w:rFonts w:ascii="Calibri"/>
          <w:sz w:val="18"/>
        </w:rPr>
        <w:t>256,</w:t>
      </w:r>
      <w:r>
        <w:rPr>
          <w:rFonts w:ascii="Calibri"/>
          <w:spacing w:val="-3"/>
          <w:sz w:val="18"/>
        </w:rPr>
        <w:t> </w:t>
      </w:r>
      <w:r>
        <w:rPr>
          <w:rFonts w:ascii="Calibri"/>
          <w:sz w:val="18"/>
        </w:rPr>
        <w:t>262,</w:t>
      </w:r>
      <w:r>
        <w:rPr>
          <w:rFonts w:ascii="Calibri"/>
          <w:spacing w:val="-3"/>
          <w:sz w:val="18"/>
        </w:rPr>
        <w:t> </w:t>
      </w:r>
      <w:r>
        <w:rPr>
          <w:rFonts w:ascii="Calibri"/>
          <w:sz w:val="18"/>
        </w:rPr>
        <w:t>268,</w:t>
      </w:r>
      <w:r>
        <w:rPr>
          <w:rFonts w:ascii="Calibri"/>
          <w:spacing w:val="-3"/>
          <w:sz w:val="18"/>
        </w:rPr>
        <w:t> </w:t>
      </w:r>
      <w:r>
        <w:rPr>
          <w:rFonts w:ascii="Calibri"/>
          <w:sz w:val="18"/>
        </w:rPr>
        <w:t>271,</w:t>
      </w:r>
      <w:r>
        <w:rPr>
          <w:rFonts w:ascii="Calibri"/>
          <w:spacing w:val="-3"/>
          <w:sz w:val="18"/>
        </w:rPr>
        <w:t> </w:t>
      </w:r>
      <w:r>
        <w:rPr>
          <w:rFonts w:ascii="Calibri"/>
          <w:spacing w:val="-5"/>
          <w:sz w:val="18"/>
        </w:rPr>
        <w:t>279</w:t>
      </w:r>
    </w:p>
    <w:p>
      <w:pPr>
        <w:pStyle w:val="BodyText"/>
        <w:spacing w:before="11"/>
        <w:rPr>
          <w:rFonts w:ascii="Calibri"/>
        </w:rPr>
      </w:pPr>
    </w:p>
    <w:p>
      <w:pPr>
        <w:spacing w:before="1"/>
        <w:ind w:left="140" w:right="0" w:firstLine="0"/>
        <w:jc w:val="left"/>
        <w:rPr>
          <w:rFonts w:ascii="Calibri"/>
          <w:sz w:val="18"/>
        </w:rPr>
      </w:pPr>
      <w:r>
        <w:rPr>
          <w:rFonts w:ascii="Calibri"/>
          <w:sz w:val="18"/>
        </w:rPr>
        <w:t>double</w:t>
      </w:r>
      <w:r>
        <w:rPr>
          <w:rFonts w:ascii="Calibri"/>
          <w:spacing w:val="-3"/>
          <w:sz w:val="18"/>
        </w:rPr>
        <w:t> </w:t>
      </w:r>
      <w:r>
        <w:rPr>
          <w:rFonts w:ascii="Calibri"/>
          <w:sz w:val="18"/>
        </w:rPr>
        <w:t>pivot</w:t>
      </w:r>
      <w:r>
        <w:rPr>
          <w:rFonts w:ascii="Calibri"/>
          <w:spacing w:val="-3"/>
          <w:sz w:val="18"/>
        </w:rPr>
        <w:t> </w:t>
      </w:r>
      <w:r>
        <w:rPr>
          <w:rFonts w:ascii="Calibri"/>
          <w:sz w:val="18"/>
        </w:rPr>
        <w:t>hot</w:t>
      </w:r>
      <w:r>
        <w:rPr>
          <w:rFonts w:ascii="Calibri"/>
          <w:spacing w:val="-3"/>
          <w:sz w:val="18"/>
        </w:rPr>
        <w:t> </w:t>
      </w:r>
      <w:r>
        <w:rPr>
          <w:rFonts w:ascii="Calibri"/>
          <w:sz w:val="18"/>
        </w:rPr>
        <w:t>zone,</w:t>
      </w:r>
      <w:r>
        <w:rPr>
          <w:rFonts w:ascii="Calibri"/>
          <w:spacing w:val="-3"/>
          <w:sz w:val="18"/>
        </w:rPr>
        <w:t> </w:t>
      </w:r>
      <w:r>
        <w:rPr>
          <w:rFonts w:ascii="Calibri"/>
          <w:sz w:val="18"/>
        </w:rPr>
        <w:t>261,</w:t>
      </w:r>
      <w:r>
        <w:rPr>
          <w:rFonts w:ascii="Calibri"/>
          <w:spacing w:val="-3"/>
          <w:sz w:val="18"/>
        </w:rPr>
        <w:t> </w:t>
      </w:r>
      <w:r>
        <w:rPr>
          <w:rFonts w:ascii="Calibri"/>
          <w:sz w:val="18"/>
        </w:rPr>
        <w:t>262,</w:t>
      </w:r>
      <w:r>
        <w:rPr>
          <w:rFonts w:ascii="Calibri"/>
          <w:spacing w:val="-1"/>
          <w:sz w:val="18"/>
        </w:rPr>
        <w:t> </w:t>
      </w:r>
      <w:r>
        <w:rPr>
          <w:rFonts w:ascii="Calibri"/>
          <w:sz w:val="18"/>
        </w:rPr>
        <w:t>264,</w:t>
      </w:r>
      <w:r>
        <w:rPr>
          <w:rFonts w:ascii="Calibri"/>
          <w:spacing w:val="-3"/>
          <w:sz w:val="18"/>
        </w:rPr>
        <w:t> </w:t>
      </w:r>
      <w:r>
        <w:rPr>
          <w:rFonts w:ascii="Calibri"/>
          <w:spacing w:val="-5"/>
          <w:sz w:val="18"/>
        </w:rPr>
        <w:t>265</w:t>
      </w:r>
    </w:p>
    <w:p>
      <w:pPr>
        <w:pStyle w:val="BodyText"/>
        <w:spacing w:before="10"/>
        <w:rPr>
          <w:rFonts w:ascii="Calibri"/>
        </w:rPr>
      </w:pPr>
    </w:p>
    <w:p>
      <w:pPr>
        <w:spacing w:before="0"/>
        <w:ind w:left="140" w:right="0" w:firstLine="0"/>
        <w:jc w:val="left"/>
        <w:rPr>
          <w:rFonts w:ascii="Calibri"/>
          <w:sz w:val="18"/>
        </w:rPr>
      </w:pPr>
      <w:r>
        <w:rPr>
          <w:rFonts w:ascii="Calibri"/>
          <w:sz w:val="18"/>
        </w:rPr>
        <w:t>Double-Distribution</w:t>
      </w:r>
      <w:r>
        <w:rPr>
          <w:rFonts w:ascii="Calibri"/>
          <w:spacing w:val="-10"/>
          <w:sz w:val="18"/>
        </w:rPr>
        <w:t> </w:t>
      </w:r>
      <w:r>
        <w:rPr>
          <w:rFonts w:ascii="Calibri"/>
          <w:sz w:val="18"/>
        </w:rPr>
        <w:t>Trend</w:t>
      </w:r>
      <w:r>
        <w:rPr>
          <w:rFonts w:ascii="Calibri"/>
          <w:spacing w:val="-9"/>
          <w:sz w:val="18"/>
        </w:rPr>
        <w:t> </w:t>
      </w:r>
      <w:r>
        <w:rPr>
          <w:rFonts w:ascii="Calibri"/>
          <w:sz w:val="18"/>
        </w:rPr>
        <w:t>Day,</w:t>
      </w:r>
      <w:r>
        <w:rPr>
          <w:rFonts w:ascii="Calibri"/>
          <w:spacing w:val="-9"/>
          <w:sz w:val="18"/>
        </w:rPr>
        <w:t> </w:t>
      </w:r>
      <w:r>
        <w:rPr>
          <w:rFonts w:ascii="Calibri"/>
          <w:sz w:val="18"/>
        </w:rPr>
        <w:t>21,</w:t>
      </w:r>
      <w:r>
        <w:rPr>
          <w:rFonts w:ascii="Calibri"/>
          <w:spacing w:val="-9"/>
          <w:sz w:val="18"/>
        </w:rPr>
        <w:t> </w:t>
      </w:r>
      <w:r>
        <w:rPr>
          <w:rFonts w:ascii="Calibri"/>
          <w:spacing w:val="-5"/>
          <w:sz w:val="18"/>
        </w:rPr>
        <w:t>22,</w:t>
      </w:r>
    </w:p>
    <w:p>
      <w:pPr>
        <w:spacing w:before="0"/>
        <w:ind w:left="359" w:right="0" w:firstLine="0"/>
        <w:jc w:val="left"/>
        <w:rPr>
          <w:rFonts w:ascii="Calibri"/>
          <w:sz w:val="18"/>
        </w:rPr>
      </w:pPr>
      <w:r>
        <w:rPr>
          <w:rFonts w:ascii="Calibri"/>
          <w:sz w:val="18"/>
        </w:rPr>
        <w:t>26,</w:t>
      </w:r>
      <w:r>
        <w:rPr>
          <w:rFonts w:ascii="Calibri"/>
          <w:spacing w:val="-2"/>
          <w:sz w:val="18"/>
        </w:rPr>
        <w:t> </w:t>
      </w:r>
      <w:r>
        <w:rPr>
          <w:rFonts w:ascii="Calibri"/>
          <w:sz w:val="18"/>
        </w:rPr>
        <w:t>74,</w:t>
      </w:r>
      <w:r>
        <w:rPr>
          <w:rFonts w:ascii="Calibri"/>
          <w:spacing w:val="-2"/>
          <w:sz w:val="18"/>
        </w:rPr>
        <w:t> </w:t>
      </w:r>
      <w:r>
        <w:rPr>
          <w:rFonts w:ascii="Calibri"/>
          <w:sz w:val="18"/>
        </w:rPr>
        <w:t>75,</w:t>
      </w:r>
      <w:r>
        <w:rPr>
          <w:rFonts w:ascii="Calibri"/>
          <w:spacing w:val="-1"/>
          <w:sz w:val="18"/>
        </w:rPr>
        <w:t> </w:t>
      </w:r>
      <w:r>
        <w:rPr>
          <w:rFonts w:ascii="Calibri"/>
          <w:sz w:val="18"/>
        </w:rPr>
        <w:t>153,</w:t>
      </w:r>
      <w:r>
        <w:rPr>
          <w:rFonts w:ascii="Calibri"/>
          <w:spacing w:val="-1"/>
          <w:sz w:val="18"/>
        </w:rPr>
        <w:t> </w:t>
      </w:r>
      <w:r>
        <w:rPr>
          <w:rFonts w:ascii="Calibri"/>
          <w:spacing w:val="-5"/>
          <w:sz w:val="18"/>
        </w:rPr>
        <w:t>197</w:t>
      </w:r>
    </w:p>
    <w:p>
      <w:pPr>
        <w:pStyle w:val="BodyText"/>
        <w:spacing w:before="12"/>
        <w:rPr>
          <w:rFonts w:ascii="Calibri"/>
        </w:rPr>
      </w:pPr>
    </w:p>
    <w:p>
      <w:pPr>
        <w:pStyle w:val="Heading4"/>
      </w:pPr>
      <w:r>
        <w:rPr>
          <w:w w:val="100"/>
        </w:rPr>
        <w:t>E</w:t>
      </w:r>
    </w:p>
    <w:p>
      <w:pPr>
        <w:pStyle w:val="BodyText"/>
        <w:spacing w:before="11"/>
        <w:rPr>
          <w:rFonts w:ascii="Calibri"/>
        </w:rPr>
      </w:pPr>
    </w:p>
    <w:p>
      <w:pPr>
        <w:spacing w:before="0"/>
        <w:ind w:left="140" w:right="0" w:firstLine="0"/>
        <w:jc w:val="left"/>
        <w:rPr>
          <w:rFonts w:ascii="Calibri"/>
          <w:sz w:val="18"/>
        </w:rPr>
      </w:pPr>
      <w:r>
        <w:rPr>
          <w:rFonts w:ascii="Calibri"/>
          <w:sz w:val="18"/>
        </w:rPr>
        <w:t>Expanded</w:t>
      </w:r>
      <w:r>
        <w:rPr>
          <w:rFonts w:ascii="Calibri"/>
          <w:spacing w:val="-5"/>
          <w:sz w:val="18"/>
        </w:rPr>
        <w:t> </w:t>
      </w:r>
      <w:r>
        <w:rPr>
          <w:rFonts w:ascii="Calibri"/>
          <w:sz w:val="18"/>
        </w:rPr>
        <w:t>Formula,</w:t>
      </w:r>
      <w:r>
        <w:rPr>
          <w:rFonts w:ascii="Calibri"/>
          <w:spacing w:val="-5"/>
          <w:sz w:val="18"/>
        </w:rPr>
        <w:t> </w:t>
      </w:r>
      <w:r>
        <w:rPr>
          <w:rFonts w:ascii="Calibri"/>
          <w:sz w:val="18"/>
        </w:rPr>
        <w:t>114,</w:t>
      </w:r>
      <w:r>
        <w:rPr>
          <w:rFonts w:ascii="Calibri"/>
          <w:spacing w:val="-5"/>
          <w:sz w:val="18"/>
        </w:rPr>
        <w:t> 185</w:t>
      </w:r>
    </w:p>
    <w:p>
      <w:pPr>
        <w:pStyle w:val="BodyText"/>
        <w:rPr>
          <w:rFonts w:ascii="Calibri"/>
          <w:sz w:val="23"/>
        </w:rPr>
      </w:pPr>
    </w:p>
    <w:p>
      <w:pPr>
        <w:spacing w:before="0"/>
        <w:ind w:left="140" w:right="0" w:firstLine="0"/>
        <w:jc w:val="left"/>
        <w:rPr>
          <w:rFonts w:ascii="Calibri"/>
          <w:sz w:val="18"/>
        </w:rPr>
      </w:pPr>
      <w:r>
        <w:rPr>
          <w:rFonts w:ascii="Calibri"/>
          <w:sz w:val="18"/>
        </w:rPr>
        <w:t>Expanded</w:t>
      </w:r>
      <w:r>
        <w:rPr>
          <w:rFonts w:ascii="Calibri"/>
          <w:spacing w:val="-4"/>
          <w:sz w:val="18"/>
        </w:rPr>
        <w:t> </w:t>
      </w:r>
      <w:r>
        <w:rPr>
          <w:rFonts w:ascii="Calibri"/>
          <w:sz w:val="18"/>
        </w:rPr>
        <w:t>Typical</w:t>
      </w:r>
      <w:r>
        <w:rPr>
          <w:rFonts w:ascii="Calibri"/>
          <w:spacing w:val="-3"/>
          <w:sz w:val="18"/>
        </w:rPr>
        <w:t> </w:t>
      </w:r>
      <w:r>
        <w:rPr>
          <w:rFonts w:ascii="Calibri"/>
          <w:sz w:val="18"/>
        </w:rPr>
        <w:t>Day,</w:t>
      </w:r>
      <w:r>
        <w:rPr>
          <w:rFonts w:ascii="Calibri"/>
          <w:spacing w:val="-3"/>
          <w:sz w:val="18"/>
        </w:rPr>
        <w:t> </w:t>
      </w:r>
      <w:r>
        <w:rPr>
          <w:rFonts w:ascii="Calibri"/>
          <w:sz w:val="18"/>
        </w:rPr>
        <w:t>36,</w:t>
      </w:r>
      <w:r>
        <w:rPr>
          <w:rFonts w:ascii="Calibri"/>
          <w:spacing w:val="-3"/>
          <w:sz w:val="18"/>
        </w:rPr>
        <w:t> </w:t>
      </w:r>
      <w:r>
        <w:rPr>
          <w:rFonts w:ascii="Calibri"/>
          <w:sz w:val="18"/>
        </w:rPr>
        <w:t>75,</w:t>
      </w:r>
      <w:r>
        <w:rPr>
          <w:rFonts w:ascii="Calibri"/>
          <w:spacing w:val="-3"/>
          <w:sz w:val="18"/>
        </w:rPr>
        <w:t> </w:t>
      </w:r>
      <w:r>
        <w:rPr>
          <w:rFonts w:ascii="Calibri"/>
          <w:spacing w:val="-5"/>
          <w:sz w:val="18"/>
        </w:rPr>
        <w:t>97</w:t>
      </w:r>
    </w:p>
    <w:p>
      <w:pPr>
        <w:pStyle w:val="BodyText"/>
        <w:spacing w:before="11"/>
        <w:rPr>
          <w:rFonts w:ascii="Calibri"/>
        </w:rPr>
      </w:pPr>
    </w:p>
    <w:p>
      <w:pPr>
        <w:spacing w:before="0"/>
        <w:ind w:left="140" w:right="0" w:firstLine="0"/>
        <w:jc w:val="left"/>
        <w:rPr>
          <w:rFonts w:ascii="Calibri"/>
          <w:sz w:val="18"/>
        </w:rPr>
      </w:pPr>
      <w:r>
        <w:rPr>
          <w:rFonts w:ascii="Calibri"/>
          <w:sz w:val="18"/>
        </w:rPr>
        <w:t>extreme</w:t>
      </w:r>
      <w:r>
        <w:rPr>
          <w:rFonts w:ascii="Calibri"/>
          <w:spacing w:val="-3"/>
          <w:sz w:val="18"/>
        </w:rPr>
        <w:t> </w:t>
      </w:r>
      <w:r>
        <w:rPr>
          <w:rFonts w:ascii="Calibri"/>
          <w:sz w:val="18"/>
        </w:rPr>
        <w:t>reversal,</w:t>
      </w:r>
      <w:r>
        <w:rPr>
          <w:rFonts w:ascii="Calibri"/>
          <w:spacing w:val="-2"/>
          <w:sz w:val="18"/>
        </w:rPr>
        <w:t> </w:t>
      </w:r>
      <w:r>
        <w:rPr>
          <w:rFonts w:ascii="Calibri"/>
          <w:sz w:val="18"/>
        </w:rPr>
        <w:t>38,</w:t>
      </w:r>
      <w:r>
        <w:rPr>
          <w:rFonts w:ascii="Calibri"/>
          <w:spacing w:val="-2"/>
          <w:sz w:val="18"/>
        </w:rPr>
        <w:t> </w:t>
      </w:r>
      <w:r>
        <w:rPr>
          <w:rFonts w:ascii="Calibri"/>
          <w:sz w:val="18"/>
        </w:rPr>
        <w:t>39,</w:t>
      </w:r>
      <w:r>
        <w:rPr>
          <w:rFonts w:ascii="Calibri"/>
          <w:spacing w:val="-2"/>
          <w:sz w:val="18"/>
        </w:rPr>
        <w:t> </w:t>
      </w:r>
      <w:r>
        <w:rPr>
          <w:rFonts w:ascii="Calibri"/>
          <w:sz w:val="18"/>
        </w:rPr>
        <w:t>40,</w:t>
      </w:r>
      <w:r>
        <w:rPr>
          <w:rFonts w:ascii="Calibri"/>
          <w:spacing w:val="-2"/>
          <w:sz w:val="18"/>
        </w:rPr>
        <w:t> </w:t>
      </w:r>
      <w:r>
        <w:rPr>
          <w:rFonts w:ascii="Calibri"/>
          <w:sz w:val="18"/>
        </w:rPr>
        <w:t>41,</w:t>
      </w:r>
      <w:r>
        <w:rPr>
          <w:rFonts w:ascii="Calibri"/>
          <w:spacing w:val="-1"/>
          <w:sz w:val="18"/>
        </w:rPr>
        <w:t> </w:t>
      </w:r>
      <w:r>
        <w:rPr>
          <w:rFonts w:ascii="Calibri"/>
          <w:sz w:val="18"/>
        </w:rPr>
        <w:t>42,</w:t>
      </w:r>
      <w:r>
        <w:rPr>
          <w:rFonts w:ascii="Calibri"/>
          <w:spacing w:val="-2"/>
          <w:sz w:val="18"/>
        </w:rPr>
        <w:t> </w:t>
      </w:r>
      <w:r>
        <w:rPr>
          <w:rFonts w:ascii="Calibri"/>
          <w:spacing w:val="-5"/>
          <w:sz w:val="18"/>
        </w:rPr>
        <w:t>43,</w:t>
      </w:r>
    </w:p>
    <w:p>
      <w:pPr>
        <w:spacing w:before="0"/>
        <w:ind w:left="359" w:right="0" w:firstLine="0"/>
        <w:jc w:val="left"/>
        <w:rPr>
          <w:rFonts w:ascii="Calibri"/>
          <w:sz w:val="18"/>
        </w:rPr>
      </w:pPr>
      <w:r>
        <w:rPr>
          <w:rFonts w:ascii="Calibri"/>
          <w:sz w:val="18"/>
        </w:rPr>
        <w:t>44,</w:t>
      </w:r>
      <w:r>
        <w:rPr>
          <w:rFonts w:ascii="Calibri"/>
          <w:spacing w:val="-3"/>
          <w:sz w:val="18"/>
        </w:rPr>
        <w:t> </w:t>
      </w:r>
      <w:r>
        <w:rPr>
          <w:rFonts w:ascii="Calibri"/>
          <w:sz w:val="18"/>
        </w:rPr>
        <w:t>47,</w:t>
      </w:r>
      <w:r>
        <w:rPr>
          <w:rFonts w:ascii="Calibri"/>
          <w:spacing w:val="-2"/>
          <w:sz w:val="18"/>
        </w:rPr>
        <w:t> </w:t>
      </w:r>
      <w:r>
        <w:rPr>
          <w:rFonts w:ascii="Calibri"/>
          <w:sz w:val="18"/>
        </w:rPr>
        <w:t>79,</w:t>
      </w:r>
      <w:r>
        <w:rPr>
          <w:rFonts w:ascii="Calibri"/>
          <w:spacing w:val="-2"/>
          <w:sz w:val="18"/>
        </w:rPr>
        <w:t> </w:t>
      </w:r>
      <w:r>
        <w:rPr>
          <w:rFonts w:ascii="Calibri"/>
          <w:sz w:val="18"/>
        </w:rPr>
        <w:t>100,</w:t>
      </w:r>
      <w:r>
        <w:rPr>
          <w:rFonts w:ascii="Calibri"/>
          <w:spacing w:val="-2"/>
          <w:sz w:val="18"/>
        </w:rPr>
        <w:t> </w:t>
      </w:r>
      <w:r>
        <w:rPr>
          <w:rFonts w:ascii="Calibri"/>
          <w:sz w:val="18"/>
        </w:rPr>
        <w:t>129,</w:t>
      </w:r>
      <w:r>
        <w:rPr>
          <w:rFonts w:ascii="Calibri"/>
          <w:spacing w:val="-2"/>
          <w:sz w:val="18"/>
        </w:rPr>
        <w:t> </w:t>
      </w:r>
      <w:r>
        <w:rPr>
          <w:rFonts w:ascii="Calibri"/>
          <w:sz w:val="18"/>
        </w:rPr>
        <w:t>228,</w:t>
      </w:r>
      <w:r>
        <w:rPr>
          <w:rFonts w:ascii="Calibri"/>
          <w:spacing w:val="-2"/>
          <w:sz w:val="18"/>
        </w:rPr>
        <w:t> </w:t>
      </w:r>
      <w:r>
        <w:rPr>
          <w:rFonts w:ascii="Calibri"/>
          <w:sz w:val="18"/>
        </w:rPr>
        <w:t>242,</w:t>
      </w:r>
      <w:r>
        <w:rPr>
          <w:rFonts w:ascii="Calibri"/>
          <w:spacing w:val="-3"/>
          <w:sz w:val="18"/>
        </w:rPr>
        <w:t> </w:t>
      </w:r>
      <w:r>
        <w:rPr>
          <w:rFonts w:ascii="Calibri"/>
          <w:spacing w:val="-4"/>
          <w:sz w:val="18"/>
        </w:rPr>
        <w:t>262,</w:t>
      </w:r>
    </w:p>
    <w:p>
      <w:pPr>
        <w:spacing w:before="1"/>
        <w:ind w:left="359" w:right="0" w:firstLine="0"/>
        <w:jc w:val="left"/>
        <w:rPr>
          <w:rFonts w:ascii="Calibri"/>
          <w:sz w:val="18"/>
        </w:rPr>
      </w:pPr>
      <w:r>
        <w:rPr>
          <w:rFonts w:ascii="Calibri"/>
          <w:sz w:val="18"/>
        </w:rPr>
        <w:t>263,</w:t>
      </w:r>
      <w:r>
        <w:rPr>
          <w:rFonts w:ascii="Calibri"/>
          <w:spacing w:val="-3"/>
          <w:sz w:val="18"/>
        </w:rPr>
        <w:t> </w:t>
      </w:r>
      <w:r>
        <w:rPr>
          <w:rFonts w:ascii="Calibri"/>
          <w:sz w:val="18"/>
        </w:rPr>
        <w:t>264,</w:t>
      </w:r>
      <w:r>
        <w:rPr>
          <w:rFonts w:ascii="Calibri"/>
          <w:spacing w:val="-3"/>
          <w:sz w:val="18"/>
        </w:rPr>
        <w:t> </w:t>
      </w:r>
      <w:r>
        <w:rPr>
          <w:rFonts w:ascii="Calibri"/>
          <w:sz w:val="18"/>
        </w:rPr>
        <w:t>268,</w:t>
      </w:r>
      <w:r>
        <w:rPr>
          <w:rFonts w:ascii="Calibri"/>
          <w:spacing w:val="-3"/>
          <w:sz w:val="18"/>
        </w:rPr>
        <w:t> </w:t>
      </w:r>
      <w:r>
        <w:rPr>
          <w:rFonts w:ascii="Calibri"/>
          <w:sz w:val="18"/>
        </w:rPr>
        <w:t>269,</w:t>
      </w:r>
      <w:r>
        <w:rPr>
          <w:rFonts w:ascii="Calibri"/>
          <w:spacing w:val="-2"/>
          <w:sz w:val="18"/>
        </w:rPr>
        <w:t> </w:t>
      </w:r>
      <w:r>
        <w:rPr>
          <w:rFonts w:ascii="Calibri"/>
          <w:spacing w:val="-5"/>
          <w:sz w:val="18"/>
        </w:rPr>
        <w:t>271</w:t>
      </w:r>
    </w:p>
    <w:p>
      <w:pPr>
        <w:pStyle w:val="BodyText"/>
        <w:spacing w:before="10"/>
        <w:rPr>
          <w:rFonts w:ascii="Calibri"/>
        </w:rPr>
      </w:pPr>
    </w:p>
    <w:p>
      <w:pPr>
        <w:pStyle w:val="Heading4"/>
      </w:pPr>
      <w:r>
        <w:rPr>
          <w:w w:val="100"/>
        </w:rPr>
        <w:t>F</w:t>
      </w:r>
    </w:p>
    <w:p>
      <w:pPr>
        <w:pStyle w:val="BodyText"/>
        <w:rPr>
          <w:rFonts w:ascii="Calibri"/>
          <w:sz w:val="23"/>
        </w:rPr>
      </w:pPr>
    </w:p>
    <w:p>
      <w:pPr>
        <w:spacing w:before="0"/>
        <w:ind w:left="140" w:right="0" w:firstLine="0"/>
        <w:jc w:val="left"/>
        <w:rPr>
          <w:rFonts w:ascii="Calibri"/>
          <w:sz w:val="18"/>
        </w:rPr>
      </w:pPr>
      <w:r>
        <w:rPr>
          <w:rFonts w:ascii="Calibri"/>
          <w:sz w:val="18"/>
        </w:rPr>
        <w:t>flight</w:t>
      </w:r>
      <w:r>
        <w:rPr>
          <w:rFonts w:ascii="Calibri"/>
          <w:spacing w:val="-4"/>
          <w:sz w:val="18"/>
        </w:rPr>
        <w:t> </w:t>
      </w:r>
      <w:r>
        <w:rPr>
          <w:rFonts w:ascii="Calibri"/>
          <w:sz w:val="18"/>
        </w:rPr>
        <w:t>plan,</w:t>
      </w:r>
      <w:r>
        <w:rPr>
          <w:rFonts w:ascii="Calibri"/>
          <w:spacing w:val="-3"/>
          <w:sz w:val="18"/>
        </w:rPr>
        <w:t> </w:t>
      </w:r>
      <w:r>
        <w:rPr>
          <w:rFonts w:ascii="Calibri"/>
          <w:sz w:val="18"/>
        </w:rPr>
        <w:t>282,</w:t>
      </w:r>
      <w:r>
        <w:rPr>
          <w:rFonts w:ascii="Calibri"/>
          <w:spacing w:val="-2"/>
          <w:sz w:val="18"/>
        </w:rPr>
        <w:t> </w:t>
      </w:r>
      <w:r>
        <w:rPr>
          <w:rFonts w:ascii="Calibri"/>
          <w:sz w:val="18"/>
        </w:rPr>
        <w:t>283,</w:t>
      </w:r>
      <w:r>
        <w:rPr>
          <w:rFonts w:ascii="Calibri"/>
          <w:spacing w:val="-3"/>
          <w:sz w:val="18"/>
        </w:rPr>
        <w:t> </w:t>
      </w:r>
      <w:r>
        <w:rPr>
          <w:rFonts w:ascii="Calibri"/>
          <w:sz w:val="18"/>
        </w:rPr>
        <w:t>284,</w:t>
      </w:r>
      <w:r>
        <w:rPr>
          <w:rFonts w:ascii="Calibri"/>
          <w:spacing w:val="-4"/>
          <w:sz w:val="18"/>
        </w:rPr>
        <w:t> </w:t>
      </w:r>
      <w:r>
        <w:rPr>
          <w:rFonts w:ascii="Calibri"/>
          <w:sz w:val="18"/>
        </w:rPr>
        <w:t>285,</w:t>
      </w:r>
      <w:r>
        <w:rPr>
          <w:rFonts w:ascii="Calibri"/>
          <w:spacing w:val="-3"/>
          <w:sz w:val="18"/>
        </w:rPr>
        <w:t> </w:t>
      </w:r>
      <w:r>
        <w:rPr>
          <w:rFonts w:ascii="Calibri"/>
          <w:spacing w:val="-5"/>
          <w:sz w:val="18"/>
        </w:rPr>
        <w:t>286</w:t>
      </w:r>
    </w:p>
    <w:p>
      <w:pPr>
        <w:pStyle w:val="BodyText"/>
        <w:spacing w:before="11"/>
        <w:rPr>
          <w:rFonts w:ascii="Calibri"/>
        </w:rPr>
      </w:pPr>
    </w:p>
    <w:p>
      <w:pPr>
        <w:spacing w:before="0"/>
        <w:ind w:left="140" w:right="0" w:firstLine="0"/>
        <w:jc w:val="left"/>
        <w:rPr>
          <w:rFonts w:ascii="Calibri"/>
          <w:sz w:val="18"/>
        </w:rPr>
      </w:pPr>
      <w:r>
        <w:rPr>
          <w:rFonts w:ascii="Calibri"/>
          <w:sz w:val="18"/>
        </w:rPr>
        <w:t>Floor</w:t>
      </w:r>
      <w:r>
        <w:rPr>
          <w:rFonts w:ascii="Calibri"/>
          <w:spacing w:val="-3"/>
          <w:sz w:val="18"/>
        </w:rPr>
        <w:t> </w:t>
      </w:r>
      <w:r>
        <w:rPr>
          <w:rFonts w:ascii="Calibri"/>
          <w:sz w:val="18"/>
        </w:rPr>
        <w:t>Pivots,</w:t>
      </w:r>
      <w:r>
        <w:rPr>
          <w:rFonts w:ascii="Calibri"/>
          <w:spacing w:val="-3"/>
          <w:sz w:val="18"/>
        </w:rPr>
        <w:t> </w:t>
      </w:r>
      <w:r>
        <w:rPr>
          <w:rFonts w:ascii="Calibri"/>
          <w:sz w:val="18"/>
        </w:rPr>
        <w:t>11,</w:t>
      </w:r>
      <w:r>
        <w:rPr>
          <w:rFonts w:ascii="Calibri"/>
          <w:spacing w:val="-1"/>
          <w:sz w:val="18"/>
        </w:rPr>
        <w:t> </w:t>
      </w:r>
      <w:r>
        <w:rPr>
          <w:rFonts w:ascii="Calibri"/>
          <w:sz w:val="18"/>
        </w:rPr>
        <w:t>30,</w:t>
      </w:r>
      <w:r>
        <w:rPr>
          <w:rFonts w:ascii="Calibri"/>
          <w:spacing w:val="-3"/>
          <w:sz w:val="18"/>
        </w:rPr>
        <w:t> </w:t>
      </w:r>
      <w:r>
        <w:rPr>
          <w:rFonts w:ascii="Calibri"/>
          <w:sz w:val="18"/>
        </w:rPr>
        <w:t>111,</w:t>
      </w:r>
      <w:r>
        <w:rPr>
          <w:rFonts w:ascii="Calibri"/>
          <w:spacing w:val="-3"/>
          <w:sz w:val="18"/>
        </w:rPr>
        <w:t> </w:t>
      </w:r>
      <w:r>
        <w:rPr>
          <w:rFonts w:ascii="Calibri"/>
          <w:sz w:val="18"/>
        </w:rPr>
        <w:t>112,</w:t>
      </w:r>
      <w:r>
        <w:rPr>
          <w:rFonts w:ascii="Calibri"/>
          <w:spacing w:val="-2"/>
          <w:sz w:val="18"/>
        </w:rPr>
        <w:t> </w:t>
      </w:r>
      <w:r>
        <w:rPr>
          <w:rFonts w:ascii="Calibri"/>
          <w:sz w:val="18"/>
        </w:rPr>
        <w:t>113,</w:t>
      </w:r>
      <w:r>
        <w:rPr>
          <w:rFonts w:ascii="Calibri"/>
          <w:spacing w:val="-3"/>
          <w:sz w:val="18"/>
        </w:rPr>
        <w:t> </w:t>
      </w:r>
      <w:r>
        <w:rPr>
          <w:rFonts w:ascii="Calibri"/>
          <w:spacing w:val="-4"/>
          <w:sz w:val="18"/>
        </w:rPr>
        <w:t>114,</w:t>
      </w:r>
    </w:p>
    <w:p>
      <w:pPr>
        <w:spacing w:before="0"/>
        <w:ind w:left="359" w:right="0" w:firstLine="0"/>
        <w:jc w:val="left"/>
        <w:rPr>
          <w:rFonts w:ascii="Calibri"/>
          <w:sz w:val="18"/>
        </w:rPr>
      </w:pPr>
      <w:r>
        <w:rPr>
          <w:rFonts w:ascii="Calibri"/>
          <w:sz w:val="18"/>
        </w:rPr>
        <w:t>115,</w:t>
      </w:r>
      <w:r>
        <w:rPr>
          <w:rFonts w:ascii="Calibri"/>
          <w:spacing w:val="-3"/>
          <w:sz w:val="18"/>
        </w:rPr>
        <w:t> </w:t>
      </w:r>
      <w:r>
        <w:rPr>
          <w:rFonts w:ascii="Calibri"/>
          <w:sz w:val="18"/>
        </w:rPr>
        <w:t>116,</w:t>
      </w:r>
      <w:r>
        <w:rPr>
          <w:rFonts w:ascii="Calibri"/>
          <w:spacing w:val="-2"/>
          <w:sz w:val="18"/>
        </w:rPr>
        <w:t> </w:t>
      </w:r>
      <w:r>
        <w:rPr>
          <w:rFonts w:ascii="Calibri"/>
          <w:sz w:val="18"/>
        </w:rPr>
        <w:t>117,</w:t>
      </w:r>
      <w:r>
        <w:rPr>
          <w:rFonts w:ascii="Calibri"/>
          <w:spacing w:val="-3"/>
          <w:sz w:val="18"/>
        </w:rPr>
        <w:t> </w:t>
      </w:r>
      <w:r>
        <w:rPr>
          <w:rFonts w:ascii="Calibri"/>
          <w:sz w:val="18"/>
        </w:rPr>
        <w:t>118,</w:t>
      </w:r>
      <w:r>
        <w:rPr>
          <w:rFonts w:ascii="Calibri"/>
          <w:spacing w:val="-2"/>
          <w:sz w:val="18"/>
        </w:rPr>
        <w:t> </w:t>
      </w:r>
      <w:r>
        <w:rPr>
          <w:rFonts w:ascii="Calibri"/>
          <w:sz w:val="18"/>
        </w:rPr>
        <w:t>119,</w:t>
      </w:r>
      <w:r>
        <w:rPr>
          <w:rFonts w:ascii="Calibri"/>
          <w:spacing w:val="-3"/>
          <w:sz w:val="18"/>
        </w:rPr>
        <w:t> </w:t>
      </w:r>
      <w:r>
        <w:rPr>
          <w:rFonts w:ascii="Calibri"/>
          <w:sz w:val="18"/>
        </w:rPr>
        <w:t>121,</w:t>
      </w:r>
      <w:r>
        <w:rPr>
          <w:rFonts w:ascii="Calibri"/>
          <w:spacing w:val="-2"/>
          <w:sz w:val="18"/>
        </w:rPr>
        <w:t> </w:t>
      </w:r>
      <w:r>
        <w:rPr>
          <w:rFonts w:ascii="Calibri"/>
          <w:sz w:val="18"/>
        </w:rPr>
        <w:t>122,</w:t>
      </w:r>
      <w:r>
        <w:rPr>
          <w:rFonts w:ascii="Calibri"/>
          <w:spacing w:val="-3"/>
          <w:sz w:val="18"/>
        </w:rPr>
        <w:t> </w:t>
      </w:r>
      <w:r>
        <w:rPr>
          <w:rFonts w:ascii="Calibri"/>
          <w:spacing w:val="-4"/>
          <w:sz w:val="18"/>
        </w:rPr>
        <w:t>131,</w:t>
      </w:r>
    </w:p>
    <w:p>
      <w:pPr>
        <w:spacing w:before="0"/>
        <w:ind w:left="359" w:right="0" w:firstLine="0"/>
        <w:jc w:val="left"/>
        <w:rPr>
          <w:rFonts w:ascii="Calibri"/>
          <w:sz w:val="18"/>
        </w:rPr>
      </w:pPr>
      <w:r>
        <w:rPr>
          <w:rFonts w:ascii="Calibri"/>
          <w:sz w:val="18"/>
        </w:rPr>
        <w:t>132,</w:t>
      </w:r>
      <w:r>
        <w:rPr>
          <w:rFonts w:ascii="Calibri"/>
          <w:spacing w:val="-3"/>
          <w:sz w:val="18"/>
        </w:rPr>
        <w:t> </w:t>
      </w:r>
      <w:r>
        <w:rPr>
          <w:rFonts w:ascii="Calibri"/>
          <w:sz w:val="18"/>
        </w:rPr>
        <w:t>134,</w:t>
      </w:r>
      <w:r>
        <w:rPr>
          <w:rFonts w:ascii="Calibri"/>
          <w:spacing w:val="-3"/>
          <w:sz w:val="18"/>
        </w:rPr>
        <w:t> </w:t>
      </w:r>
      <w:r>
        <w:rPr>
          <w:rFonts w:ascii="Calibri"/>
          <w:sz w:val="18"/>
        </w:rPr>
        <w:t>135,</w:t>
      </w:r>
      <w:r>
        <w:rPr>
          <w:rFonts w:ascii="Calibri"/>
          <w:spacing w:val="-3"/>
          <w:sz w:val="18"/>
        </w:rPr>
        <w:t> </w:t>
      </w:r>
      <w:r>
        <w:rPr>
          <w:rFonts w:ascii="Calibri"/>
          <w:sz w:val="18"/>
        </w:rPr>
        <w:t>136,</w:t>
      </w:r>
      <w:r>
        <w:rPr>
          <w:rFonts w:ascii="Calibri"/>
          <w:spacing w:val="-3"/>
          <w:sz w:val="18"/>
        </w:rPr>
        <w:t> </w:t>
      </w:r>
      <w:r>
        <w:rPr>
          <w:rFonts w:ascii="Calibri"/>
          <w:sz w:val="18"/>
        </w:rPr>
        <w:t>152,</w:t>
      </w:r>
      <w:r>
        <w:rPr>
          <w:rFonts w:ascii="Calibri"/>
          <w:spacing w:val="-2"/>
          <w:sz w:val="18"/>
        </w:rPr>
        <w:t> </w:t>
      </w:r>
      <w:r>
        <w:rPr>
          <w:rFonts w:ascii="Calibri"/>
          <w:sz w:val="18"/>
        </w:rPr>
        <w:t>163,</w:t>
      </w:r>
      <w:r>
        <w:rPr>
          <w:rFonts w:ascii="Calibri"/>
          <w:spacing w:val="-3"/>
          <w:sz w:val="18"/>
        </w:rPr>
        <w:t> </w:t>
      </w:r>
      <w:r>
        <w:rPr>
          <w:rFonts w:ascii="Calibri"/>
          <w:sz w:val="18"/>
        </w:rPr>
        <w:t>182,</w:t>
      </w:r>
      <w:r>
        <w:rPr>
          <w:rFonts w:ascii="Calibri"/>
          <w:spacing w:val="-3"/>
          <w:sz w:val="18"/>
        </w:rPr>
        <w:t> </w:t>
      </w:r>
      <w:r>
        <w:rPr>
          <w:rFonts w:ascii="Calibri"/>
          <w:spacing w:val="-4"/>
          <w:sz w:val="18"/>
        </w:rPr>
        <w:t>185,</w:t>
      </w:r>
    </w:p>
    <w:p>
      <w:pPr>
        <w:spacing w:before="1"/>
        <w:ind w:left="359" w:right="0" w:firstLine="0"/>
        <w:jc w:val="left"/>
        <w:rPr>
          <w:rFonts w:ascii="Calibri"/>
          <w:sz w:val="18"/>
        </w:rPr>
      </w:pPr>
      <w:r>
        <w:rPr>
          <w:rFonts w:ascii="Calibri"/>
          <w:sz w:val="18"/>
        </w:rPr>
        <w:t>186,</w:t>
      </w:r>
      <w:r>
        <w:rPr>
          <w:rFonts w:ascii="Calibri"/>
          <w:spacing w:val="-3"/>
          <w:sz w:val="18"/>
        </w:rPr>
        <w:t> </w:t>
      </w:r>
      <w:r>
        <w:rPr>
          <w:rFonts w:ascii="Calibri"/>
          <w:sz w:val="18"/>
        </w:rPr>
        <w:t>191,</w:t>
      </w:r>
      <w:r>
        <w:rPr>
          <w:rFonts w:ascii="Calibri"/>
          <w:spacing w:val="-2"/>
          <w:sz w:val="18"/>
        </w:rPr>
        <w:t> </w:t>
      </w:r>
      <w:r>
        <w:rPr>
          <w:rFonts w:ascii="Calibri"/>
          <w:sz w:val="18"/>
        </w:rPr>
        <w:t>202,</w:t>
      </w:r>
      <w:r>
        <w:rPr>
          <w:rFonts w:ascii="Calibri"/>
          <w:spacing w:val="-3"/>
          <w:sz w:val="18"/>
        </w:rPr>
        <w:t> </w:t>
      </w:r>
      <w:r>
        <w:rPr>
          <w:rFonts w:ascii="Calibri"/>
          <w:sz w:val="18"/>
        </w:rPr>
        <w:t>203,</w:t>
      </w:r>
      <w:r>
        <w:rPr>
          <w:rFonts w:ascii="Calibri"/>
          <w:spacing w:val="-2"/>
          <w:sz w:val="18"/>
        </w:rPr>
        <w:t> </w:t>
      </w:r>
      <w:r>
        <w:rPr>
          <w:rFonts w:ascii="Calibri"/>
          <w:sz w:val="18"/>
        </w:rPr>
        <w:t>222,</w:t>
      </w:r>
      <w:r>
        <w:rPr>
          <w:rFonts w:ascii="Calibri"/>
          <w:spacing w:val="-3"/>
          <w:sz w:val="18"/>
        </w:rPr>
        <w:t> </w:t>
      </w:r>
      <w:r>
        <w:rPr>
          <w:rFonts w:ascii="Calibri"/>
          <w:sz w:val="18"/>
        </w:rPr>
        <w:t>233,</w:t>
      </w:r>
      <w:r>
        <w:rPr>
          <w:rFonts w:ascii="Calibri"/>
          <w:spacing w:val="-2"/>
          <w:sz w:val="18"/>
        </w:rPr>
        <w:t> </w:t>
      </w:r>
      <w:r>
        <w:rPr>
          <w:rFonts w:ascii="Calibri"/>
          <w:sz w:val="18"/>
        </w:rPr>
        <w:t>234,</w:t>
      </w:r>
      <w:r>
        <w:rPr>
          <w:rFonts w:ascii="Calibri"/>
          <w:spacing w:val="-3"/>
          <w:sz w:val="18"/>
        </w:rPr>
        <w:t> </w:t>
      </w:r>
      <w:r>
        <w:rPr>
          <w:rFonts w:ascii="Calibri"/>
          <w:spacing w:val="-4"/>
          <w:sz w:val="18"/>
        </w:rPr>
        <w:t>238,</w:t>
      </w:r>
    </w:p>
    <w:p>
      <w:pPr>
        <w:spacing w:before="0"/>
        <w:ind w:left="359" w:right="0" w:firstLine="0"/>
        <w:jc w:val="left"/>
        <w:rPr>
          <w:rFonts w:ascii="Calibri"/>
          <w:sz w:val="18"/>
        </w:rPr>
      </w:pPr>
      <w:r>
        <w:rPr>
          <w:rFonts w:ascii="Calibri"/>
          <w:sz w:val="18"/>
        </w:rPr>
        <w:t>239,</w:t>
      </w:r>
      <w:r>
        <w:rPr>
          <w:rFonts w:ascii="Calibri"/>
          <w:spacing w:val="-3"/>
          <w:sz w:val="18"/>
        </w:rPr>
        <w:t> </w:t>
      </w:r>
      <w:r>
        <w:rPr>
          <w:rFonts w:ascii="Calibri"/>
          <w:sz w:val="18"/>
        </w:rPr>
        <w:t>240,</w:t>
      </w:r>
      <w:r>
        <w:rPr>
          <w:rFonts w:ascii="Calibri"/>
          <w:spacing w:val="-3"/>
          <w:sz w:val="18"/>
        </w:rPr>
        <w:t> </w:t>
      </w:r>
      <w:r>
        <w:rPr>
          <w:rFonts w:ascii="Calibri"/>
          <w:sz w:val="18"/>
        </w:rPr>
        <w:t>250,</w:t>
      </w:r>
      <w:r>
        <w:rPr>
          <w:rFonts w:ascii="Calibri"/>
          <w:spacing w:val="-3"/>
          <w:sz w:val="18"/>
        </w:rPr>
        <w:t> </w:t>
      </w:r>
      <w:r>
        <w:rPr>
          <w:rFonts w:ascii="Calibri"/>
          <w:sz w:val="18"/>
        </w:rPr>
        <w:t>260,</w:t>
      </w:r>
      <w:r>
        <w:rPr>
          <w:rFonts w:ascii="Calibri"/>
          <w:spacing w:val="-2"/>
          <w:sz w:val="18"/>
        </w:rPr>
        <w:t> </w:t>
      </w:r>
      <w:r>
        <w:rPr>
          <w:rFonts w:ascii="Calibri"/>
          <w:spacing w:val="-5"/>
          <w:sz w:val="18"/>
        </w:rPr>
        <w:t>274</w:t>
      </w:r>
    </w:p>
    <w:p>
      <w:pPr>
        <w:pStyle w:val="BodyText"/>
        <w:spacing w:before="10"/>
        <w:rPr>
          <w:rFonts w:ascii="Calibri"/>
        </w:rPr>
      </w:pPr>
    </w:p>
    <w:p>
      <w:pPr>
        <w:pStyle w:val="Heading4"/>
      </w:pPr>
      <w:r>
        <w:rPr>
          <w:w w:val="100"/>
        </w:rPr>
        <w:t>G</w:t>
      </w:r>
    </w:p>
    <w:p>
      <w:pPr>
        <w:pStyle w:val="BodyText"/>
        <w:rPr>
          <w:rFonts w:ascii="Calibri"/>
          <w:sz w:val="23"/>
        </w:rPr>
      </w:pPr>
    </w:p>
    <w:p>
      <w:pPr>
        <w:spacing w:before="0"/>
        <w:ind w:left="140" w:right="0" w:firstLine="0"/>
        <w:jc w:val="left"/>
        <w:rPr>
          <w:rFonts w:ascii="Calibri"/>
          <w:sz w:val="18"/>
        </w:rPr>
      </w:pPr>
      <w:r>
        <w:rPr>
          <w:rFonts w:ascii="Calibri"/>
          <w:sz w:val="18"/>
        </w:rPr>
        <w:t>Golden</w:t>
      </w:r>
      <w:r>
        <w:rPr>
          <w:rFonts w:ascii="Calibri"/>
          <w:spacing w:val="-4"/>
          <w:sz w:val="18"/>
        </w:rPr>
        <w:t> </w:t>
      </w:r>
      <w:r>
        <w:rPr>
          <w:rFonts w:ascii="Calibri"/>
          <w:sz w:val="18"/>
        </w:rPr>
        <w:t>Pivot</w:t>
      </w:r>
      <w:r>
        <w:rPr>
          <w:rFonts w:ascii="Calibri"/>
          <w:spacing w:val="-3"/>
          <w:sz w:val="18"/>
        </w:rPr>
        <w:t> </w:t>
      </w:r>
      <w:r>
        <w:rPr>
          <w:rFonts w:ascii="Calibri"/>
          <w:sz w:val="18"/>
        </w:rPr>
        <w:t>Zone,</w:t>
      </w:r>
      <w:r>
        <w:rPr>
          <w:rFonts w:ascii="Calibri"/>
          <w:spacing w:val="-4"/>
          <w:sz w:val="18"/>
        </w:rPr>
        <w:t> </w:t>
      </w:r>
      <w:r>
        <w:rPr>
          <w:rFonts w:ascii="Calibri"/>
          <w:sz w:val="18"/>
        </w:rPr>
        <w:t>266,</w:t>
      </w:r>
      <w:r>
        <w:rPr>
          <w:rFonts w:ascii="Calibri"/>
          <w:spacing w:val="-3"/>
          <w:sz w:val="18"/>
        </w:rPr>
        <w:t> </w:t>
      </w:r>
      <w:r>
        <w:rPr>
          <w:rFonts w:ascii="Calibri"/>
          <w:sz w:val="18"/>
        </w:rPr>
        <w:t>267,</w:t>
      </w:r>
      <w:r>
        <w:rPr>
          <w:rFonts w:ascii="Calibri"/>
          <w:spacing w:val="-3"/>
          <w:sz w:val="18"/>
        </w:rPr>
        <w:t> </w:t>
      </w:r>
      <w:r>
        <w:rPr>
          <w:rFonts w:ascii="Calibri"/>
          <w:sz w:val="18"/>
        </w:rPr>
        <w:t>268,</w:t>
      </w:r>
      <w:r>
        <w:rPr>
          <w:rFonts w:ascii="Calibri"/>
          <w:spacing w:val="-4"/>
          <w:sz w:val="18"/>
        </w:rPr>
        <w:t> 269,</w:t>
      </w:r>
    </w:p>
    <w:p>
      <w:pPr>
        <w:spacing w:before="0"/>
        <w:ind w:left="359" w:right="0" w:firstLine="0"/>
        <w:jc w:val="left"/>
        <w:rPr>
          <w:rFonts w:ascii="Calibri"/>
          <w:sz w:val="18"/>
        </w:rPr>
      </w:pPr>
      <w:r>
        <w:rPr>
          <w:rFonts w:ascii="Calibri"/>
          <w:sz w:val="18"/>
        </w:rPr>
        <w:t>271,</w:t>
      </w:r>
      <w:r>
        <w:rPr>
          <w:rFonts w:ascii="Calibri"/>
          <w:spacing w:val="-4"/>
          <w:sz w:val="18"/>
        </w:rPr>
        <w:t> </w:t>
      </w:r>
      <w:r>
        <w:rPr>
          <w:rFonts w:ascii="Calibri"/>
          <w:sz w:val="18"/>
        </w:rPr>
        <w:t>272,</w:t>
      </w:r>
      <w:r>
        <w:rPr>
          <w:rFonts w:ascii="Calibri"/>
          <w:spacing w:val="-3"/>
          <w:sz w:val="18"/>
        </w:rPr>
        <w:t> </w:t>
      </w:r>
      <w:r>
        <w:rPr>
          <w:rFonts w:ascii="Calibri"/>
          <w:spacing w:val="-5"/>
          <w:sz w:val="18"/>
        </w:rPr>
        <w:t>273</w:t>
      </w:r>
    </w:p>
    <w:p>
      <w:pPr>
        <w:pStyle w:val="BodyText"/>
        <w:spacing w:before="10"/>
        <w:rPr>
          <w:rFonts w:ascii="Calibri"/>
        </w:rPr>
      </w:pPr>
    </w:p>
    <w:p>
      <w:pPr>
        <w:pStyle w:val="Heading4"/>
        <w:ind w:left="105"/>
      </w:pPr>
      <w:r>
        <w:rPr>
          <w:w w:val="101"/>
        </w:rPr>
        <w:t>H</w:t>
      </w:r>
    </w:p>
    <w:p>
      <w:pPr>
        <w:pStyle w:val="BodyText"/>
        <w:rPr>
          <w:rFonts w:ascii="Calibri"/>
          <w:sz w:val="23"/>
        </w:rPr>
      </w:pPr>
    </w:p>
    <w:p>
      <w:pPr>
        <w:spacing w:before="0"/>
        <w:ind w:left="140" w:right="0" w:firstLine="0"/>
        <w:jc w:val="left"/>
        <w:rPr>
          <w:rFonts w:ascii="Calibri"/>
          <w:sz w:val="18"/>
        </w:rPr>
      </w:pPr>
      <w:r>
        <w:rPr>
          <w:rFonts w:ascii="Calibri"/>
          <w:sz w:val="18"/>
        </w:rPr>
        <w:t>H3</w:t>
      </w:r>
      <w:r>
        <w:rPr>
          <w:rFonts w:ascii="Calibri"/>
          <w:spacing w:val="-3"/>
          <w:sz w:val="18"/>
        </w:rPr>
        <w:t> </w:t>
      </w:r>
      <w:r>
        <w:rPr>
          <w:rFonts w:ascii="Calibri"/>
          <w:sz w:val="18"/>
        </w:rPr>
        <w:t>reversal,</w:t>
      </w:r>
      <w:r>
        <w:rPr>
          <w:rFonts w:ascii="Calibri"/>
          <w:spacing w:val="-2"/>
          <w:sz w:val="18"/>
        </w:rPr>
        <w:t> </w:t>
      </w:r>
      <w:r>
        <w:rPr>
          <w:rFonts w:ascii="Calibri"/>
          <w:sz w:val="18"/>
        </w:rPr>
        <w:t>188,</w:t>
      </w:r>
      <w:r>
        <w:rPr>
          <w:rFonts w:ascii="Calibri"/>
          <w:spacing w:val="-2"/>
          <w:sz w:val="18"/>
        </w:rPr>
        <w:t> </w:t>
      </w:r>
      <w:r>
        <w:rPr>
          <w:rFonts w:ascii="Calibri"/>
          <w:sz w:val="18"/>
        </w:rPr>
        <w:t>189,</w:t>
      </w:r>
      <w:r>
        <w:rPr>
          <w:rFonts w:ascii="Calibri"/>
          <w:spacing w:val="-2"/>
          <w:sz w:val="18"/>
        </w:rPr>
        <w:t> </w:t>
      </w:r>
      <w:r>
        <w:rPr>
          <w:rFonts w:ascii="Calibri"/>
          <w:sz w:val="18"/>
        </w:rPr>
        <w:t>192,</w:t>
      </w:r>
      <w:r>
        <w:rPr>
          <w:rFonts w:ascii="Calibri"/>
          <w:spacing w:val="-2"/>
          <w:sz w:val="18"/>
        </w:rPr>
        <w:t> </w:t>
      </w:r>
      <w:r>
        <w:rPr>
          <w:rFonts w:ascii="Calibri"/>
          <w:sz w:val="18"/>
        </w:rPr>
        <w:t>197,</w:t>
      </w:r>
      <w:r>
        <w:rPr>
          <w:rFonts w:ascii="Calibri"/>
          <w:spacing w:val="-1"/>
          <w:sz w:val="18"/>
        </w:rPr>
        <w:t> </w:t>
      </w:r>
      <w:r>
        <w:rPr>
          <w:rFonts w:ascii="Calibri"/>
          <w:spacing w:val="-5"/>
          <w:sz w:val="18"/>
        </w:rPr>
        <w:t>218</w:t>
      </w:r>
    </w:p>
    <w:p>
      <w:pPr>
        <w:pStyle w:val="BodyText"/>
        <w:rPr>
          <w:rFonts w:ascii="Calibri"/>
          <w:sz w:val="23"/>
        </w:rPr>
      </w:pPr>
    </w:p>
    <w:p>
      <w:pPr>
        <w:spacing w:before="0"/>
        <w:ind w:left="140" w:right="0" w:firstLine="0"/>
        <w:jc w:val="left"/>
        <w:rPr>
          <w:rFonts w:ascii="Calibri"/>
          <w:sz w:val="18"/>
        </w:rPr>
      </w:pPr>
      <w:r>
        <w:rPr>
          <w:rFonts w:ascii="Calibri"/>
          <w:sz w:val="18"/>
        </w:rPr>
        <w:t>H4</w:t>
      </w:r>
      <w:r>
        <w:rPr>
          <w:rFonts w:ascii="Calibri"/>
          <w:spacing w:val="-4"/>
          <w:sz w:val="18"/>
        </w:rPr>
        <w:t> </w:t>
      </w:r>
      <w:r>
        <w:rPr>
          <w:rFonts w:ascii="Calibri"/>
          <w:sz w:val="18"/>
        </w:rPr>
        <w:t>breakout,</w:t>
      </w:r>
      <w:r>
        <w:rPr>
          <w:rFonts w:ascii="Calibri"/>
          <w:spacing w:val="-3"/>
          <w:sz w:val="18"/>
        </w:rPr>
        <w:t> </w:t>
      </w:r>
      <w:r>
        <w:rPr>
          <w:rFonts w:ascii="Calibri"/>
          <w:sz w:val="18"/>
        </w:rPr>
        <w:t>193,</w:t>
      </w:r>
      <w:r>
        <w:rPr>
          <w:rFonts w:ascii="Calibri"/>
          <w:spacing w:val="-3"/>
          <w:sz w:val="18"/>
        </w:rPr>
        <w:t> </w:t>
      </w:r>
      <w:r>
        <w:rPr>
          <w:rFonts w:ascii="Calibri"/>
          <w:sz w:val="18"/>
        </w:rPr>
        <w:t>195,</w:t>
      </w:r>
      <w:r>
        <w:rPr>
          <w:rFonts w:ascii="Calibri"/>
          <w:spacing w:val="-4"/>
          <w:sz w:val="18"/>
        </w:rPr>
        <w:t> </w:t>
      </w:r>
      <w:r>
        <w:rPr>
          <w:rFonts w:ascii="Calibri"/>
          <w:spacing w:val="-5"/>
          <w:sz w:val="18"/>
        </w:rPr>
        <w:t>197</w:t>
      </w:r>
    </w:p>
    <w:p>
      <w:pPr>
        <w:pStyle w:val="BodyText"/>
        <w:spacing w:before="11"/>
        <w:rPr>
          <w:rFonts w:ascii="Calibri"/>
        </w:rPr>
      </w:pPr>
    </w:p>
    <w:p>
      <w:pPr>
        <w:spacing w:before="0"/>
        <w:ind w:left="140" w:right="0" w:firstLine="0"/>
        <w:jc w:val="left"/>
        <w:rPr>
          <w:rFonts w:ascii="Calibri"/>
          <w:sz w:val="18"/>
        </w:rPr>
      </w:pPr>
      <w:r>
        <w:rPr>
          <w:rFonts w:ascii="Calibri"/>
          <w:sz w:val="18"/>
        </w:rPr>
        <w:t>hidden</w:t>
      </w:r>
      <w:r>
        <w:rPr>
          <w:rFonts w:ascii="Calibri"/>
          <w:spacing w:val="-3"/>
          <w:sz w:val="18"/>
        </w:rPr>
        <w:t> </w:t>
      </w:r>
      <w:r>
        <w:rPr>
          <w:rFonts w:ascii="Calibri"/>
          <w:sz w:val="18"/>
        </w:rPr>
        <w:t>layers,</w:t>
      </w:r>
      <w:r>
        <w:rPr>
          <w:rFonts w:ascii="Calibri"/>
          <w:spacing w:val="-3"/>
          <w:sz w:val="18"/>
        </w:rPr>
        <w:t> </w:t>
      </w:r>
      <w:r>
        <w:rPr>
          <w:rFonts w:ascii="Calibri"/>
          <w:sz w:val="18"/>
        </w:rPr>
        <w:t>217,</w:t>
      </w:r>
      <w:r>
        <w:rPr>
          <w:rFonts w:ascii="Calibri"/>
          <w:spacing w:val="-2"/>
          <w:sz w:val="18"/>
        </w:rPr>
        <w:t> </w:t>
      </w:r>
      <w:r>
        <w:rPr>
          <w:rFonts w:ascii="Calibri"/>
          <w:sz w:val="18"/>
        </w:rPr>
        <w:t>218,</w:t>
      </w:r>
      <w:r>
        <w:rPr>
          <w:rFonts w:ascii="Calibri"/>
          <w:spacing w:val="-3"/>
          <w:sz w:val="18"/>
        </w:rPr>
        <w:t> </w:t>
      </w:r>
      <w:r>
        <w:rPr>
          <w:rFonts w:ascii="Calibri"/>
          <w:sz w:val="18"/>
        </w:rPr>
        <w:t>219,</w:t>
      </w:r>
      <w:r>
        <w:rPr>
          <w:rFonts w:ascii="Calibri"/>
          <w:spacing w:val="-2"/>
          <w:sz w:val="18"/>
        </w:rPr>
        <w:t> </w:t>
      </w:r>
      <w:r>
        <w:rPr>
          <w:rFonts w:ascii="Calibri"/>
          <w:sz w:val="18"/>
        </w:rPr>
        <w:t>220,</w:t>
      </w:r>
      <w:r>
        <w:rPr>
          <w:rFonts w:ascii="Calibri"/>
          <w:spacing w:val="-3"/>
          <w:sz w:val="18"/>
        </w:rPr>
        <w:t> </w:t>
      </w:r>
      <w:r>
        <w:rPr>
          <w:rFonts w:ascii="Calibri"/>
          <w:spacing w:val="-4"/>
          <w:sz w:val="18"/>
        </w:rPr>
        <w:t>222,</w:t>
      </w:r>
    </w:p>
    <w:p>
      <w:pPr>
        <w:spacing w:before="0"/>
        <w:ind w:left="359" w:right="0" w:firstLine="0"/>
        <w:jc w:val="left"/>
        <w:rPr>
          <w:rFonts w:ascii="Calibri"/>
          <w:sz w:val="18"/>
        </w:rPr>
      </w:pPr>
      <w:r>
        <w:rPr>
          <w:rFonts w:ascii="Calibri"/>
          <w:sz w:val="18"/>
        </w:rPr>
        <w:t>248,</w:t>
      </w:r>
      <w:r>
        <w:rPr>
          <w:rFonts w:ascii="Calibri"/>
          <w:spacing w:val="-4"/>
          <w:sz w:val="18"/>
        </w:rPr>
        <w:t> </w:t>
      </w:r>
      <w:r>
        <w:rPr>
          <w:rFonts w:ascii="Calibri"/>
          <w:spacing w:val="-5"/>
          <w:sz w:val="18"/>
        </w:rPr>
        <w:t>249</w:t>
      </w:r>
    </w:p>
    <w:p>
      <w:pPr>
        <w:spacing w:before="73"/>
        <w:ind w:left="140" w:right="0" w:firstLine="0"/>
        <w:jc w:val="left"/>
        <w:rPr>
          <w:rFonts w:ascii="Calibri"/>
          <w:sz w:val="18"/>
        </w:rPr>
      </w:pPr>
      <w:r>
        <w:rPr/>
        <w:br w:type="column"/>
      </w:r>
      <w:r>
        <w:rPr>
          <w:rFonts w:ascii="Calibri"/>
          <w:sz w:val="18"/>
        </w:rPr>
        <w:t>High</w:t>
      </w:r>
      <w:r>
        <w:rPr>
          <w:rFonts w:ascii="Calibri"/>
          <w:spacing w:val="-4"/>
          <w:sz w:val="18"/>
        </w:rPr>
        <w:t> </w:t>
      </w:r>
      <w:r>
        <w:rPr>
          <w:rFonts w:ascii="Calibri"/>
          <w:sz w:val="18"/>
        </w:rPr>
        <w:t>Volume</w:t>
      </w:r>
      <w:r>
        <w:rPr>
          <w:rFonts w:ascii="Calibri"/>
          <w:spacing w:val="-4"/>
          <w:sz w:val="18"/>
        </w:rPr>
        <w:t> </w:t>
      </w:r>
      <w:r>
        <w:rPr>
          <w:rFonts w:ascii="Calibri"/>
          <w:sz w:val="18"/>
        </w:rPr>
        <w:t>Areas,</w:t>
      </w:r>
      <w:r>
        <w:rPr>
          <w:rFonts w:ascii="Calibri"/>
          <w:spacing w:val="-4"/>
          <w:sz w:val="18"/>
        </w:rPr>
        <w:t> </w:t>
      </w:r>
      <w:r>
        <w:rPr>
          <w:rFonts w:ascii="Calibri"/>
          <w:spacing w:val="-5"/>
          <w:sz w:val="18"/>
        </w:rPr>
        <w:t>101</w:t>
      </w:r>
    </w:p>
    <w:p>
      <w:pPr>
        <w:pStyle w:val="BodyText"/>
        <w:spacing w:before="11"/>
        <w:rPr>
          <w:rFonts w:ascii="Calibri"/>
        </w:rPr>
      </w:pPr>
    </w:p>
    <w:p>
      <w:pPr>
        <w:spacing w:before="1"/>
        <w:ind w:left="140" w:right="0" w:firstLine="0"/>
        <w:jc w:val="left"/>
        <w:rPr>
          <w:rFonts w:ascii="Calibri"/>
          <w:sz w:val="18"/>
        </w:rPr>
      </w:pPr>
      <w:r>
        <w:rPr>
          <w:rFonts w:ascii="Calibri"/>
          <w:sz w:val="18"/>
        </w:rPr>
        <w:t>Higher</w:t>
      </w:r>
      <w:r>
        <w:rPr>
          <w:rFonts w:ascii="Calibri"/>
          <w:spacing w:val="-4"/>
          <w:sz w:val="18"/>
        </w:rPr>
        <w:t> </w:t>
      </w:r>
      <w:r>
        <w:rPr>
          <w:rFonts w:ascii="Calibri"/>
          <w:sz w:val="18"/>
        </w:rPr>
        <w:t>Value,</w:t>
      </w:r>
      <w:r>
        <w:rPr>
          <w:rFonts w:ascii="Calibri"/>
          <w:spacing w:val="-3"/>
          <w:sz w:val="18"/>
        </w:rPr>
        <w:t> </w:t>
      </w:r>
      <w:r>
        <w:rPr>
          <w:rFonts w:ascii="Calibri"/>
          <w:sz w:val="18"/>
        </w:rPr>
        <w:t>76,</w:t>
      </w:r>
      <w:r>
        <w:rPr>
          <w:rFonts w:ascii="Calibri"/>
          <w:spacing w:val="-3"/>
          <w:sz w:val="18"/>
        </w:rPr>
        <w:t> </w:t>
      </w:r>
      <w:r>
        <w:rPr>
          <w:rFonts w:ascii="Calibri"/>
          <w:sz w:val="18"/>
        </w:rPr>
        <w:t>77,</w:t>
      </w:r>
      <w:r>
        <w:rPr>
          <w:rFonts w:ascii="Calibri"/>
          <w:spacing w:val="-3"/>
          <w:sz w:val="18"/>
        </w:rPr>
        <w:t> </w:t>
      </w:r>
      <w:r>
        <w:rPr>
          <w:rFonts w:ascii="Calibri"/>
          <w:sz w:val="18"/>
        </w:rPr>
        <w:t>78,</w:t>
      </w:r>
      <w:r>
        <w:rPr>
          <w:rFonts w:ascii="Calibri"/>
          <w:spacing w:val="-4"/>
          <w:sz w:val="18"/>
        </w:rPr>
        <w:t> </w:t>
      </w:r>
      <w:r>
        <w:rPr>
          <w:rFonts w:ascii="Calibri"/>
          <w:sz w:val="18"/>
        </w:rPr>
        <w:t>79,</w:t>
      </w:r>
      <w:r>
        <w:rPr>
          <w:rFonts w:ascii="Calibri"/>
          <w:spacing w:val="-3"/>
          <w:sz w:val="18"/>
        </w:rPr>
        <w:t> </w:t>
      </w:r>
      <w:r>
        <w:rPr>
          <w:rFonts w:ascii="Calibri"/>
          <w:sz w:val="18"/>
        </w:rPr>
        <w:t>80,</w:t>
      </w:r>
      <w:r>
        <w:rPr>
          <w:rFonts w:ascii="Calibri"/>
          <w:spacing w:val="-2"/>
          <w:sz w:val="18"/>
        </w:rPr>
        <w:t> </w:t>
      </w:r>
      <w:r>
        <w:rPr>
          <w:rFonts w:ascii="Calibri"/>
          <w:sz w:val="18"/>
        </w:rPr>
        <w:t>81,</w:t>
      </w:r>
      <w:r>
        <w:rPr>
          <w:rFonts w:ascii="Calibri"/>
          <w:spacing w:val="-3"/>
          <w:sz w:val="18"/>
        </w:rPr>
        <w:t> </w:t>
      </w:r>
      <w:r>
        <w:rPr>
          <w:rFonts w:ascii="Calibri"/>
          <w:spacing w:val="-5"/>
          <w:sz w:val="18"/>
        </w:rPr>
        <w:t>83,</w:t>
      </w:r>
    </w:p>
    <w:p>
      <w:pPr>
        <w:spacing w:before="0"/>
        <w:ind w:left="359" w:right="0" w:firstLine="0"/>
        <w:jc w:val="left"/>
        <w:rPr>
          <w:rFonts w:ascii="Calibri"/>
          <w:sz w:val="18"/>
        </w:rPr>
      </w:pPr>
      <w:r>
        <w:rPr>
          <w:rFonts w:ascii="Calibri"/>
          <w:sz w:val="18"/>
        </w:rPr>
        <w:t>139,</w:t>
      </w:r>
      <w:r>
        <w:rPr>
          <w:rFonts w:ascii="Calibri"/>
          <w:spacing w:val="-3"/>
          <w:sz w:val="18"/>
        </w:rPr>
        <w:t> </w:t>
      </w:r>
      <w:r>
        <w:rPr>
          <w:rFonts w:ascii="Calibri"/>
          <w:sz w:val="18"/>
        </w:rPr>
        <w:t>140,</w:t>
      </w:r>
      <w:r>
        <w:rPr>
          <w:rFonts w:ascii="Calibri"/>
          <w:spacing w:val="-2"/>
          <w:sz w:val="18"/>
        </w:rPr>
        <w:t> </w:t>
      </w:r>
      <w:r>
        <w:rPr>
          <w:rFonts w:ascii="Calibri"/>
          <w:sz w:val="18"/>
        </w:rPr>
        <w:t>141,</w:t>
      </w:r>
      <w:r>
        <w:rPr>
          <w:rFonts w:ascii="Calibri"/>
          <w:spacing w:val="-3"/>
          <w:sz w:val="18"/>
        </w:rPr>
        <w:t> </w:t>
      </w:r>
      <w:r>
        <w:rPr>
          <w:rFonts w:ascii="Calibri"/>
          <w:sz w:val="18"/>
        </w:rPr>
        <w:t>142,</w:t>
      </w:r>
      <w:r>
        <w:rPr>
          <w:rFonts w:ascii="Calibri"/>
          <w:spacing w:val="-2"/>
          <w:sz w:val="18"/>
        </w:rPr>
        <w:t> </w:t>
      </w:r>
      <w:r>
        <w:rPr>
          <w:rFonts w:ascii="Calibri"/>
          <w:sz w:val="18"/>
        </w:rPr>
        <w:t>143,</w:t>
      </w:r>
      <w:r>
        <w:rPr>
          <w:rFonts w:ascii="Calibri"/>
          <w:spacing w:val="-3"/>
          <w:sz w:val="18"/>
        </w:rPr>
        <w:t> </w:t>
      </w:r>
      <w:r>
        <w:rPr>
          <w:rFonts w:ascii="Calibri"/>
          <w:sz w:val="18"/>
        </w:rPr>
        <w:t>144,</w:t>
      </w:r>
      <w:r>
        <w:rPr>
          <w:rFonts w:ascii="Calibri"/>
          <w:spacing w:val="-2"/>
          <w:sz w:val="18"/>
        </w:rPr>
        <w:t> </w:t>
      </w:r>
      <w:r>
        <w:rPr>
          <w:rFonts w:ascii="Calibri"/>
          <w:sz w:val="18"/>
        </w:rPr>
        <w:t>175,</w:t>
      </w:r>
      <w:r>
        <w:rPr>
          <w:rFonts w:ascii="Calibri"/>
          <w:spacing w:val="-3"/>
          <w:sz w:val="18"/>
        </w:rPr>
        <w:t> </w:t>
      </w:r>
      <w:r>
        <w:rPr>
          <w:rFonts w:ascii="Calibri"/>
          <w:spacing w:val="-4"/>
          <w:sz w:val="18"/>
        </w:rPr>
        <w:t>206,</w:t>
      </w:r>
    </w:p>
    <w:p>
      <w:pPr>
        <w:spacing w:before="0"/>
        <w:ind w:left="359" w:right="0" w:firstLine="0"/>
        <w:jc w:val="left"/>
        <w:rPr>
          <w:rFonts w:ascii="Calibri"/>
          <w:sz w:val="18"/>
        </w:rPr>
      </w:pPr>
      <w:r>
        <w:rPr>
          <w:rFonts w:ascii="Calibri"/>
          <w:sz w:val="18"/>
        </w:rPr>
        <w:t>207,</w:t>
      </w:r>
      <w:r>
        <w:rPr>
          <w:rFonts w:ascii="Calibri"/>
          <w:spacing w:val="-3"/>
          <w:sz w:val="18"/>
        </w:rPr>
        <w:t> </w:t>
      </w:r>
      <w:r>
        <w:rPr>
          <w:rFonts w:ascii="Calibri"/>
          <w:sz w:val="18"/>
        </w:rPr>
        <w:t>210,</w:t>
      </w:r>
      <w:r>
        <w:rPr>
          <w:rFonts w:ascii="Calibri"/>
          <w:spacing w:val="-2"/>
          <w:sz w:val="18"/>
        </w:rPr>
        <w:t> </w:t>
      </w:r>
      <w:r>
        <w:rPr>
          <w:rFonts w:ascii="Calibri"/>
          <w:sz w:val="18"/>
        </w:rPr>
        <w:t>213,</w:t>
      </w:r>
      <w:r>
        <w:rPr>
          <w:rFonts w:ascii="Calibri"/>
          <w:spacing w:val="-3"/>
          <w:sz w:val="18"/>
        </w:rPr>
        <w:t> </w:t>
      </w:r>
      <w:r>
        <w:rPr>
          <w:rFonts w:ascii="Calibri"/>
          <w:sz w:val="18"/>
        </w:rPr>
        <w:t>214,</w:t>
      </w:r>
      <w:r>
        <w:rPr>
          <w:rFonts w:ascii="Calibri"/>
          <w:spacing w:val="-2"/>
          <w:sz w:val="18"/>
        </w:rPr>
        <w:t> </w:t>
      </w:r>
      <w:r>
        <w:rPr>
          <w:rFonts w:ascii="Calibri"/>
          <w:sz w:val="18"/>
        </w:rPr>
        <w:t>245,</w:t>
      </w:r>
      <w:r>
        <w:rPr>
          <w:rFonts w:ascii="Calibri"/>
          <w:spacing w:val="-3"/>
          <w:sz w:val="18"/>
        </w:rPr>
        <w:t> </w:t>
      </w:r>
      <w:r>
        <w:rPr>
          <w:rFonts w:ascii="Calibri"/>
          <w:sz w:val="18"/>
        </w:rPr>
        <w:t>250,</w:t>
      </w:r>
      <w:r>
        <w:rPr>
          <w:rFonts w:ascii="Calibri"/>
          <w:spacing w:val="-2"/>
          <w:sz w:val="18"/>
        </w:rPr>
        <w:t> </w:t>
      </w:r>
      <w:r>
        <w:rPr>
          <w:rFonts w:ascii="Calibri"/>
          <w:sz w:val="18"/>
        </w:rPr>
        <w:t>251,</w:t>
      </w:r>
      <w:r>
        <w:rPr>
          <w:rFonts w:ascii="Calibri"/>
          <w:spacing w:val="-3"/>
          <w:sz w:val="18"/>
        </w:rPr>
        <w:t> </w:t>
      </w:r>
      <w:r>
        <w:rPr>
          <w:rFonts w:ascii="Calibri"/>
          <w:spacing w:val="-4"/>
          <w:sz w:val="18"/>
        </w:rPr>
        <w:t>252,</w:t>
      </w:r>
    </w:p>
    <w:p>
      <w:pPr>
        <w:spacing w:before="0"/>
        <w:ind w:left="359" w:right="0" w:firstLine="0"/>
        <w:jc w:val="left"/>
        <w:rPr>
          <w:rFonts w:ascii="Calibri"/>
          <w:sz w:val="18"/>
        </w:rPr>
      </w:pPr>
      <w:r>
        <w:rPr>
          <w:rFonts w:ascii="Calibri"/>
          <w:sz w:val="18"/>
        </w:rPr>
        <w:t>272,</w:t>
      </w:r>
      <w:r>
        <w:rPr>
          <w:rFonts w:ascii="Calibri"/>
          <w:spacing w:val="-4"/>
          <w:sz w:val="18"/>
        </w:rPr>
        <w:t> </w:t>
      </w:r>
      <w:r>
        <w:rPr>
          <w:rFonts w:ascii="Calibri"/>
          <w:spacing w:val="-5"/>
          <w:sz w:val="18"/>
        </w:rPr>
        <w:t>285</w:t>
      </w:r>
    </w:p>
    <w:p>
      <w:pPr>
        <w:pStyle w:val="BodyText"/>
        <w:spacing w:before="9"/>
        <w:rPr>
          <w:rFonts w:ascii="Calibri"/>
        </w:rPr>
      </w:pPr>
    </w:p>
    <w:p>
      <w:pPr>
        <w:pStyle w:val="Heading4"/>
        <w:spacing w:before="1"/>
        <w:ind w:left="0" w:right="358"/>
      </w:pPr>
      <w:r>
        <w:rPr>
          <w:w w:val="106"/>
        </w:rPr>
        <w:t>I</w:t>
      </w:r>
    </w:p>
    <w:p>
      <w:pPr>
        <w:pStyle w:val="BodyText"/>
        <w:spacing w:before="12"/>
        <w:rPr>
          <w:rFonts w:ascii="Calibri"/>
        </w:rPr>
      </w:pPr>
    </w:p>
    <w:p>
      <w:pPr>
        <w:spacing w:before="0"/>
        <w:ind w:left="0" w:right="618" w:firstLine="0"/>
        <w:jc w:val="right"/>
        <w:rPr>
          <w:rFonts w:ascii="Calibri"/>
          <w:sz w:val="18"/>
        </w:rPr>
      </w:pPr>
      <w:r>
        <w:rPr>
          <w:rFonts w:ascii="Calibri"/>
          <w:sz w:val="18"/>
        </w:rPr>
        <w:t>initial</w:t>
      </w:r>
      <w:r>
        <w:rPr>
          <w:rFonts w:ascii="Calibri"/>
          <w:spacing w:val="-3"/>
          <w:sz w:val="18"/>
        </w:rPr>
        <w:t> </w:t>
      </w:r>
      <w:r>
        <w:rPr>
          <w:rFonts w:ascii="Calibri"/>
          <w:sz w:val="18"/>
        </w:rPr>
        <w:t>balance,</w:t>
      </w:r>
      <w:r>
        <w:rPr>
          <w:rFonts w:ascii="Calibri"/>
          <w:spacing w:val="-2"/>
          <w:sz w:val="18"/>
        </w:rPr>
        <w:t> </w:t>
      </w:r>
      <w:r>
        <w:rPr>
          <w:rFonts w:ascii="Calibri"/>
          <w:sz w:val="18"/>
        </w:rPr>
        <w:t>21,</w:t>
      </w:r>
      <w:r>
        <w:rPr>
          <w:rFonts w:ascii="Calibri"/>
          <w:spacing w:val="-3"/>
          <w:sz w:val="18"/>
        </w:rPr>
        <w:t> </w:t>
      </w:r>
      <w:r>
        <w:rPr>
          <w:rFonts w:ascii="Calibri"/>
          <w:sz w:val="18"/>
        </w:rPr>
        <w:t>22,</w:t>
      </w:r>
      <w:r>
        <w:rPr>
          <w:rFonts w:ascii="Calibri"/>
          <w:spacing w:val="-2"/>
          <w:sz w:val="18"/>
        </w:rPr>
        <w:t> </w:t>
      </w:r>
      <w:r>
        <w:rPr>
          <w:rFonts w:ascii="Calibri"/>
          <w:sz w:val="18"/>
        </w:rPr>
        <w:t>23,</w:t>
      </w:r>
      <w:r>
        <w:rPr>
          <w:rFonts w:ascii="Calibri"/>
          <w:spacing w:val="-2"/>
          <w:sz w:val="18"/>
        </w:rPr>
        <w:t> </w:t>
      </w:r>
      <w:r>
        <w:rPr>
          <w:rFonts w:ascii="Calibri"/>
          <w:sz w:val="18"/>
        </w:rPr>
        <w:t>24,</w:t>
      </w:r>
      <w:r>
        <w:rPr>
          <w:rFonts w:ascii="Calibri"/>
          <w:spacing w:val="-3"/>
          <w:sz w:val="18"/>
        </w:rPr>
        <w:t> </w:t>
      </w:r>
      <w:r>
        <w:rPr>
          <w:rFonts w:ascii="Calibri"/>
          <w:sz w:val="18"/>
        </w:rPr>
        <w:t>25,</w:t>
      </w:r>
      <w:r>
        <w:rPr>
          <w:rFonts w:ascii="Calibri"/>
          <w:spacing w:val="-1"/>
          <w:sz w:val="18"/>
        </w:rPr>
        <w:t> </w:t>
      </w:r>
      <w:r>
        <w:rPr>
          <w:rFonts w:ascii="Calibri"/>
          <w:sz w:val="18"/>
        </w:rPr>
        <w:t>26,</w:t>
      </w:r>
      <w:r>
        <w:rPr>
          <w:rFonts w:ascii="Calibri"/>
          <w:spacing w:val="-2"/>
          <w:sz w:val="18"/>
        </w:rPr>
        <w:t> </w:t>
      </w:r>
      <w:r>
        <w:rPr>
          <w:rFonts w:ascii="Calibri"/>
          <w:spacing w:val="-5"/>
          <w:sz w:val="18"/>
        </w:rPr>
        <w:t>28,</w:t>
      </w:r>
    </w:p>
    <w:p>
      <w:pPr>
        <w:spacing w:before="0"/>
        <w:ind w:left="0" w:right="695" w:firstLine="0"/>
        <w:jc w:val="right"/>
        <w:rPr>
          <w:rFonts w:ascii="Calibri"/>
          <w:sz w:val="18"/>
        </w:rPr>
      </w:pPr>
      <w:r>
        <w:rPr>
          <w:rFonts w:ascii="Calibri"/>
          <w:sz w:val="18"/>
        </w:rPr>
        <w:t>36,</w:t>
      </w:r>
      <w:r>
        <w:rPr>
          <w:rFonts w:ascii="Calibri"/>
          <w:spacing w:val="-2"/>
          <w:sz w:val="18"/>
        </w:rPr>
        <w:t> </w:t>
      </w:r>
      <w:r>
        <w:rPr>
          <w:rFonts w:ascii="Calibri"/>
          <w:sz w:val="18"/>
        </w:rPr>
        <w:t>42,</w:t>
      </w:r>
      <w:r>
        <w:rPr>
          <w:rFonts w:ascii="Calibri"/>
          <w:spacing w:val="-1"/>
          <w:sz w:val="18"/>
        </w:rPr>
        <w:t> </w:t>
      </w:r>
      <w:r>
        <w:rPr>
          <w:rFonts w:ascii="Calibri"/>
          <w:sz w:val="18"/>
        </w:rPr>
        <w:t>63,</w:t>
      </w:r>
      <w:r>
        <w:rPr>
          <w:rFonts w:ascii="Calibri"/>
          <w:spacing w:val="-2"/>
          <w:sz w:val="18"/>
        </w:rPr>
        <w:t> </w:t>
      </w:r>
      <w:r>
        <w:rPr>
          <w:rFonts w:ascii="Calibri"/>
          <w:sz w:val="18"/>
        </w:rPr>
        <w:t>73,</w:t>
      </w:r>
      <w:r>
        <w:rPr>
          <w:rFonts w:ascii="Calibri"/>
          <w:spacing w:val="-1"/>
          <w:sz w:val="18"/>
        </w:rPr>
        <w:t> </w:t>
      </w:r>
      <w:r>
        <w:rPr>
          <w:rFonts w:ascii="Calibri"/>
          <w:sz w:val="18"/>
        </w:rPr>
        <w:t>84,</w:t>
      </w:r>
      <w:r>
        <w:rPr>
          <w:rFonts w:ascii="Calibri"/>
          <w:spacing w:val="-2"/>
          <w:sz w:val="18"/>
        </w:rPr>
        <w:t> </w:t>
      </w:r>
      <w:r>
        <w:rPr>
          <w:rFonts w:ascii="Calibri"/>
          <w:sz w:val="18"/>
        </w:rPr>
        <w:t>93,</w:t>
      </w:r>
      <w:r>
        <w:rPr>
          <w:rFonts w:ascii="Calibri"/>
          <w:spacing w:val="-1"/>
          <w:sz w:val="18"/>
        </w:rPr>
        <w:t> </w:t>
      </w:r>
      <w:r>
        <w:rPr>
          <w:rFonts w:ascii="Calibri"/>
          <w:sz w:val="18"/>
        </w:rPr>
        <w:t>94,</w:t>
      </w:r>
      <w:r>
        <w:rPr>
          <w:rFonts w:ascii="Calibri"/>
          <w:spacing w:val="-2"/>
          <w:sz w:val="18"/>
        </w:rPr>
        <w:t> </w:t>
      </w:r>
      <w:r>
        <w:rPr>
          <w:rFonts w:ascii="Calibri"/>
          <w:sz w:val="18"/>
        </w:rPr>
        <w:t>97,</w:t>
      </w:r>
      <w:r>
        <w:rPr>
          <w:rFonts w:ascii="Calibri"/>
          <w:spacing w:val="-1"/>
          <w:sz w:val="18"/>
        </w:rPr>
        <w:t> </w:t>
      </w:r>
      <w:r>
        <w:rPr>
          <w:rFonts w:ascii="Calibri"/>
          <w:sz w:val="18"/>
        </w:rPr>
        <w:t>98,</w:t>
      </w:r>
      <w:r>
        <w:rPr>
          <w:rFonts w:ascii="Calibri"/>
          <w:spacing w:val="-1"/>
          <w:sz w:val="18"/>
        </w:rPr>
        <w:t> </w:t>
      </w:r>
      <w:r>
        <w:rPr>
          <w:rFonts w:ascii="Calibri"/>
          <w:spacing w:val="-5"/>
          <w:sz w:val="18"/>
        </w:rPr>
        <w:t>99,</w:t>
      </w:r>
    </w:p>
    <w:p>
      <w:pPr>
        <w:spacing w:before="0"/>
        <w:ind w:left="359" w:right="0" w:firstLine="0"/>
        <w:jc w:val="left"/>
        <w:rPr>
          <w:rFonts w:ascii="Calibri"/>
          <w:sz w:val="18"/>
        </w:rPr>
      </w:pPr>
      <w:r>
        <w:rPr>
          <w:rFonts w:ascii="Calibri"/>
          <w:sz w:val="18"/>
        </w:rPr>
        <w:t>100,</w:t>
      </w:r>
      <w:r>
        <w:rPr>
          <w:rFonts w:ascii="Calibri"/>
          <w:spacing w:val="-4"/>
          <w:sz w:val="18"/>
        </w:rPr>
        <w:t> </w:t>
      </w:r>
      <w:r>
        <w:rPr>
          <w:rFonts w:ascii="Calibri"/>
          <w:sz w:val="18"/>
        </w:rPr>
        <w:t>106,</w:t>
      </w:r>
      <w:r>
        <w:rPr>
          <w:rFonts w:ascii="Calibri"/>
          <w:spacing w:val="-3"/>
          <w:sz w:val="18"/>
        </w:rPr>
        <w:t> </w:t>
      </w:r>
      <w:r>
        <w:rPr>
          <w:rFonts w:ascii="Calibri"/>
          <w:sz w:val="18"/>
        </w:rPr>
        <w:t>160,</w:t>
      </w:r>
      <w:r>
        <w:rPr>
          <w:rFonts w:ascii="Calibri"/>
          <w:spacing w:val="-3"/>
          <w:sz w:val="18"/>
        </w:rPr>
        <w:t> </w:t>
      </w:r>
      <w:r>
        <w:rPr>
          <w:rFonts w:ascii="Calibri"/>
          <w:spacing w:val="-5"/>
          <w:sz w:val="18"/>
        </w:rPr>
        <w:t>265</w:t>
      </w:r>
    </w:p>
    <w:p>
      <w:pPr>
        <w:pStyle w:val="BodyText"/>
        <w:spacing w:before="12"/>
        <w:rPr>
          <w:rFonts w:ascii="Calibri"/>
        </w:rPr>
      </w:pPr>
    </w:p>
    <w:p>
      <w:pPr>
        <w:spacing w:before="0"/>
        <w:ind w:left="140" w:right="0" w:firstLine="0"/>
        <w:jc w:val="left"/>
        <w:rPr>
          <w:rFonts w:ascii="Calibri"/>
          <w:sz w:val="18"/>
        </w:rPr>
      </w:pPr>
      <w:r>
        <w:rPr>
          <w:rFonts w:ascii="Calibri"/>
          <w:sz w:val="18"/>
        </w:rPr>
        <w:t>initial</w:t>
      </w:r>
      <w:r>
        <w:rPr>
          <w:rFonts w:ascii="Calibri"/>
          <w:spacing w:val="-3"/>
          <w:sz w:val="18"/>
        </w:rPr>
        <w:t> </w:t>
      </w:r>
      <w:r>
        <w:rPr>
          <w:rFonts w:ascii="Calibri"/>
          <w:sz w:val="18"/>
        </w:rPr>
        <w:t>balance</w:t>
      </w:r>
      <w:r>
        <w:rPr>
          <w:rFonts w:ascii="Calibri"/>
          <w:spacing w:val="-2"/>
          <w:sz w:val="18"/>
        </w:rPr>
        <w:t> </w:t>
      </w:r>
      <w:r>
        <w:rPr>
          <w:rFonts w:ascii="Calibri"/>
          <w:sz w:val="18"/>
        </w:rPr>
        <w:t>high,</w:t>
      </w:r>
      <w:r>
        <w:rPr>
          <w:rFonts w:ascii="Calibri"/>
          <w:spacing w:val="-3"/>
          <w:sz w:val="18"/>
        </w:rPr>
        <w:t> </w:t>
      </w:r>
      <w:r>
        <w:rPr>
          <w:rFonts w:ascii="Calibri"/>
          <w:sz w:val="18"/>
        </w:rPr>
        <w:t>21,</w:t>
      </w:r>
      <w:r>
        <w:rPr>
          <w:rFonts w:ascii="Calibri"/>
          <w:spacing w:val="-2"/>
          <w:sz w:val="18"/>
        </w:rPr>
        <w:t> </w:t>
      </w:r>
      <w:r>
        <w:rPr>
          <w:rFonts w:ascii="Calibri"/>
          <w:spacing w:val="-5"/>
          <w:sz w:val="18"/>
        </w:rPr>
        <w:t>161</w:t>
      </w:r>
    </w:p>
    <w:p>
      <w:pPr>
        <w:pStyle w:val="BodyText"/>
        <w:spacing w:before="10"/>
        <w:rPr>
          <w:rFonts w:ascii="Calibri"/>
        </w:rPr>
      </w:pPr>
    </w:p>
    <w:p>
      <w:pPr>
        <w:spacing w:before="1"/>
        <w:ind w:left="140" w:right="0" w:firstLine="0"/>
        <w:jc w:val="left"/>
        <w:rPr>
          <w:rFonts w:ascii="Calibri"/>
          <w:sz w:val="18"/>
        </w:rPr>
      </w:pPr>
      <w:r>
        <w:rPr>
          <w:rFonts w:ascii="Calibri"/>
          <w:sz w:val="18"/>
        </w:rPr>
        <w:t>initial</w:t>
      </w:r>
      <w:r>
        <w:rPr>
          <w:rFonts w:ascii="Calibri"/>
          <w:spacing w:val="-2"/>
          <w:sz w:val="18"/>
        </w:rPr>
        <w:t> </w:t>
      </w:r>
      <w:r>
        <w:rPr>
          <w:rFonts w:ascii="Calibri"/>
          <w:sz w:val="18"/>
        </w:rPr>
        <w:t>balance</w:t>
      </w:r>
      <w:r>
        <w:rPr>
          <w:rFonts w:ascii="Calibri"/>
          <w:spacing w:val="-2"/>
          <w:sz w:val="18"/>
        </w:rPr>
        <w:t> </w:t>
      </w:r>
      <w:r>
        <w:rPr>
          <w:rFonts w:ascii="Calibri"/>
          <w:sz w:val="18"/>
        </w:rPr>
        <w:t>low,</w:t>
      </w:r>
      <w:r>
        <w:rPr>
          <w:rFonts w:ascii="Calibri"/>
          <w:spacing w:val="-2"/>
          <w:sz w:val="18"/>
        </w:rPr>
        <w:t> </w:t>
      </w:r>
      <w:r>
        <w:rPr>
          <w:rFonts w:ascii="Calibri"/>
          <w:sz w:val="18"/>
        </w:rPr>
        <w:t>21,</w:t>
      </w:r>
      <w:r>
        <w:rPr>
          <w:rFonts w:ascii="Calibri"/>
          <w:spacing w:val="-2"/>
          <w:sz w:val="18"/>
        </w:rPr>
        <w:t> </w:t>
      </w:r>
      <w:r>
        <w:rPr>
          <w:rFonts w:ascii="Calibri"/>
          <w:sz w:val="18"/>
        </w:rPr>
        <w:t>98,</w:t>
      </w:r>
      <w:r>
        <w:rPr>
          <w:rFonts w:ascii="Calibri"/>
          <w:spacing w:val="-2"/>
          <w:sz w:val="18"/>
        </w:rPr>
        <w:t> </w:t>
      </w:r>
      <w:r>
        <w:rPr>
          <w:rFonts w:ascii="Calibri"/>
          <w:sz w:val="18"/>
        </w:rPr>
        <w:t>161,</w:t>
      </w:r>
      <w:r>
        <w:rPr>
          <w:rFonts w:ascii="Calibri"/>
          <w:spacing w:val="-2"/>
          <w:sz w:val="18"/>
        </w:rPr>
        <w:t> </w:t>
      </w:r>
      <w:r>
        <w:rPr>
          <w:rFonts w:ascii="Calibri"/>
          <w:spacing w:val="-5"/>
          <w:sz w:val="18"/>
        </w:rPr>
        <w:t>265</w:t>
      </w:r>
    </w:p>
    <w:p>
      <w:pPr>
        <w:pStyle w:val="BodyText"/>
        <w:spacing w:before="12"/>
        <w:rPr>
          <w:rFonts w:ascii="Calibri"/>
        </w:rPr>
      </w:pPr>
    </w:p>
    <w:p>
      <w:pPr>
        <w:spacing w:before="0"/>
        <w:ind w:left="140" w:right="0" w:firstLine="0"/>
        <w:jc w:val="left"/>
        <w:rPr>
          <w:rFonts w:ascii="Calibri"/>
          <w:sz w:val="18"/>
        </w:rPr>
      </w:pPr>
      <w:r>
        <w:rPr>
          <w:rFonts w:ascii="Calibri"/>
          <w:sz w:val="18"/>
        </w:rPr>
        <w:t>initiative</w:t>
      </w:r>
      <w:r>
        <w:rPr>
          <w:rFonts w:ascii="Calibri"/>
          <w:spacing w:val="-3"/>
          <w:sz w:val="18"/>
        </w:rPr>
        <w:t> </w:t>
      </w:r>
      <w:r>
        <w:rPr>
          <w:rFonts w:ascii="Calibri"/>
          <w:sz w:val="18"/>
        </w:rPr>
        <w:t>buyers,</w:t>
      </w:r>
      <w:r>
        <w:rPr>
          <w:rFonts w:ascii="Calibri"/>
          <w:spacing w:val="-2"/>
          <w:sz w:val="18"/>
        </w:rPr>
        <w:t> </w:t>
      </w:r>
      <w:r>
        <w:rPr>
          <w:rFonts w:ascii="Calibri"/>
          <w:sz w:val="18"/>
        </w:rPr>
        <w:t>26,</w:t>
      </w:r>
      <w:r>
        <w:rPr>
          <w:rFonts w:ascii="Calibri"/>
          <w:spacing w:val="-2"/>
          <w:sz w:val="18"/>
        </w:rPr>
        <w:t> </w:t>
      </w:r>
      <w:r>
        <w:rPr>
          <w:rFonts w:ascii="Calibri"/>
          <w:sz w:val="18"/>
        </w:rPr>
        <w:t>42,</w:t>
      </w:r>
      <w:r>
        <w:rPr>
          <w:rFonts w:ascii="Calibri"/>
          <w:spacing w:val="-2"/>
          <w:sz w:val="18"/>
        </w:rPr>
        <w:t> </w:t>
      </w:r>
      <w:r>
        <w:rPr>
          <w:rFonts w:ascii="Calibri"/>
          <w:sz w:val="18"/>
        </w:rPr>
        <w:t>46,</w:t>
      </w:r>
      <w:r>
        <w:rPr>
          <w:rFonts w:ascii="Calibri"/>
          <w:spacing w:val="-3"/>
          <w:sz w:val="18"/>
        </w:rPr>
        <w:t> </w:t>
      </w:r>
      <w:r>
        <w:rPr>
          <w:rFonts w:ascii="Calibri"/>
          <w:sz w:val="18"/>
        </w:rPr>
        <w:t>48,</w:t>
      </w:r>
      <w:r>
        <w:rPr>
          <w:rFonts w:ascii="Calibri"/>
          <w:spacing w:val="-2"/>
          <w:sz w:val="18"/>
        </w:rPr>
        <w:t> </w:t>
      </w:r>
      <w:r>
        <w:rPr>
          <w:rFonts w:ascii="Calibri"/>
          <w:sz w:val="18"/>
        </w:rPr>
        <w:t>65,</w:t>
      </w:r>
      <w:r>
        <w:rPr>
          <w:rFonts w:ascii="Calibri"/>
          <w:spacing w:val="-2"/>
          <w:sz w:val="18"/>
        </w:rPr>
        <w:t> </w:t>
      </w:r>
      <w:r>
        <w:rPr>
          <w:rFonts w:ascii="Calibri"/>
          <w:spacing w:val="-5"/>
          <w:sz w:val="18"/>
        </w:rPr>
        <w:t>66,</w:t>
      </w:r>
    </w:p>
    <w:p>
      <w:pPr>
        <w:spacing w:before="0"/>
        <w:ind w:left="359" w:right="0" w:firstLine="0"/>
        <w:jc w:val="left"/>
        <w:rPr>
          <w:rFonts w:ascii="Calibri"/>
          <w:sz w:val="18"/>
        </w:rPr>
      </w:pPr>
      <w:r>
        <w:rPr>
          <w:rFonts w:ascii="Calibri"/>
          <w:sz w:val="18"/>
        </w:rPr>
        <w:t>75,</w:t>
      </w:r>
      <w:r>
        <w:rPr>
          <w:rFonts w:ascii="Calibri"/>
          <w:spacing w:val="-2"/>
          <w:sz w:val="18"/>
        </w:rPr>
        <w:t> </w:t>
      </w:r>
      <w:r>
        <w:rPr>
          <w:rFonts w:ascii="Calibri"/>
          <w:sz w:val="18"/>
        </w:rPr>
        <w:t>93,</w:t>
      </w:r>
      <w:r>
        <w:rPr>
          <w:rFonts w:ascii="Calibri"/>
          <w:spacing w:val="-2"/>
          <w:sz w:val="18"/>
        </w:rPr>
        <w:t> </w:t>
      </w:r>
      <w:r>
        <w:rPr>
          <w:rFonts w:ascii="Calibri"/>
          <w:sz w:val="18"/>
        </w:rPr>
        <w:t>193,</w:t>
      </w:r>
      <w:r>
        <w:rPr>
          <w:rFonts w:ascii="Calibri"/>
          <w:spacing w:val="-2"/>
          <w:sz w:val="18"/>
        </w:rPr>
        <w:t> </w:t>
      </w:r>
      <w:r>
        <w:rPr>
          <w:rFonts w:ascii="Calibri"/>
          <w:sz w:val="18"/>
        </w:rPr>
        <w:t>194,</w:t>
      </w:r>
      <w:r>
        <w:rPr>
          <w:rFonts w:ascii="Calibri"/>
          <w:spacing w:val="-1"/>
          <w:sz w:val="18"/>
        </w:rPr>
        <w:t> </w:t>
      </w:r>
      <w:r>
        <w:rPr>
          <w:rFonts w:ascii="Calibri"/>
          <w:spacing w:val="-5"/>
          <w:sz w:val="18"/>
        </w:rPr>
        <w:t>265</w:t>
      </w:r>
    </w:p>
    <w:p>
      <w:pPr>
        <w:pStyle w:val="BodyText"/>
        <w:spacing w:before="10"/>
        <w:rPr>
          <w:rFonts w:ascii="Calibri"/>
        </w:rPr>
      </w:pPr>
    </w:p>
    <w:p>
      <w:pPr>
        <w:spacing w:before="1"/>
        <w:ind w:left="140" w:right="0" w:firstLine="0"/>
        <w:jc w:val="left"/>
        <w:rPr>
          <w:rFonts w:ascii="Calibri"/>
          <w:sz w:val="18"/>
        </w:rPr>
      </w:pPr>
      <w:r>
        <w:rPr>
          <w:rFonts w:ascii="Calibri"/>
          <w:sz w:val="18"/>
        </w:rPr>
        <w:t>initiative</w:t>
      </w:r>
      <w:r>
        <w:rPr>
          <w:rFonts w:ascii="Calibri"/>
          <w:spacing w:val="-3"/>
          <w:sz w:val="18"/>
        </w:rPr>
        <w:t> </w:t>
      </w:r>
      <w:r>
        <w:rPr>
          <w:rFonts w:ascii="Calibri"/>
          <w:sz w:val="18"/>
        </w:rPr>
        <w:t>sellers,</w:t>
      </w:r>
      <w:r>
        <w:rPr>
          <w:rFonts w:ascii="Calibri"/>
          <w:spacing w:val="-3"/>
          <w:sz w:val="18"/>
        </w:rPr>
        <w:t> </w:t>
      </w:r>
      <w:r>
        <w:rPr>
          <w:rFonts w:ascii="Calibri"/>
          <w:sz w:val="18"/>
        </w:rPr>
        <w:t>24,</w:t>
      </w:r>
      <w:r>
        <w:rPr>
          <w:rFonts w:ascii="Calibri"/>
          <w:spacing w:val="-3"/>
          <w:sz w:val="18"/>
        </w:rPr>
        <w:t> </w:t>
      </w:r>
      <w:r>
        <w:rPr>
          <w:rFonts w:ascii="Calibri"/>
          <w:sz w:val="18"/>
        </w:rPr>
        <w:t>48,</w:t>
      </w:r>
      <w:r>
        <w:rPr>
          <w:rFonts w:ascii="Calibri"/>
          <w:spacing w:val="-2"/>
          <w:sz w:val="18"/>
        </w:rPr>
        <w:t> </w:t>
      </w:r>
      <w:r>
        <w:rPr>
          <w:rFonts w:ascii="Calibri"/>
          <w:sz w:val="18"/>
        </w:rPr>
        <w:t>63,</w:t>
      </w:r>
      <w:r>
        <w:rPr>
          <w:rFonts w:ascii="Calibri"/>
          <w:spacing w:val="-3"/>
          <w:sz w:val="18"/>
        </w:rPr>
        <w:t> </w:t>
      </w:r>
      <w:r>
        <w:rPr>
          <w:rFonts w:ascii="Calibri"/>
          <w:sz w:val="18"/>
        </w:rPr>
        <w:t>65,</w:t>
      </w:r>
      <w:r>
        <w:rPr>
          <w:rFonts w:ascii="Calibri"/>
          <w:spacing w:val="-3"/>
          <w:sz w:val="18"/>
        </w:rPr>
        <w:t> </w:t>
      </w:r>
      <w:r>
        <w:rPr>
          <w:rFonts w:ascii="Calibri"/>
          <w:sz w:val="18"/>
        </w:rPr>
        <w:t>66,</w:t>
      </w:r>
      <w:r>
        <w:rPr>
          <w:rFonts w:ascii="Calibri"/>
          <w:spacing w:val="-3"/>
          <w:sz w:val="18"/>
        </w:rPr>
        <w:t> </w:t>
      </w:r>
      <w:r>
        <w:rPr>
          <w:rFonts w:ascii="Calibri"/>
          <w:spacing w:val="-4"/>
          <w:sz w:val="18"/>
        </w:rPr>
        <w:t>149,</w:t>
      </w:r>
    </w:p>
    <w:p>
      <w:pPr>
        <w:spacing w:before="0"/>
        <w:ind w:left="359" w:right="0" w:firstLine="0"/>
        <w:jc w:val="left"/>
        <w:rPr>
          <w:rFonts w:ascii="Calibri"/>
          <w:sz w:val="18"/>
        </w:rPr>
      </w:pPr>
      <w:r>
        <w:rPr>
          <w:rFonts w:ascii="Calibri"/>
          <w:sz w:val="18"/>
        </w:rPr>
        <w:t>155,</w:t>
      </w:r>
      <w:r>
        <w:rPr>
          <w:rFonts w:ascii="Calibri"/>
          <w:spacing w:val="-4"/>
          <w:sz w:val="18"/>
        </w:rPr>
        <w:t> </w:t>
      </w:r>
      <w:r>
        <w:rPr>
          <w:rFonts w:ascii="Calibri"/>
          <w:spacing w:val="-5"/>
          <w:sz w:val="18"/>
        </w:rPr>
        <w:t>195</w:t>
      </w:r>
    </w:p>
    <w:p>
      <w:pPr>
        <w:pStyle w:val="BodyText"/>
        <w:spacing w:before="11"/>
        <w:rPr>
          <w:rFonts w:ascii="Calibri"/>
        </w:rPr>
      </w:pPr>
    </w:p>
    <w:p>
      <w:pPr>
        <w:spacing w:before="1"/>
        <w:ind w:left="140" w:right="0" w:firstLine="0"/>
        <w:jc w:val="left"/>
        <w:rPr>
          <w:rFonts w:ascii="Calibri"/>
          <w:sz w:val="18"/>
        </w:rPr>
      </w:pPr>
      <w:r>
        <w:rPr>
          <w:rFonts w:ascii="Calibri"/>
          <w:sz w:val="18"/>
        </w:rPr>
        <w:t>Inside</w:t>
      </w:r>
      <w:r>
        <w:rPr>
          <w:rFonts w:ascii="Calibri"/>
          <w:spacing w:val="-3"/>
          <w:sz w:val="18"/>
        </w:rPr>
        <w:t> </w:t>
      </w:r>
      <w:r>
        <w:rPr>
          <w:rFonts w:ascii="Calibri"/>
          <w:sz w:val="18"/>
        </w:rPr>
        <w:t>Value,</w:t>
      </w:r>
      <w:r>
        <w:rPr>
          <w:rFonts w:ascii="Calibri"/>
          <w:spacing w:val="-3"/>
          <w:sz w:val="18"/>
        </w:rPr>
        <w:t> </w:t>
      </w:r>
      <w:r>
        <w:rPr>
          <w:rFonts w:ascii="Calibri"/>
          <w:sz w:val="18"/>
        </w:rPr>
        <w:t>76,</w:t>
      </w:r>
      <w:r>
        <w:rPr>
          <w:rFonts w:ascii="Calibri"/>
          <w:spacing w:val="-2"/>
          <w:sz w:val="18"/>
        </w:rPr>
        <w:t> </w:t>
      </w:r>
      <w:r>
        <w:rPr>
          <w:rFonts w:ascii="Calibri"/>
          <w:sz w:val="18"/>
        </w:rPr>
        <w:t>77,</w:t>
      </w:r>
      <w:r>
        <w:rPr>
          <w:rFonts w:ascii="Calibri"/>
          <w:spacing w:val="-3"/>
          <w:sz w:val="18"/>
        </w:rPr>
        <w:t> </w:t>
      </w:r>
      <w:r>
        <w:rPr>
          <w:rFonts w:ascii="Calibri"/>
          <w:sz w:val="18"/>
        </w:rPr>
        <w:t>87,</w:t>
      </w:r>
      <w:r>
        <w:rPr>
          <w:rFonts w:ascii="Calibri"/>
          <w:spacing w:val="-3"/>
          <w:sz w:val="18"/>
        </w:rPr>
        <w:t> </w:t>
      </w:r>
      <w:r>
        <w:rPr>
          <w:rFonts w:ascii="Calibri"/>
          <w:sz w:val="18"/>
        </w:rPr>
        <w:t>88,</w:t>
      </w:r>
      <w:r>
        <w:rPr>
          <w:rFonts w:ascii="Calibri"/>
          <w:spacing w:val="-2"/>
          <w:sz w:val="18"/>
        </w:rPr>
        <w:t> </w:t>
      </w:r>
      <w:r>
        <w:rPr>
          <w:rFonts w:ascii="Calibri"/>
          <w:sz w:val="18"/>
        </w:rPr>
        <w:t>89,</w:t>
      </w:r>
      <w:r>
        <w:rPr>
          <w:rFonts w:ascii="Calibri"/>
          <w:spacing w:val="-3"/>
          <w:sz w:val="18"/>
        </w:rPr>
        <w:t> </w:t>
      </w:r>
      <w:r>
        <w:rPr>
          <w:rFonts w:ascii="Calibri"/>
          <w:sz w:val="18"/>
        </w:rPr>
        <w:t>91,</w:t>
      </w:r>
      <w:r>
        <w:rPr>
          <w:rFonts w:ascii="Calibri"/>
          <w:spacing w:val="-2"/>
          <w:sz w:val="18"/>
        </w:rPr>
        <w:t> </w:t>
      </w:r>
      <w:r>
        <w:rPr>
          <w:rFonts w:ascii="Calibri"/>
          <w:spacing w:val="-5"/>
          <w:sz w:val="18"/>
        </w:rPr>
        <w:t>94,</w:t>
      </w:r>
    </w:p>
    <w:p>
      <w:pPr>
        <w:spacing w:before="0"/>
        <w:ind w:left="359" w:right="0" w:firstLine="0"/>
        <w:jc w:val="left"/>
        <w:rPr>
          <w:rFonts w:ascii="Calibri"/>
          <w:sz w:val="18"/>
        </w:rPr>
      </w:pPr>
      <w:r>
        <w:rPr>
          <w:rFonts w:ascii="Calibri"/>
          <w:sz w:val="18"/>
        </w:rPr>
        <w:t>139,</w:t>
      </w:r>
      <w:r>
        <w:rPr>
          <w:rFonts w:ascii="Calibri"/>
          <w:spacing w:val="-3"/>
          <w:sz w:val="18"/>
        </w:rPr>
        <w:t> </w:t>
      </w:r>
      <w:r>
        <w:rPr>
          <w:rFonts w:ascii="Calibri"/>
          <w:sz w:val="18"/>
        </w:rPr>
        <w:t>150,</w:t>
      </w:r>
      <w:r>
        <w:rPr>
          <w:rFonts w:ascii="Calibri"/>
          <w:spacing w:val="-2"/>
          <w:sz w:val="18"/>
        </w:rPr>
        <w:t> </w:t>
      </w:r>
      <w:r>
        <w:rPr>
          <w:rFonts w:ascii="Calibri"/>
          <w:sz w:val="18"/>
        </w:rPr>
        <w:t>151,</w:t>
      </w:r>
      <w:r>
        <w:rPr>
          <w:rFonts w:ascii="Calibri"/>
          <w:spacing w:val="-3"/>
          <w:sz w:val="18"/>
        </w:rPr>
        <w:t> </w:t>
      </w:r>
      <w:r>
        <w:rPr>
          <w:rFonts w:ascii="Calibri"/>
          <w:sz w:val="18"/>
        </w:rPr>
        <w:t>152,</w:t>
      </w:r>
      <w:r>
        <w:rPr>
          <w:rFonts w:ascii="Calibri"/>
          <w:spacing w:val="-2"/>
          <w:sz w:val="18"/>
        </w:rPr>
        <w:t> </w:t>
      </w:r>
      <w:r>
        <w:rPr>
          <w:rFonts w:ascii="Calibri"/>
          <w:sz w:val="18"/>
        </w:rPr>
        <w:t>206,</w:t>
      </w:r>
      <w:r>
        <w:rPr>
          <w:rFonts w:ascii="Calibri"/>
          <w:spacing w:val="-3"/>
          <w:sz w:val="18"/>
        </w:rPr>
        <w:t> </w:t>
      </w:r>
      <w:r>
        <w:rPr>
          <w:rFonts w:ascii="Calibri"/>
          <w:sz w:val="18"/>
        </w:rPr>
        <w:t>207,</w:t>
      </w:r>
      <w:r>
        <w:rPr>
          <w:rFonts w:ascii="Calibri"/>
          <w:spacing w:val="-2"/>
          <w:sz w:val="18"/>
        </w:rPr>
        <w:t> </w:t>
      </w:r>
      <w:r>
        <w:rPr>
          <w:rFonts w:ascii="Calibri"/>
          <w:sz w:val="18"/>
        </w:rPr>
        <w:t>215,</w:t>
      </w:r>
      <w:r>
        <w:rPr>
          <w:rFonts w:ascii="Calibri"/>
          <w:spacing w:val="-3"/>
          <w:sz w:val="18"/>
        </w:rPr>
        <w:t> </w:t>
      </w:r>
      <w:r>
        <w:rPr>
          <w:rFonts w:ascii="Calibri"/>
          <w:spacing w:val="-4"/>
          <w:sz w:val="18"/>
        </w:rPr>
        <w:t>216,</w:t>
      </w:r>
    </w:p>
    <w:p>
      <w:pPr>
        <w:spacing w:before="0"/>
        <w:ind w:left="359" w:right="0" w:firstLine="0"/>
        <w:jc w:val="left"/>
        <w:rPr>
          <w:rFonts w:ascii="Calibri"/>
          <w:sz w:val="18"/>
        </w:rPr>
      </w:pPr>
      <w:r>
        <w:rPr>
          <w:rFonts w:ascii="Calibri"/>
          <w:sz w:val="18"/>
        </w:rPr>
        <w:t>217,</w:t>
      </w:r>
      <w:r>
        <w:rPr>
          <w:rFonts w:ascii="Calibri"/>
          <w:spacing w:val="-3"/>
          <w:sz w:val="18"/>
        </w:rPr>
        <w:t> </w:t>
      </w:r>
      <w:r>
        <w:rPr>
          <w:rFonts w:ascii="Calibri"/>
          <w:sz w:val="18"/>
        </w:rPr>
        <w:t>222,</w:t>
      </w:r>
      <w:r>
        <w:rPr>
          <w:rFonts w:ascii="Calibri"/>
          <w:spacing w:val="-3"/>
          <w:sz w:val="18"/>
        </w:rPr>
        <w:t> </w:t>
      </w:r>
      <w:r>
        <w:rPr>
          <w:rFonts w:ascii="Calibri"/>
          <w:sz w:val="18"/>
        </w:rPr>
        <w:t>223,</w:t>
      </w:r>
      <w:r>
        <w:rPr>
          <w:rFonts w:ascii="Calibri"/>
          <w:spacing w:val="-3"/>
          <w:sz w:val="18"/>
        </w:rPr>
        <w:t> </w:t>
      </w:r>
      <w:r>
        <w:rPr>
          <w:rFonts w:ascii="Calibri"/>
          <w:sz w:val="18"/>
        </w:rPr>
        <w:t>225,</w:t>
      </w:r>
      <w:r>
        <w:rPr>
          <w:rFonts w:ascii="Calibri"/>
          <w:spacing w:val="-3"/>
          <w:sz w:val="18"/>
        </w:rPr>
        <w:t> </w:t>
      </w:r>
      <w:r>
        <w:rPr>
          <w:rFonts w:ascii="Calibri"/>
          <w:sz w:val="18"/>
        </w:rPr>
        <w:t>247,</w:t>
      </w:r>
      <w:r>
        <w:rPr>
          <w:rFonts w:ascii="Calibri"/>
          <w:spacing w:val="-3"/>
          <w:sz w:val="18"/>
        </w:rPr>
        <w:t> </w:t>
      </w:r>
      <w:r>
        <w:rPr>
          <w:rFonts w:ascii="Calibri"/>
          <w:sz w:val="18"/>
        </w:rPr>
        <w:t>248,</w:t>
      </w:r>
      <w:r>
        <w:rPr>
          <w:rFonts w:ascii="Calibri"/>
          <w:spacing w:val="-3"/>
          <w:sz w:val="18"/>
        </w:rPr>
        <w:t> </w:t>
      </w:r>
      <w:r>
        <w:rPr>
          <w:rFonts w:ascii="Calibri"/>
          <w:spacing w:val="-5"/>
          <w:sz w:val="18"/>
        </w:rPr>
        <w:t>285</w:t>
      </w:r>
    </w:p>
    <w:p>
      <w:pPr>
        <w:pStyle w:val="BodyText"/>
        <w:spacing w:before="9"/>
        <w:rPr>
          <w:rFonts w:ascii="Calibri"/>
        </w:rPr>
      </w:pPr>
    </w:p>
    <w:p>
      <w:pPr>
        <w:pStyle w:val="Heading4"/>
        <w:spacing w:before="1"/>
        <w:ind w:left="0" w:right="357"/>
      </w:pPr>
      <w:r>
        <w:rPr>
          <w:w w:val="104"/>
        </w:rPr>
        <w:t>J</w:t>
      </w:r>
    </w:p>
    <w:p>
      <w:pPr>
        <w:pStyle w:val="BodyText"/>
        <w:spacing w:before="12"/>
        <w:rPr>
          <w:rFonts w:ascii="Calibri"/>
        </w:rPr>
      </w:pPr>
    </w:p>
    <w:p>
      <w:pPr>
        <w:spacing w:before="0"/>
        <w:ind w:left="140" w:right="0" w:firstLine="0"/>
        <w:jc w:val="left"/>
        <w:rPr>
          <w:rFonts w:ascii="Calibri"/>
          <w:sz w:val="18"/>
        </w:rPr>
      </w:pPr>
      <w:r>
        <w:rPr>
          <w:rFonts w:ascii="Calibri"/>
          <w:sz w:val="18"/>
        </w:rPr>
        <w:t>J.</w:t>
      </w:r>
      <w:r>
        <w:rPr>
          <w:rFonts w:ascii="Calibri"/>
          <w:spacing w:val="-5"/>
          <w:sz w:val="18"/>
        </w:rPr>
        <w:t> </w:t>
      </w:r>
      <w:r>
        <w:rPr>
          <w:rFonts w:ascii="Calibri"/>
          <w:sz w:val="18"/>
        </w:rPr>
        <w:t>Peter</w:t>
      </w:r>
      <w:r>
        <w:rPr>
          <w:rFonts w:ascii="Calibri"/>
          <w:spacing w:val="-5"/>
          <w:sz w:val="18"/>
        </w:rPr>
        <w:t> </w:t>
      </w:r>
      <w:r>
        <w:rPr>
          <w:rFonts w:ascii="Calibri"/>
          <w:sz w:val="18"/>
        </w:rPr>
        <w:t>Steidlmayer,</w:t>
      </w:r>
      <w:r>
        <w:rPr>
          <w:rFonts w:ascii="Calibri"/>
          <w:spacing w:val="-5"/>
          <w:sz w:val="18"/>
        </w:rPr>
        <w:t> </w:t>
      </w:r>
      <w:r>
        <w:rPr>
          <w:rFonts w:ascii="Calibri"/>
          <w:sz w:val="18"/>
        </w:rPr>
        <w:t>58,</w:t>
      </w:r>
      <w:r>
        <w:rPr>
          <w:rFonts w:ascii="Calibri"/>
          <w:spacing w:val="-5"/>
          <w:sz w:val="18"/>
        </w:rPr>
        <w:t> 315</w:t>
      </w:r>
    </w:p>
    <w:p>
      <w:pPr>
        <w:pStyle w:val="BodyText"/>
        <w:rPr>
          <w:rFonts w:ascii="Calibri"/>
          <w:sz w:val="23"/>
        </w:rPr>
      </w:pPr>
    </w:p>
    <w:p>
      <w:pPr>
        <w:spacing w:before="0"/>
        <w:ind w:left="140" w:right="0" w:firstLine="0"/>
        <w:jc w:val="left"/>
        <w:rPr>
          <w:rFonts w:ascii="Calibri"/>
          <w:sz w:val="18"/>
        </w:rPr>
      </w:pPr>
      <w:r>
        <w:rPr>
          <w:rFonts w:ascii="Calibri"/>
          <w:sz w:val="18"/>
        </w:rPr>
        <w:t>John</w:t>
      </w:r>
      <w:r>
        <w:rPr>
          <w:rFonts w:ascii="Calibri"/>
          <w:spacing w:val="-5"/>
          <w:sz w:val="18"/>
        </w:rPr>
        <w:t> </w:t>
      </w:r>
      <w:r>
        <w:rPr>
          <w:rFonts w:ascii="Calibri"/>
          <w:sz w:val="18"/>
        </w:rPr>
        <w:t>Person,</w:t>
      </w:r>
      <w:r>
        <w:rPr>
          <w:rFonts w:ascii="Calibri"/>
          <w:spacing w:val="-4"/>
          <w:sz w:val="18"/>
        </w:rPr>
        <w:t> </w:t>
      </w:r>
      <w:r>
        <w:rPr>
          <w:rFonts w:ascii="Calibri"/>
          <w:sz w:val="18"/>
        </w:rPr>
        <w:t>11,</w:t>
      </w:r>
      <w:r>
        <w:rPr>
          <w:rFonts w:ascii="Calibri"/>
          <w:spacing w:val="-4"/>
          <w:sz w:val="18"/>
        </w:rPr>
        <w:t> </w:t>
      </w:r>
      <w:r>
        <w:rPr>
          <w:rFonts w:ascii="Calibri"/>
          <w:sz w:val="18"/>
        </w:rPr>
        <w:t>124,</w:t>
      </w:r>
      <w:r>
        <w:rPr>
          <w:rFonts w:ascii="Calibri"/>
          <w:spacing w:val="-4"/>
          <w:sz w:val="18"/>
        </w:rPr>
        <w:t> </w:t>
      </w:r>
      <w:r>
        <w:rPr>
          <w:rFonts w:ascii="Calibri"/>
          <w:spacing w:val="-5"/>
          <w:sz w:val="18"/>
        </w:rPr>
        <w:t>315</w:t>
      </w:r>
    </w:p>
    <w:p>
      <w:pPr>
        <w:pStyle w:val="BodyText"/>
        <w:spacing w:before="10"/>
        <w:rPr>
          <w:rFonts w:ascii="Calibri"/>
        </w:rPr>
      </w:pPr>
    </w:p>
    <w:p>
      <w:pPr>
        <w:pStyle w:val="Heading4"/>
        <w:ind w:left="0" w:right="358"/>
      </w:pPr>
      <w:r>
        <w:rPr>
          <w:w w:val="100"/>
        </w:rPr>
        <w:t>L</w:t>
      </w:r>
    </w:p>
    <w:p>
      <w:pPr>
        <w:pStyle w:val="BodyText"/>
        <w:rPr>
          <w:rFonts w:ascii="Calibri"/>
          <w:sz w:val="23"/>
        </w:rPr>
      </w:pPr>
    </w:p>
    <w:p>
      <w:pPr>
        <w:spacing w:before="0"/>
        <w:ind w:left="140" w:right="0" w:firstLine="0"/>
        <w:jc w:val="left"/>
        <w:rPr>
          <w:rFonts w:ascii="Calibri"/>
          <w:sz w:val="18"/>
        </w:rPr>
      </w:pPr>
      <w:r>
        <w:rPr>
          <w:rFonts w:ascii="Calibri"/>
          <w:sz w:val="18"/>
        </w:rPr>
        <w:t>L3</w:t>
      </w:r>
      <w:r>
        <w:rPr>
          <w:rFonts w:ascii="Calibri"/>
          <w:spacing w:val="-2"/>
          <w:sz w:val="18"/>
        </w:rPr>
        <w:t> </w:t>
      </w:r>
      <w:r>
        <w:rPr>
          <w:rFonts w:ascii="Calibri"/>
          <w:sz w:val="18"/>
        </w:rPr>
        <w:t>reversal,</w:t>
      </w:r>
      <w:r>
        <w:rPr>
          <w:rFonts w:ascii="Calibri"/>
          <w:spacing w:val="-2"/>
          <w:sz w:val="18"/>
        </w:rPr>
        <w:t> </w:t>
      </w:r>
      <w:r>
        <w:rPr>
          <w:rFonts w:ascii="Calibri"/>
          <w:sz w:val="18"/>
        </w:rPr>
        <w:t>190,</w:t>
      </w:r>
      <w:r>
        <w:rPr>
          <w:rFonts w:ascii="Calibri"/>
          <w:spacing w:val="-1"/>
          <w:sz w:val="18"/>
        </w:rPr>
        <w:t> </w:t>
      </w:r>
      <w:r>
        <w:rPr>
          <w:rFonts w:ascii="Calibri"/>
          <w:spacing w:val="-5"/>
          <w:sz w:val="18"/>
        </w:rPr>
        <w:t>191</w:t>
      </w:r>
    </w:p>
    <w:p>
      <w:pPr>
        <w:pStyle w:val="BodyText"/>
        <w:spacing w:before="11"/>
        <w:rPr>
          <w:rFonts w:ascii="Calibri"/>
        </w:rPr>
      </w:pPr>
    </w:p>
    <w:p>
      <w:pPr>
        <w:spacing w:before="0"/>
        <w:ind w:left="140" w:right="0" w:firstLine="0"/>
        <w:jc w:val="left"/>
        <w:rPr>
          <w:rFonts w:ascii="Calibri"/>
          <w:sz w:val="18"/>
        </w:rPr>
      </w:pPr>
      <w:r>
        <w:rPr>
          <w:rFonts w:ascii="Calibri"/>
          <w:sz w:val="18"/>
        </w:rPr>
        <w:t>L4</w:t>
      </w:r>
      <w:r>
        <w:rPr>
          <w:rFonts w:ascii="Calibri"/>
          <w:spacing w:val="-4"/>
          <w:sz w:val="18"/>
        </w:rPr>
        <w:t> </w:t>
      </w:r>
      <w:r>
        <w:rPr>
          <w:rFonts w:ascii="Calibri"/>
          <w:sz w:val="18"/>
        </w:rPr>
        <w:t>breakout,</w:t>
      </w:r>
      <w:r>
        <w:rPr>
          <w:rFonts w:ascii="Calibri"/>
          <w:spacing w:val="-4"/>
          <w:sz w:val="18"/>
        </w:rPr>
        <w:t> </w:t>
      </w:r>
      <w:r>
        <w:rPr>
          <w:rFonts w:ascii="Calibri"/>
          <w:sz w:val="18"/>
        </w:rPr>
        <w:t>196,</w:t>
      </w:r>
      <w:r>
        <w:rPr>
          <w:rFonts w:ascii="Calibri"/>
          <w:spacing w:val="-4"/>
          <w:sz w:val="18"/>
        </w:rPr>
        <w:t> </w:t>
      </w:r>
      <w:r>
        <w:rPr>
          <w:rFonts w:ascii="Calibri"/>
          <w:sz w:val="18"/>
        </w:rPr>
        <w:t>197,</w:t>
      </w:r>
      <w:r>
        <w:rPr>
          <w:rFonts w:ascii="Calibri"/>
          <w:spacing w:val="-4"/>
          <w:sz w:val="18"/>
        </w:rPr>
        <w:t> </w:t>
      </w:r>
      <w:r>
        <w:rPr>
          <w:rFonts w:ascii="Calibri"/>
          <w:spacing w:val="-5"/>
          <w:sz w:val="18"/>
        </w:rPr>
        <w:t>198</w:t>
      </w:r>
    </w:p>
    <w:p>
      <w:pPr>
        <w:spacing w:line="500" w:lineRule="atLeast" w:before="1"/>
        <w:ind w:left="140" w:right="939" w:firstLine="0"/>
        <w:jc w:val="left"/>
        <w:rPr>
          <w:rFonts w:ascii="Calibri"/>
          <w:sz w:val="18"/>
        </w:rPr>
      </w:pPr>
      <w:r>
        <w:rPr>
          <w:rFonts w:ascii="Calibri"/>
          <w:sz w:val="18"/>
        </w:rPr>
        <w:t>Larry</w:t>
      </w:r>
      <w:r>
        <w:rPr>
          <w:rFonts w:ascii="Calibri"/>
          <w:spacing w:val="-8"/>
          <w:sz w:val="18"/>
        </w:rPr>
        <w:t> </w:t>
      </w:r>
      <w:r>
        <w:rPr>
          <w:rFonts w:ascii="Calibri"/>
          <w:sz w:val="18"/>
        </w:rPr>
        <w:t>Williams,</w:t>
      </w:r>
      <w:r>
        <w:rPr>
          <w:rFonts w:ascii="Calibri"/>
          <w:spacing w:val="-8"/>
          <w:sz w:val="18"/>
        </w:rPr>
        <w:t> </w:t>
      </w:r>
      <w:r>
        <w:rPr>
          <w:rFonts w:ascii="Calibri"/>
          <w:sz w:val="18"/>
        </w:rPr>
        <w:t>11,</w:t>
      </w:r>
      <w:r>
        <w:rPr>
          <w:rFonts w:ascii="Calibri"/>
          <w:spacing w:val="-8"/>
          <w:sz w:val="18"/>
        </w:rPr>
        <w:t> </w:t>
      </w:r>
      <w:r>
        <w:rPr>
          <w:rFonts w:ascii="Calibri"/>
          <w:sz w:val="18"/>
        </w:rPr>
        <w:t>112,</w:t>
      </w:r>
      <w:r>
        <w:rPr>
          <w:rFonts w:ascii="Calibri"/>
          <w:spacing w:val="-8"/>
          <w:sz w:val="18"/>
        </w:rPr>
        <w:t> </w:t>
      </w:r>
      <w:r>
        <w:rPr>
          <w:rFonts w:ascii="Calibri"/>
          <w:sz w:val="18"/>
        </w:rPr>
        <w:t>124,</w:t>
      </w:r>
      <w:r>
        <w:rPr>
          <w:rFonts w:ascii="Calibri"/>
          <w:spacing w:val="-8"/>
          <w:sz w:val="18"/>
        </w:rPr>
        <w:t> </w:t>
      </w:r>
      <w:r>
        <w:rPr>
          <w:rFonts w:ascii="Calibri"/>
          <w:sz w:val="18"/>
        </w:rPr>
        <w:t>315 Low Volume Areas, 102</w:t>
      </w:r>
    </w:p>
    <w:p>
      <w:pPr>
        <w:spacing w:after="0" w:line="500" w:lineRule="atLeast"/>
        <w:jc w:val="left"/>
        <w:rPr>
          <w:rFonts w:ascii="Calibri"/>
          <w:sz w:val="18"/>
        </w:rPr>
        <w:sectPr>
          <w:type w:val="continuous"/>
          <w:pgSz w:w="8640" w:h="12960"/>
          <w:pgMar w:header="0" w:footer="1060" w:top="1480" w:bottom="280" w:left="580" w:right="580"/>
          <w:cols w:num="2" w:equalWidth="0">
            <w:col w:w="3234" w:space="546"/>
            <w:col w:w="3700"/>
          </w:cols>
        </w:sectPr>
      </w:pPr>
    </w:p>
    <w:p>
      <w:pPr>
        <w:spacing w:before="97"/>
        <w:ind w:left="2546" w:right="2188" w:firstLine="0"/>
        <w:jc w:val="center"/>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p>
      <w:pPr>
        <w:pStyle w:val="BodyText"/>
        <w:rPr>
          <w:rFonts w:ascii="Garamond"/>
          <w:sz w:val="15"/>
        </w:rPr>
      </w:pPr>
    </w:p>
    <w:p>
      <w:pPr>
        <w:spacing w:after="0"/>
        <w:rPr>
          <w:rFonts w:ascii="Garamond"/>
          <w:sz w:val="15"/>
        </w:rPr>
        <w:sectPr>
          <w:headerReference w:type="default" r:id="rId375"/>
          <w:pgSz w:w="8640" w:h="12960"/>
          <w:pgMar w:header="0" w:footer="1060" w:top="480" w:bottom="1260" w:left="580" w:right="580"/>
        </w:sectPr>
      </w:pPr>
    </w:p>
    <w:p>
      <w:pPr>
        <w:spacing w:before="110"/>
        <w:ind w:left="500" w:right="0" w:firstLine="0"/>
        <w:jc w:val="left"/>
        <w:rPr>
          <w:rFonts w:ascii="Calibri"/>
          <w:sz w:val="18"/>
        </w:rPr>
      </w:pPr>
      <w:r>
        <w:rPr>
          <w:rFonts w:ascii="Calibri"/>
          <w:sz w:val="18"/>
        </w:rPr>
        <w:t>Lower</w:t>
      </w:r>
      <w:r>
        <w:rPr>
          <w:rFonts w:ascii="Calibri"/>
          <w:spacing w:val="-3"/>
          <w:sz w:val="18"/>
        </w:rPr>
        <w:t> </w:t>
      </w:r>
      <w:r>
        <w:rPr>
          <w:rFonts w:ascii="Calibri"/>
          <w:sz w:val="18"/>
        </w:rPr>
        <w:t>Value,</w:t>
      </w:r>
      <w:r>
        <w:rPr>
          <w:rFonts w:ascii="Calibri"/>
          <w:spacing w:val="-3"/>
          <w:sz w:val="18"/>
        </w:rPr>
        <w:t> </w:t>
      </w:r>
      <w:r>
        <w:rPr>
          <w:rFonts w:ascii="Calibri"/>
          <w:sz w:val="18"/>
        </w:rPr>
        <w:t>76,</w:t>
      </w:r>
      <w:r>
        <w:rPr>
          <w:rFonts w:ascii="Calibri"/>
          <w:spacing w:val="-1"/>
          <w:sz w:val="18"/>
        </w:rPr>
        <w:t> </w:t>
      </w:r>
      <w:r>
        <w:rPr>
          <w:rFonts w:ascii="Calibri"/>
          <w:sz w:val="18"/>
        </w:rPr>
        <w:t>77,</w:t>
      </w:r>
      <w:r>
        <w:rPr>
          <w:rFonts w:ascii="Calibri"/>
          <w:spacing w:val="-3"/>
          <w:sz w:val="18"/>
        </w:rPr>
        <w:t> </w:t>
      </w:r>
      <w:r>
        <w:rPr>
          <w:rFonts w:ascii="Calibri"/>
          <w:sz w:val="18"/>
        </w:rPr>
        <w:t>81,</w:t>
      </w:r>
      <w:r>
        <w:rPr>
          <w:rFonts w:ascii="Calibri"/>
          <w:spacing w:val="-2"/>
          <w:sz w:val="18"/>
        </w:rPr>
        <w:t> </w:t>
      </w:r>
      <w:r>
        <w:rPr>
          <w:rFonts w:ascii="Calibri"/>
          <w:sz w:val="18"/>
        </w:rPr>
        <w:t>82,</w:t>
      </w:r>
      <w:r>
        <w:rPr>
          <w:rFonts w:ascii="Calibri"/>
          <w:spacing w:val="-3"/>
          <w:sz w:val="18"/>
        </w:rPr>
        <w:t> </w:t>
      </w:r>
      <w:r>
        <w:rPr>
          <w:rFonts w:ascii="Calibri"/>
          <w:sz w:val="18"/>
        </w:rPr>
        <w:t>83,</w:t>
      </w:r>
      <w:r>
        <w:rPr>
          <w:rFonts w:ascii="Calibri"/>
          <w:spacing w:val="-2"/>
          <w:sz w:val="18"/>
        </w:rPr>
        <w:t> </w:t>
      </w:r>
      <w:r>
        <w:rPr>
          <w:rFonts w:ascii="Calibri"/>
          <w:sz w:val="18"/>
        </w:rPr>
        <w:t>84,</w:t>
      </w:r>
      <w:r>
        <w:rPr>
          <w:rFonts w:ascii="Calibri"/>
          <w:spacing w:val="-3"/>
          <w:sz w:val="18"/>
        </w:rPr>
        <w:t> </w:t>
      </w:r>
      <w:r>
        <w:rPr>
          <w:rFonts w:ascii="Calibri"/>
          <w:spacing w:val="-4"/>
          <w:sz w:val="18"/>
        </w:rPr>
        <w:t>139,</w:t>
      </w:r>
    </w:p>
    <w:p>
      <w:pPr>
        <w:spacing w:before="0"/>
        <w:ind w:left="719" w:right="0" w:firstLine="0"/>
        <w:jc w:val="left"/>
        <w:rPr>
          <w:rFonts w:ascii="Calibri"/>
          <w:sz w:val="18"/>
        </w:rPr>
      </w:pPr>
      <w:r>
        <w:rPr>
          <w:rFonts w:ascii="Calibri"/>
          <w:sz w:val="18"/>
        </w:rPr>
        <w:t>144,</w:t>
      </w:r>
      <w:r>
        <w:rPr>
          <w:rFonts w:ascii="Calibri"/>
          <w:spacing w:val="-3"/>
          <w:sz w:val="18"/>
        </w:rPr>
        <w:t> </w:t>
      </w:r>
      <w:r>
        <w:rPr>
          <w:rFonts w:ascii="Calibri"/>
          <w:sz w:val="18"/>
        </w:rPr>
        <w:t>145,</w:t>
      </w:r>
      <w:r>
        <w:rPr>
          <w:rFonts w:ascii="Calibri"/>
          <w:spacing w:val="-2"/>
          <w:sz w:val="18"/>
        </w:rPr>
        <w:t> </w:t>
      </w:r>
      <w:r>
        <w:rPr>
          <w:rFonts w:ascii="Calibri"/>
          <w:sz w:val="18"/>
        </w:rPr>
        <w:t>146,</w:t>
      </w:r>
      <w:r>
        <w:rPr>
          <w:rFonts w:ascii="Calibri"/>
          <w:spacing w:val="-3"/>
          <w:sz w:val="18"/>
        </w:rPr>
        <w:t> </w:t>
      </w:r>
      <w:r>
        <w:rPr>
          <w:rFonts w:ascii="Calibri"/>
          <w:sz w:val="18"/>
        </w:rPr>
        <w:t>147,</w:t>
      </w:r>
      <w:r>
        <w:rPr>
          <w:rFonts w:ascii="Calibri"/>
          <w:spacing w:val="-2"/>
          <w:sz w:val="18"/>
        </w:rPr>
        <w:t> </w:t>
      </w:r>
      <w:r>
        <w:rPr>
          <w:rFonts w:ascii="Calibri"/>
          <w:sz w:val="18"/>
        </w:rPr>
        <w:t>148,</w:t>
      </w:r>
      <w:r>
        <w:rPr>
          <w:rFonts w:ascii="Calibri"/>
          <w:spacing w:val="-3"/>
          <w:sz w:val="18"/>
        </w:rPr>
        <w:t> </w:t>
      </w:r>
      <w:r>
        <w:rPr>
          <w:rFonts w:ascii="Calibri"/>
          <w:sz w:val="18"/>
        </w:rPr>
        <w:t>167,</w:t>
      </w:r>
      <w:r>
        <w:rPr>
          <w:rFonts w:ascii="Calibri"/>
          <w:spacing w:val="-2"/>
          <w:sz w:val="18"/>
        </w:rPr>
        <w:t> </w:t>
      </w:r>
      <w:r>
        <w:rPr>
          <w:rFonts w:ascii="Calibri"/>
          <w:sz w:val="18"/>
        </w:rPr>
        <w:t>171,</w:t>
      </w:r>
      <w:r>
        <w:rPr>
          <w:rFonts w:ascii="Calibri"/>
          <w:spacing w:val="-3"/>
          <w:sz w:val="18"/>
        </w:rPr>
        <w:t> </w:t>
      </w:r>
      <w:r>
        <w:rPr>
          <w:rFonts w:ascii="Calibri"/>
          <w:spacing w:val="-4"/>
          <w:sz w:val="18"/>
        </w:rPr>
        <w:t>206,</w:t>
      </w:r>
    </w:p>
    <w:p>
      <w:pPr>
        <w:spacing w:before="0"/>
        <w:ind w:left="719" w:right="0" w:firstLine="0"/>
        <w:jc w:val="left"/>
        <w:rPr>
          <w:rFonts w:ascii="Calibri"/>
          <w:sz w:val="18"/>
        </w:rPr>
      </w:pPr>
      <w:r>
        <w:rPr>
          <w:rFonts w:ascii="Calibri"/>
          <w:sz w:val="18"/>
        </w:rPr>
        <w:t>207,</w:t>
      </w:r>
      <w:r>
        <w:rPr>
          <w:rFonts w:ascii="Calibri"/>
          <w:spacing w:val="-3"/>
          <w:sz w:val="18"/>
        </w:rPr>
        <w:t> </w:t>
      </w:r>
      <w:r>
        <w:rPr>
          <w:rFonts w:ascii="Calibri"/>
          <w:sz w:val="18"/>
        </w:rPr>
        <w:t>208,</w:t>
      </w:r>
      <w:r>
        <w:rPr>
          <w:rFonts w:ascii="Calibri"/>
          <w:spacing w:val="-2"/>
          <w:sz w:val="18"/>
        </w:rPr>
        <w:t> </w:t>
      </w:r>
      <w:r>
        <w:rPr>
          <w:rFonts w:ascii="Calibri"/>
          <w:sz w:val="18"/>
        </w:rPr>
        <w:t>209,</w:t>
      </w:r>
      <w:r>
        <w:rPr>
          <w:rFonts w:ascii="Calibri"/>
          <w:spacing w:val="-3"/>
          <w:sz w:val="18"/>
        </w:rPr>
        <w:t> </w:t>
      </w:r>
      <w:r>
        <w:rPr>
          <w:rFonts w:ascii="Calibri"/>
          <w:sz w:val="18"/>
        </w:rPr>
        <w:t>210,</w:t>
      </w:r>
      <w:r>
        <w:rPr>
          <w:rFonts w:ascii="Calibri"/>
          <w:spacing w:val="-2"/>
          <w:sz w:val="18"/>
        </w:rPr>
        <w:t> </w:t>
      </w:r>
      <w:r>
        <w:rPr>
          <w:rFonts w:ascii="Calibri"/>
          <w:sz w:val="18"/>
        </w:rPr>
        <w:t>212,</w:t>
      </w:r>
      <w:r>
        <w:rPr>
          <w:rFonts w:ascii="Calibri"/>
          <w:spacing w:val="-3"/>
          <w:sz w:val="18"/>
        </w:rPr>
        <w:t> </w:t>
      </w:r>
      <w:r>
        <w:rPr>
          <w:rFonts w:ascii="Calibri"/>
          <w:sz w:val="18"/>
        </w:rPr>
        <w:t>225,</w:t>
      </w:r>
      <w:r>
        <w:rPr>
          <w:rFonts w:ascii="Calibri"/>
          <w:spacing w:val="-2"/>
          <w:sz w:val="18"/>
        </w:rPr>
        <w:t> </w:t>
      </w:r>
      <w:r>
        <w:rPr>
          <w:rFonts w:ascii="Calibri"/>
          <w:sz w:val="18"/>
        </w:rPr>
        <w:t>250,</w:t>
      </w:r>
      <w:r>
        <w:rPr>
          <w:rFonts w:ascii="Calibri"/>
          <w:spacing w:val="-3"/>
          <w:sz w:val="18"/>
        </w:rPr>
        <w:t> </w:t>
      </w:r>
      <w:r>
        <w:rPr>
          <w:rFonts w:ascii="Calibri"/>
          <w:spacing w:val="-4"/>
          <w:sz w:val="18"/>
        </w:rPr>
        <w:t>255,</w:t>
      </w:r>
    </w:p>
    <w:p>
      <w:pPr>
        <w:spacing w:before="0"/>
        <w:ind w:left="719" w:right="0" w:firstLine="0"/>
        <w:jc w:val="left"/>
        <w:rPr>
          <w:rFonts w:ascii="Calibri"/>
          <w:sz w:val="18"/>
        </w:rPr>
      </w:pPr>
      <w:r>
        <w:rPr>
          <w:rFonts w:ascii="Calibri"/>
          <w:sz w:val="18"/>
        </w:rPr>
        <w:t>256,</w:t>
      </w:r>
      <w:r>
        <w:rPr>
          <w:rFonts w:ascii="Calibri"/>
          <w:spacing w:val="-4"/>
          <w:sz w:val="18"/>
        </w:rPr>
        <w:t> </w:t>
      </w:r>
      <w:r>
        <w:rPr>
          <w:rFonts w:ascii="Calibri"/>
          <w:spacing w:val="-5"/>
          <w:sz w:val="18"/>
        </w:rPr>
        <w:t>285</w:t>
      </w:r>
    </w:p>
    <w:p>
      <w:pPr>
        <w:pStyle w:val="BodyText"/>
        <w:spacing w:before="11"/>
        <w:rPr>
          <w:rFonts w:ascii="Calibri"/>
        </w:rPr>
      </w:pPr>
    </w:p>
    <w:p>
      <w:pPr>
        <w:pStyle w:val="Heading4"/>
        <w:ind w:left="466"/>
      </w:pPr>
      <w:r>
        <w:rPr>
          <w:w w:val="102"/>
        </w:rPr>
        <w:t>M</w:t>
      </w:r>
    </w:p>
    <w:p>
      <w:pPr>
        <w:pStyle w:val="BodyText"/>
        <w:rPr>
          <w:rFonts w:ascii="Calibri"/>
          <w:sz w:val="23"/>
        </w:rPr>
      </w:pPr>
    </w:p>
    <w:p>
      <w:pPr>
        <w:spacing w:before="0"/>
        <w:ind w:left="500" w:right="0" w:firstLine="0"/>
        <w:jc w:val="left"/>
        <w:rPr>
          <w:rFonts w:ascii="Calibri"/>
          <w:sz w:val="18"/>
        </w:rPr>
      </w:pPr>
      <w:r>
        <w:rPr>
          <w:rFonts w:ascii="Calibri"/>
          <w:sz w:val="18"/>
        </w:rPr>
        <w:t>magnet</w:t>
      </w:r>
      <w:r>
        <w:rPr>
          <w:rFonts w:ascii="Calibri"/>
          <w:spacing w:val="-4"/>
          <w:sz w:val="18"/>
        </w:rPr>
        <w:t> </w:t>
      </w:r>
      <w:r>
        <w:rPr>
          <w:rFonts w:ascii="Calibri"/>
          <w:sz w:val="18"/>
        </w:rPr>
        <w:t>trade,</w:t>
      </w:r>
      <w:r>
        <w:rPr>
          <w:rFonts w:ascii="Calibri"/>
          <w:spacing w:val="-4"/>
          <w:sz w:val="18"/>
        </w:rPr>
        <w:t> </w:t>
      </w:r>
      <w:r>
        <w:rPr>
          <w:rFonts w:ascii="Calibri"/>
          <w:sz w:val="18"/>
        </w:rPr>
        <w:t>173,</w:t>
      </w:r>
      <w:r>
        <w:rPr>
          <w:rFonts w:ascii="Calibri"/>
          <w:spacing w:val="-4"/>
          <w:sz w:val="18"/>
        </w:rPr>
        <w:t> </w:t>
      </w:r>
      <w:r>
        <w:rPr>
          <w:rFonts w:ascii="Calibri"/>
          <w:sz w:val="18"/>
        </w:rPr>
        <w:t>175,</w:t>
      </w:r>
      <w:r>
        <w:rPr>
          <w:rFonts w:ascii="Calibri"/>
          <w:spacing w:val="-3"/>
          <w:sz w:val="18"/>
        </w:rPr>
        <w:t> </w:t>
      </w:r>
      <w:r>
        <w:rPr>
          <w:rFonts w:ascii="Calibri"/>
          <w:sz w:val="18"/>
        </w:rPr>
        <w:t>177,</w:t>
      </w:r>
      <w:r>
        <w:rPr>
          <w:rFonts w:ascii="Calibri"/>
          <w:spacing w:val="-3"/>
          <w:sz w:val="18"/>
        </w:rPr>
        <w:t> </w:t>
      </w:r>
      <w:r>
        <w:rPr>
          <w:rFonts w:ascii="Calibri"/>
          <w:sz w:val="18"/>
        </w:rPr>
        <w:t>178,</w:t>
      </w:r>
      <w:r>
        <w:rPr>
          <w:rFonts w:ascii="Calibri"/>
          <w:spacing w:val="-4"/>
          <w:sz w:val="18"/>
        </w:rPr>
        <w:t> </w:t>
      </w:r>
      <w:r>
        <w:rPr>
          <w:rFonts w:ascii="Calibri"/>
          <w:spacing w:val="-5"/>
          <w:sz w:val="18"/>
        </w:rPr>
        <w:t>179</w:t>
      </w:r>
    </w:p>
    <w:p>
      <w:pPr>
        <w:pStyle w:val="BodyText"/>
        <w:spacing w:before="11"/>
        <w:rPr>
          <w:rFonts w:ascii="Calibri"/>
        </w:rPr>
      </w:pPr>
    </w:p>
    <w:p>
      <w:pPr>
        <w:spacing w:before="0"/>
        <w:ind w:left="500" w:right="0" w:firstLine="0"/>
        <w:jc w:val="left"/>
        <w:rPr>
          <w:rFonts w:ascii="Calibri"/>
          <w:sz w:val="18"/>
        </w:rPr>
      </w:pPr>
      <w:r>
        <w:rPr>
          <w:rFonts w:ascii="Calibri"/>
          <w:sz w:val="18"/>
        </w:rPr>
        <w:t>Mark</w:t>
      </w:r>
      <w:r>
        <w:rPr>
          <w:rFonts w:ascii="Calibri"/>
          <w:spacing w:val="-4"/>
          <w:sz w:val="18"/>
        </w:rPr>
        <w:t> </w:t>
      </w:r>
      <w:r>
        <w:rPr>
          <w:rFonts w:ascii="Calibri"/>
          <w:sz w:val="18"/>
        </w:rPr>
        <w:t>Fisher,</w:t>
      </w:r>
      <w:r>
        <w:rPr>
          <w:rFonts w:ascii="Calibri"/>
          <w:spacing w:val="-3"/>
          <w:sz w:val="18"/>
        </w:rPr>
        <w:t> </w:t>
      </w:r>
      <w:r>
        <w:rPr>
          <w:rFonts w:ascii="Calibri"/>
          <w:sz w:val="18"/>
        </w:rPr>
        <w:t>11,</w:t>
      </w:r>
      <w:r>
        <w:rPr>
          <w:rFonts w:ascii="Calibri"/>
          <w:spacing w:val="-3"/>
          <w:sz w:val="18"/>
        </w:rPr>
        <w:t> </w:t>
      </w:r>
      <w:r>
        <w:rPr>
          <w:rFonts w:ascii="Calibri"/>
          <w:sz w:val="18"/>
        </w:rPr>
        <w:t>114,</w:t>
      </w:r>
      <w:r>
        <w:rPr>
          <w:rFonts w:ascii="Calibri"/>
          <w:spacing w:val="-3"/>
          <w:sz w:val="18"/>
        </w:rPr>
        <w:t> </w:t>
      </w:r>
      <w:r>
        <w:rPr>
          <w:rFonts w:ascii="Calibri"/>
          <w:sz w:val="18"/>
        </w:rPr>
        <w:t>136,</w:t>
      </w:r>
      <w:r>
        <w:rPr>
          <w:rFonts w:ascii="Calibri"/>
          <w:spacing w:val="-4"/>
          <w:sz w:val="18"/>
        </w:rPr>
        <w:t> </w:t>
      </w:r>
      <w:r>
        <w:rPr>
          <w:rFonts w:ascii="Calibri"/>
          <w:spacing w:val="-5"/>
          <w:sz w:val="18"/>
        </w:rPr>
        <w:t>315</w:t>
      </w:r>
    </w:p>
    <w:p>
      <w:pPr>
        <w:pStyle w:val="BodyText"/>
        <w:rPr>
          <w:rFonts w:ascii="Calibri"/>
          <w:sz w:val="23"/>
        </w:rPr>
      </w:pPr>
    </w:p>
    <w:p>
      <w:pPr>
        <w:spacing w:before="0"/>
        <w:ind w:left="500" w:right="0" w:firstLine="0"/>
        <w:jc w:val="left"/>
        <w:rPr>
          <w:rFonts w:ascii="Calibri"/>
          <w:sz w:val="18"/>
        </w:rPr>
      </w:pPr>
      <w:r>
        <w:rPr>
          <w:rFonts w:ascii="Calibri"/>
          <w:sz w:val="18"/>
        </w:rPr>
        <w:t>Market</w:t>
      </w:r>
      <w:r>
        <w:rPr>
          <w:rFonts w:ascii="Calibri"/>
          <w:spacing w:val="-3"/>
          <w:sz w:val="18"/>
        </w:rPr>
        <w:t> </w:t>
      </w:r>
      <w:r>
        <w:rPr>
          <w:rFonts w:ascii="Calibri"/>
          <w:sz w:val="18"/>
        </w:rPr>
        <w:t>Profile,</w:t>
      </w:r>
      <w:r>
        <w:rPr>
          <w:rFonts w:ascii="Calibri"/>
          <w:spacing w:val="-2"/>
          <w:sz w:val="18"/>
        </w:rPr>
        <w:t> </w:t>
      </w:r>
      <w:r>
        <w:rPr>
          <w:rFonts w:ascii="Calibri"/>
          <w:sz w:val="18"/>
        </w:rPr>
        <w:t>58,</w:t>
      </w:r>
      <w:r>
        <w:rPr>
          <w:rFonts w:ascii="Calibri"/>
          <w:spacing w:val="-3"/>
          <w:sz w:val="18"/>
        </w:rPr>
        <w:t> </w:t>
      </w:r>
      <w:r>
        <w:rPr>
          <w:rFonts w:ascii="Calibri"/>
          <w:sz w:val="18"/>
        </w:rPr>
        <w:t>59,</w:t>
      </w:r>
      <w:r>
        <w:rPr>
          <w:rFonts w:ascii="Calibri"/>
          <w:spacing w:val="-3"/>
          <w:sz w:val="18"/>
        </w:rPr>
        <w:t> </w:t>
      </w:r>
      <w:r>
        <w:rPr>
          <w:rFonts w:ascii="Calibri"/>
          <w:sz w:val="18"/>
        </w:rPr>
        <w:t>60,</w:t>
      </w:r>
      <w:r>
        <w:rPr>
          <w:rFonts w:ascii="Calibri"/>
          <w:spacing w:val="-3"/>
          <w:sz w:val="18"/>
        </w:rPr>
        <w:t> </w:t>
      </w:r>
      <w:r>
        <w:rPr>
          <w:rFonts w:ascii="Calibri"/>
          <w:sz w:val="18"/>
        </w:rPr>
        <w:t>61,</w:t>
      </w:r>
      <w:r>
        <w:rPr>
          <w:rFonts w:ascii="Calibri"/>
          <w:spacing w:val="-3"/>
          <w:sz w:val="18"/>
        </w:rPr>
        <w:t> </w:t>
      </w:r>
      <w:r>
        <w:rPr>
          <w:rFonts w:ascii="Calibri"/>
          <w:sz w:val="18"/>
        </w:rPr>
        <w:t>63,</w:t>
      </w:r>
      <w:r>
        <w:rPr>
          <w:rFonts w:ascii="Calibri"/>
          <w:spacing w:val="-3"/>
          <w:sz w:val="18"/>
        </w:rPr>
        <w:t> </w:t>
      </w:r>
      <w:r>
        <w:rPr>
          <w:rFonts w:ascii="Calibri"/>
          <w:sz w:val="18"/>
        </w:rPr>
        <w:t>66,</w:t>
      </w:r>
      <w:r>
        <w:rPr>
          <w:rFonts w:ascii="Calibri"/>
          <w:spacing w:val="-2"/>
          <w:sz w:val="18"/>
        </w:rPr>
        <w:t> </w:t>
      </w:r>
      <w:r>
        <w:rPr>
          <w:rFonts w:ascii="Calibri"/>
          <w:spacing w:val="-5"/>
          <w:sz w:val="18"/>
        </w:rPr>
        <w:t>67,</w:t>
      </w:r>
    </w:p>
    <w:p>
      <w:pPr>
        <w:spacing w:before="0"/>
        <w:ind w:left="719" w:right="0" w:firstLine="0"/>
        <w:jc w:val="left"/>
        <w:rPr>
          <w:rFonts w:ascii="Calibri"/>
          <w:sz w:val="18"/>
        </w:rPr>
      </w:pPr>
      <w:r>
        <w:rPr>
          <w:rFonts w:ascii="Calibri"/>
          <w:sz w:val="18"/>
        </w:rPr>
        <w:t>101,</w:t>
      </w:r>
      <w:r>
        <w:rPr>
          <w:rFonts w:ascii="Calibri"/>
          <w:spacing w:val="-4"/>
          <w:sz w:val="18"/>
        </w:rPr>
        <w:t> </w:t>
      </w:r>
      <w:r>
        <w:rPr>
          <w:rFonts w:ascii="Calibri"/>
          <w:spacing w:val="-5"/>
          <w:sz w:val="18"/>
        </w:rPr>
        <w:t>102</w:t>
      </w:r>
    </w:p>
    <w:p>
      <w:pPr>
        <w:pStyle w:val="BodyText"/>
        <w:spacing w:before="11"/>
        <w:rPr>
          <w:rFonts w:ascii="Calibri"/>
        </w:rPr>
      </w:pPr>
    </w:p>
    <w:p>
      <w:pPr>
        <w:spacing w:before="0"/>
        <w:ind w:left="0" w:right="249" w:firstLine="0"/>
        <w:jc w:val="right"/>
        <w:rPr>
          <w:rFonts w:ascii="Calibri"/>
          <w:sz w:val="18"/>
        </w:rPr>
      </w:pPr>
      <w:r>
        <w:rPr>
          <w:rFonts w:ascii="Calibri"/>
          <w:sz w:val="18"/>
        </w:rPr>
        <w:t>Money</w:t>
      </w:r>
      <w:r>
        <w:rPr>
          <w:rFonts w:ascii="Calibri"/>
          <w:spacing w:val="-2"/>
          <w:sz w:val="18"/>
        </w:rPr>
        <w:t> </w:t>
      </w:r>
      <w:r>
        <w:rPr>
          <w:rFonts w:ascii="Calibri"/>
          <w:sz w:val="18"/>
        </w:rPr>
        <w:t>Zone,</w:t>
      </w:r>
      <w:r>
        <w:rPr>
          <w:rFonts w:ascii="Calibri"/>
          <w:spacing w:val="-2"/>
          <w:sz w:val="18"/>
        </w:rPr>
        <w:t> </w:t>
      </w:r>
      <w:r>
        <w:rPr>
          <w:rFonts w:ascii="Calibri"/>
          <w:sz w:val="18"/>
        </w:rPr>
        <w:t>11,</w:t>
      </w:r>
      <w:r>
        <w:rPr>
          <w:rFonts w:ascii="Calibri"/>
          <w:spacing w:val="-2"/>
          <w:sz w:val="18"/>
        </w:rPr>
        <w:t> </w:t>
      </w:r>
      <w:r>
        <w:rPr>
          <w:rFonts w:ascii="Calibri"/>
          <w:sz w:val="18"/>
        </w:rPr>
        <w:t>30,</w:t>
      </w:r>
      <w:r>
        <w:rPr>
          <w:rFonts w:ascii="Calibri"/>
          <w:spacing w:val="-2"/>
          <w:sz w:val="18"/>
        </w:rPr>
        <w:t> </w:t>
      </w:r>
      <w:r>
        <w:rPr>
          <w:rFonts w:ascii="Calibri"/>
          <w:sz w:val="18"/>
        </w:rPr>
        <w:t>58,</w:t>
      </w:r>
      <w:r>
        <w:rPr>
          <w:rFonts w:ascii="Calibri"/>
          <w:spacing w:val="-2"/>
          <w:sz w:val="18"/>
        </w:rPr>
        <w:t> </w:t>
      </w:r>
      <w:r>
        <w:rPr>
          <w:rFonts w:ascii="Calibri"/>
          <w:sz w:val="18"/>
        </w:rPr>
        <w:t>60,</w:t>
      </w:r>
      <w:r>
        <w:rPr>
          <w:rFonts w:ascii="Calibri"/>
          <w:spacing w:val="-2"/>
          <w:sz w:val="18"/>
        </w:rPr>
        <w:t> </w:t>
      </w:r>
      <w:r>
        <w:rPr>
          <w:rFonts w:ascii="Calibri"/>
          <w:sz w:val="18"/>
        </w:rPr>
        <w:t>61,</w:t>
      </w:r>
      <w:r>
        <w:rPr>
          <w:rFonts w:ascii="Calibri"/>
          <w:spacing w:val="-1"/>
          <w:sz w:val="18"/>
        </w:rPr>
        <w:t> </w:t>
      </w:r>
      <w:r>
        <w:rPr>
          <w:rFonts w:ascii="Calibri"/>
          <w:sz w:val="18"/>
        </w:rPr>
        <w:t>62,</w:t>
      </w:r>
      <w:r>
        <w:rPr>
          <w:rFonts w:ascii="Calibri"/>
          <w:spacing w:val="-2"/>
          <w:sz w:val="18"/>
        </w:rPr>
        <w:t> </w:t>
      </w:r>
      <w:r>
        <w:rPr>
          <w:rFonts w:ascii="Calibri"/>
          <w:spacing w:val="-5"/>
          <w:sz w:val="18"/>
        </w:rPr>
        <w:t>63,</w:t>
      </w:r>
    </w:p>
    <w:p>
      <w:pPr>
        <w:spacing w:before="0"/>
        <w:ind w:left="0" w:right="229" w:firstLine="0"/>
        <w:jc w:val="right"/>
        <w:rPr>
          <w:rFonts w:ascii="Calibri"/>
          <w:sz w:val="18"/>
        </w:rPr>
      </w:pPr>
      <w:r>
        <w:rPr>
          <w:rFonts w:ascii="Calibri"/>
          <w:sz w:val="18"/>
        </w:rPr>
        <w:t>65,</w:t>
      </w:r>
      <w:r>
        <w:rPr>
          <w:rFonts w:ascii="Calibri"/>
          <w:spacing w:val="-2"/>
          <w:sz w:val="18"/>
        </w:rPr>
        <w:t> </w:t>
      </w:r>
      <w:r>
        <w:rPr>
          <w:rFonts w:ascii="Calibri"/>
          <w:sz w:val="18"/>
        </w:rPr>
        <w:t>66,</w:t>
      </w:r>
      <w:r>
        <w:rPr>
          <w:rFonts w:ascii="Calibri"/>
          <w:spacing w:val="-2"/>
          <w:sz w:val="18"/>
        </w:rPr>
        <w:t> </w:t>
      </w:r>
      <w:r>
        <w:rPr>
          <w:rFonts w:ascii="Calibri"/>
          <w:sz w:val="18"/>
        </w:rPr>
        <w:t>67,</w:t>
      </w:r>
      <w:r>
        <w:rPr>
          <w:rFonts w:ascii="Calibri"/>
          <w:spacing w:val="-1"/>
          <w:sz w:val="18"/>
        </w:rPr>
        <w:t> </w:t>
      </w:r>
      <w:r>
        <w:rPr>
          <w:rFonts w:ascii="Calibri"/>
          <w:sz w:val="18"/>
        </w:rPr>
        <w:t>69,</w:t>
      </w:r>
      <w:r>
        <w:rPr>
          <w:rFonts w:ascii="Calibri"/>
          <w:spacing w:val="-2"/>
          <w:sz w:val="18"/>
        </w:rPr>
        <w:t> </w:t>
      </w:r>
      <w:r>
        <w:rPr>
          <w:rFonts w:ascii="Calibri"/>
          <w:sz w:val="18"/>
        </w:rPr>
        <w:t>71,</w:t>
      </w:r>
      <w:r>
        <w:rPr>
          <w:rFonts w:ascii="Calibri"/>
          <w:spacing w:val="-1"/>
          <w:sz w:val="18"/>
        </w:rPr>
        <w:t> </w:t>
      </w:r>
      <w:r>
        <w:rPr>
          <w:rFonts w:ascii="Calibri"/>
          <w:sz w:val="18"/>
        </w:rPr>
        <w:t>72,</w:t>
      </w:r>
      <w:r>
        <w:rPr>
          <w:rFonts w:ascii="Calibri"/>
          <w:spacing w:val="-2"/>
          <w:sz w:val="18"/>
        </w:rPr>
        <w:t> </w:t>
      </w:r>
      <w:r>
        <w:rPr>
          <w:rFonts w:ascii="Calibri"/>
          <w:sz w:val="18"/>
        </w:rPr>
        <w:t>75,</w:t>
      </w:r>
      <w:r>
        <w:rPr>
          <w:rFonts w:ascii="Calibri"/>
          <w:spacing w:val="-1"/>
          <w:sz w:val="18"/>
        </w:rPr>
        <w:t> </w:t>
      </w:r>
      <w:r>
        <w:rPr>
          <w:rFonts w:ascii="Calibri"/>
          <w:sz w:val="18"/>
        </w:rPr>
        <w:t>76,</w:t>
      </w:r>
      <w:r>
        <w:rPr>
          <w:rFonts w:ascii="Calibri"/>
          <w:spacing w:val="-2"/>
          <w:sz w:val="18"/>
        </w:rPr>
        <w:t> </w:t>
      </w:r>
      <w:r>
        <w:rPr>
          <w:rFonts w:ascii="Calibri"/>
          <w:sz w:val="18"/>
        </w:rPr>
        <w:t>80, </w:t>
      </w:r>
      <w:r>
        <w:rPr>
          <w:rFonts w:ascii="Calibri"/>
          <w:spacing w:val="-5"/>
          <w:sz w:val="18"/>
        </w:rPr>
        <w:t>81,</w:t>
      </w:r>
    </w:p>
    <w:p>
      <w:pPr>
        <w:spacing w:before="0"/>
        <w:ind w:left="719" w:right="0" w:firstLine="0"/>
        <w:jc w:val="left"/>
        <w:rPr>
          <w:rFonts w:ascii="Calibri"/>
          <w:sz w:val="18"/>
        </w:rPr>
      </w:pPr>
      <w:r>
        <w:rPr>
          <w:rFonts w:ascii="Calibri"/>
          <w:sz w:val="18"/>
        </w:rPr>
        <w:t>82,</w:t>
      </w:r>
      <w:r>
        <w:rPr>
          <w:rFonts w:ascii="Calibri"/>
          <w:spacing w:val="-2"/>
          <w:sz w:val="18"/>
        </w:rPr>
        <w:t> </w:t>
      </w:r>
      <w:r>
        <w:rPr>
          <w:rFonts w:ascii="Calibri"/>
          <w:sz w:val="18"/>
        </w:rPr>
        <w:t>85,</w:t>
      </w:r>
      <w:r>
        <w:rPr>
          <w:rFonts w:ascii="Calibri"/>
          <w:spacing w:val="-1"/>
          <w:sz w:val="18"/>
        </w:rPr>
        <w:t> </w:t>
      </w:r>
      <w:r>
        <w:rPr>
          <w:rFonts w:ascii="Calibri"/>
          <w:sz w:val="18"/>
        </w:rPr>
        <w:t>89,</w:t>
      </w:r>
      <w:r>
        <w:rPr>
          <w:rFonts w:ascii="Calibri"/>
          <w:spacing w:val="-1"/>
          <w:sz w:val="18"/>
        </w:rPr>
        <w:t> </w:t>
      </w:r>
      <w:r>
        <w:rPr>
          <w:rFonts w:ascii="Calibri"/>
          <w:sz w:val="18"/>
        </w:rPr>
        <w:t>92,</w:t>
      </w:r>
      <w:r>
        <w:rPr>
          <w:rFonts w:ascii="Calibri"/>
          <w:spacing w:val="-2"/>
          <w:sz w:val="18"/>
        </w:rPr>
        <w:t> </w:t>
      </w:r>
      <w:r>
        <w:rPr>
          <w:rFonts w:ascii="Calibri"/>
          <w:sz w:val="18"/>
        </w:rPr>
        <w:t>94,</w:t>
      </w:r>
      <w:r>
        <w:rPr>
          <w:rFonts w:ascii="Calibri"/>
          <w:spacing w:val="-1"/>
          <w:sz w:val="18"/>
        </w:rPr>
        <w:t> </w:t>
      </w:r>
      <w:r>
        <w:rPr>
          <w:rFonts w:ascii="Calibri"/>
          <w:sz w:val="18"/>
        </w:rPr>
        <w:t>95,</w:t>
      </w:r>
      <w:r>
        <w:rPr>
          <w:rFonts w:ascii="Calibri"/>
          <w:spacing w:val="-1"/>
          <w:sz w:val="18"/>
        </w:rPr>
        <w:t> </w:t>
      </w:r>
      <w:r>
        <w:rPr>
          <w:rFonts w:ascii="Calibri"/>
          <w:sz w:val="18"/>
        </w:rPr>
        <w:t>96,</w:t>
      </w:r>
      <w:r>
        <w:rPr>
          <w:rFonts w:ascii="Calibri"/>
          <w:spacing w:val="-1"/>
          <w:sz w:val="18"/>
        </w:rPr>
        <w:t> </w:t>
      </w:r>
      <w:r>
        <w:rPr>
          <w:rFonts w:ascii="Calibri"/>
          <w:sz w:val="18"/>
        </w:rPr>
        <w:t>98,</w:t>
      </w:r>
      <w:r>
        <w:rPr>
          <w:rFonts w:ascii="Calibri"/>
          <w:spacing w:val="-2"/>
          <w:sz w:val="18"/>
        </w:rPr>
        <w:t> </w:t>
      </w:r>
      <w:r>
        <w:rPr>
          <w:rFonts w:ascii="Calibri"/>
          <w:sz w:val="18"/>
        </w:rPr>
        <w:t>100,</w:t>
      </w:r>
      <w:r>
        <w:rPr>
          <w:rFonts w:ascii="Calibri"/>
          <w:spacing w:val="-1"/>
          <w:sz w:val="18"/>
        </w:rPr>
        <w:t> </w:t>
      </w:r>
      <w:r>
        <w:rPr>
          <w:rFonts w:ascii="Calibri"/>
          <w:spacing w:val="-4"/>
          <w:sz w:val="18"/>
        </w:rPr>
        <w:t>110,</w:t>
      </w:r>
    </w:p>
    <w:p>
      <w:pPr>
        <w:spacing w:before="0"/>
        <w:ind w:left="719" w:right="0" w:firstLine="0"/>
        <w:jc w:val="left"/>
        <w:rPr>
          <w:rFonts w:ascii="Calibri"/>
          <w:sz w:val="18"/>
        </w:rPr>
      </w:pPr>
      <w:r>
        <w:rPr>
          <w:rFonts w:ascii="Calibri"/>
          <w:sz w:val="18"/>
        </w:rPr>
        <w:t>118,</w:t>
      </w:r>
      <w:r>
        <w:rPr>
          <w:rFonts w:ascii="Calibri"/>
          <w:spacing w:val="-3"/>
          <w:sz w:val="18"/>
        </w:rPr>
        <w:t> </w:t>
      </w:r>
      <w:r>
        <w:rPr>
          <w:rFonts w:ascii="Calibri"/>
          <w:sz w:val="18"/>
        </w:rPr>
        <w:t>131,</w:t>
      </w:r>
      <w:r>
        <w:rPr>
          <w:rFonts w:ascii="Calibri"/>
          <w:spacing w:val="-2"/>
          <w:sz w:val="18"/>
        </w:rPr>
        <w:t> </w:t>
      </w:r>
      <w:r>
        <w:rPr>
          <w:rFonts w:ascii="Calibri"/>
          <w:sz w:val="18"/>
        </w:rPr>
        <w:t>137,</w:t>
      </w:r>
      <w:r>
        <w:rPr>
          <w:rFonts w:ascii="Calibri"/>
          <w:spacing w:val="-3"/>
          <w:sz w:val="18"/>
        </w:rPr>
        <w:t> </w:t>
      </w:r>
      <w:r>
        <w:rPr>
          <w:rFonts w:ascii="Calibri"/>
          <w:sz w:val="18"/>
        </w:rPr>
        <w:t>139,</w:t>
      </w:r>
      <w:r>
        <w:rPr>
          <w:rFonts w:ascii="Calibri"/>
          <w:spacing w:val="-2"/>
          <w:sz w:val="18"/>
        </w:rPr>
        <w:t> </w:t>
      </w:r>
      <w:r>
        <w:rPr>
          <w:rFonts w:ascii="Calibri"/>
          <w:sz w:val="18"/>
        </w:rPr>
        <w:t>152,</w:t>
      </w:r>
      <w:r>
        <w:rPr>
          <w:rFonts w:ascii="Calibri"/>
          <w:spacing w:val="-3"/>
          <w:sz w:val="18"/>
        </w:rPr>
        <w:t> </w:t>
      </w:r>
      <w:r>
        <w:rPr>
          <w:rFonts w:ascii="Calibri"/>
          <w:sz w:val="18"/>
        </w:rPr>
        <w:t>153,</w:t>
      </w:r>
      <w:r>
        <w:rPr>
          <w:rFonts w:ascii="Calibri"/>
          <w:spacing w:val="-2"/>
          <w:sz w:val="18"/>
        </w:rPr>
        <w:t> </w:t>
      </w:r>
      <w:r>
        <w:rPr>
          <w:rFonts w:ascii="Calibri"/>
          <w:sz w:val="18"/>
        </w:rPr>
        <w:t>191,</w:t>
      </w:r>
      <w:r>
        <w:rPr>
          <w:rFonts w:ascii="Calibri"/>
          <w:spacing w:val="-3"/>
          <w:sz w:val="18"/>
        </w:rPr>
        <w:t> </w:t>
      </w:r>
      <w:r>
        <w:rPr>
          <w:rFonts w:ascii="Calibri"/>
          <w:spacing w:val="-4"/>
          <w:sz w:val="18"/>
        </w:rPr>
        <w:t>202,</w:t>
      </w:r>
    </w:p>
    <w:p>
      <w:pPr>
        <w:spacing w:before="1"/>
        <w:ind w:left="719" w:right="0" w:firstLine="0"/>
        <w:jc w:val="left"/>
        <w:rPr>
          <w:rFonts w:ascii="Calibri"/>
          <w:sz w:val="18"/>
        </w:rPr>
      </w:pPr>
      <w:r>
        <w:rPr>
          <w:rFonts w:ascii="Calibri"/>
          <w:sz w:val="18"/>
        </w:rPr>
        <w:t>203,</w:t>
      </w:r>
      <w:r>
        <w:rPr>
          <w:rFonts w:ascii="Calibri"/>
          <w:spacing w:val="-3"/>
          <w:sz w:val="18"/>
        </w:rPr>
        <w:t> </w:t>
      </w:r>
      <w:r>
        <w:rPr>
          <w:rFonts w:ascii="Calibri"/>
          <w:sz w:val="18"/>
        </w:rPr>
        <w:t>206,</w:t>
      </w:r>
      <w:r>
        <w:rPr>
          <w:rFonts w:ascii="Calibri"/>
          <w:spacing w:val="-2"/>
          <w:sz w:val="18"/>
        </w:rPr>
        <w:t> </w:t>
      </w:r>
      <w:r>
        <w:rPr>
          <w:rFonts w:ascii="Calibri"/>
          <w:sz w:val="18"/>
        </w:rPr>
        <w:t>217,</w:t>
      </w:r>
      <w:r>
        <w:rPr>
          <w:rFonts w:ascii="Calibri"/>
          <w:spacing w:val="-3"/>
          <w:sz w:val="18"/>
        </w:rPr>
        <w:t> </w:t>
      </w:r>
      <w:r>
        <w:rPr>
          <w:rFonts w:ascii="Calibri"/>
          <w:sz w:val="18"/>
        </w:rPr>
        <w:t>222,</w:t>
      </w:r>
      <w:r>
        <w:rPr>
          <w:rFonts w:ascii="Calibri"/>
          <w:spacing w:val="-2"/>
          <w:sz w:val="18"/>
        </w:rPr>
        <w:t> </w:t>
      </w:r>
      <w:r>
        <w:rPr>
          <w:rFonts w:ascii="Calibri"/>
          <w:sz w:val="18"/>
        </w:rPr>
        <w:t>230,</w:t>
      </w:r>
      <w:r>
        <w:rPr>
          <w:rFonts w:ascii="Calibri"/>
          <w:spacing w:val="-3"/>
          <w:sz w:val="18"/>
        </w:rPr>
        <w:t> </w:t>
      </w:r>
      <w:r>
        <w:rPr>
          <w:rFonts w:ascii="Calibri"/>
          <w:sz w:val="18"/>
        </w:rPr>
        <w:t>234,</w:t>
      </w:r>
      <w:r>
        <w:rPr>
          <w:rFonts w:ascii="Calibri"/>
          <w:spacing w:val="-2"/>
          <w:sz w:val="18"/>
        </w:rPr>
        <w:t> </w:t>
      </w:r>
      <w:r>
        <w:rPr>
          <w:rFonts w:ascii="Calibri"/>
          <w:sz w:val="18"/>
        </w:rPr>
        <w:t>245,</w:t>
      </w:r>
      <w:r>
        <w:rPr>
          <w:rFonts w:ascii="Calibri"/>
          <w:spacing w:val="-3"/>
          <w:sz w:val="18"/>
        </w:rPr>
        <w:t> </w:t>
      </w:r>
      <w:r>
        <w:rPr>
          <w:rFonts w:ascii="Calibri"/>
          <w:spacing w:val="-4"/>
          <w:sz w:val="18"/>
        </w:rPr>
        <w:t>246,</w:t>
      </w:r>
    </w:p>
    <w:p>
      <w:pPr>
        <w:spacing w:before="0"/>
        <w:ind w:left="719" w:right="0" w:firstLine="0"/>
        <w:jc w:val="left"/>
        <w:rPr>
          <w:rFonts w:ascii="Calibri"/>
          <w:sz w:val="18"/>
        </w:rPr>
      </w:pPr>
      <w:r>
        <w:rPr>
          <w:rFonts w:ascii="Calibri"/>
          <w:sz w:val="18"/>
        </w:rPr>
        <w:t>247,</w:t>
      </w:r>
      <w:r>
        <w:rPr>
          <w:rFonts w:ascii="Calibri"/>
          <w:spacing w:val="-3"/>
          <w:sz w:val="18"/>
        </w:rPr>
        <w:t> </w:t>
      </w:r>
      <w:r>
        <w:rPr>
          <w:rFonts w:ascii="Calibri"/>
          <w:sz w:val="18"/>
        </w:rPr>
        <w:t>250,</w:t>
      </w:r>
      <w:r>
        <w:rPr>
          <w:rFonts w:ascii="Calibri"/>
          <w:spacing w:val="-3"/>
          <w:sz w:val="18"/>
        </w:rPr>
        <w:t> </w:t>
      </w:r>
      <w:r>
        <w:rPr>
          <w:rFonts w:ascii="Calibri"/>
          <w:sz w:val="18"/>
        </w:rPr>
        <w:t>252,</w:t>
      </w:r>
      <w:r>
        <w:rPr>
          <w:rFonts w:ascii="Calibri"/>
          <w:spacing w:val="-2"/>
          <w:sz w:val="18"/>
        </w:rPr>
        <w:t> </w:t>
      </w:r>
      <w:r>
        <w:rPr>
          <w:rFonts w:ascii="Calibri"/>
          <w:sz w:val="18"/>
        </w:rPr>
        <w:t>260,</w:t>
      </w:r>
      <w:r>
        <w:rPr>
          <w:rFonts w:ascii="Calibri"/>
          <w:spacing w:val="-3"/>
          <w:sz w:val="18"/>
        </w:rPr>
        <w:t> </w:t>
      </w:r>
      <w:r>
        <w:rPr>
          <w:rFonts w:ascii="Calibri"/>
          <w:sz w:val="18"/>
        </w:rPr>
        <w:t>266,</w:t>
      </w:r>
      <w:r>
        <w:rPr>
          <w:rFonts w:ascii="Calibri"/>
          <w:spacing w:val="-2"/>
          <w:sz w:val="18"/>
        </w:rPr>
        <w:t> </w:t>
      </w:r>
      <w:r>
        <w:rPr>
          <w:rFonts w:ascii="Calibri"/>
          <w:sz w:val="18"/>
        </w:rPr>
        <w:t>267,</w:t>
      </w:r>
      <w:r>
        <w:rPr>
          <w:rFonts w:ascii="Calibri"/>
          <w:spacing w:val="-3"/>
          <w:sz w:val="18"/>
        </w:rPr>
        <w:t> </w:t>
      </w:r>
      <w:r>
        <w:rPr>
          <w:rFonts w:ascii="Calibri"/>
          <w:sz w:val="18"/>
        </w:rPr>
        <w:t>268,</w:t>
      </w:r>
      <w:r>
        <w:rPr>
          <w:rFonts w:ascii="Calibri"/>
          <w:spacing w:val="-2"/>
          <w:sz w:val="18"/>
        </w:rPr>
        <w:t> </w:t>
      </w:r>
      <w:r>
        <w:rPr>
          <w:rFonts w:ascii="Calibri"/>
          <w:spacing w:val="-4"/>
          <w:sz w:val="18"/>
        </w:rPr>
        <w:t>270,</w:t>
      </w:r>
    </w:p>
    <w:p>
      <w:pPr>
        <w:spacing w:before="0"/>
        <w:ind w:left="719" w:right="0" w:firstLine="0"/>
        <w:jc w:val="left"/>
        <w:rPr>
          <w:rFonts w:ascii="Calibri"/>
          <w:sz w:val="18"/>
        </w:rPr>
      </w:pPr>
      <w:r>
        <w:rPr>
          <w:rFonts w:ascii="Calibri"/>
          <w:sz w:val="18"/>
        </w:rPr>
        <w:t>274,</w:t>
      </w:r>
      <w:r>
        <w:rPr>
          <w:rFonts w:ascii="Calibri"/>
          <w:spacing w:val="-4"/>
          <w:sz w:val="18"/>
        </w:rPr>
        <w:t> </w:t>
      </w:r>
      <w:r>
        <w:rPr>
          <w:rFonts w:ascii="Calibri"/>
          <w:sz w:val="18"/>
        </w:rPr>
        <w:t>283,</w:t>
      </w:r>
      <w:r>
        <w:rPr>
          <w:rFonts w:ascii="Calibri"/>
          <w:spacing w:val="-3"/>
          <w:sz w:val="18"/>
        </w:rPr>
        <w:t> </w:t>
      </w:r>
      <w:r>
        <w:rPr>
          <w:rFonts w:ascii="Calibri"/>
          <w:spacing w:val="-5"/>
          <w:sz w:val="18"/>
        </w:rPr>
        <w:t>285</w:t>
      </w:r>
    </w:p>
    <w:p>
      <w:pPr>
        <w:pStyle w:val="BodyText"/>
        <w:spacing w:before="10"/>
        <w:rPr>
          <w:rFonts w:ascii="Calibri"/>
        </w:rPr>
      </w:pPr>
    </w:p>
    <w:p>
      <w:pPr>
        <w:spacing w:before="0"/>
        <w:ind w:left="500" w:right="0" w:firstLine="0"/>
        <w:jc w:val="left"/>
        <w:rPr>
          <w:rFonts w:ascii="Calibri"/>
          <w:sz w:val="18"/>
        </w:rPr>
      </w:pPr>
      <w:r>
        <w:rPr>
          <w:rFonts w:ascii="Calibri"/>
          <w:sz w:val="18"/>
        </w:rPr>
        <w:t>multiple</w:t>
      </w:r>
      <w:r>
        <w:rPr>
          <w:rFonts w:ascii="Calibri"/>
          <w:spacing w:val="-3"/>
          <w:sz w:val="18"/>
        </w:rPr>
        <w:t> </w:t>
      </w:r>
      <w:r>
        <w:rPr>
          <w:rFonts w:ascii="Calibri"/>
          <w:sz w:val="18"/>
        </w:rPr>
        <w:t>pivot</w:t>
      </w:r>
      <w:r>
        <w:rPr>
          <w:rFonts w:ascii="Calibri"/>
          <w:spacing w:val="-3"/>
          <w:sz w:val="18"/>
        </w:rPr>
        <w:t> </w:t>
      </w:r>
      <w:r>
        <w:rPr>
          <w:rFonts w:ascii="Calibri"/>
          <w:sz w:val="18"/>
        </w:rPr>
        <w:t>hot</w:t>
      </w:r>
      <w:r>
        <w:rPr>
          <w:rFonts w:ascii="Calibri"/>
          <w:spacing w:val="-2"/>
          <w:sz w:val="18"/>
        </w:rPr>
        <w:t> </w:t>
      </w:r>
      <w:r>
        <w:rPr>
          <w:rFonts w:ascii="Calibri"/>
          <w:sz w:val="18"/>
        </w:rPr>
        <w:t>zones,</w:t>
      </w:r>
      <w:r>
        <w:rPr>
          <w:rFonts w:ascii="Calibri"/>
          <w:spacing w:val="-3"/>
          <w:sz w:val="18"/>
        </w:rPr>
        <w:t> </w:t>
      </w:r>
      <w:r>
        <w:rPr>
          <w:rFonts w:ascii="Calibri"/>
          <w:sz w:val="18"/>
        </w:rPr>
        <w:t>11,</w:t>
      </w:r>
      <w:r>
        <w:rPr>
          <w:rFonts w:ascii="Calibri"/>
          <w:spacing w:val="-3"/>
          <w:sz w:val="18"/>
        </w:rPr>
        <w:t> </w:t>
      </w:r>
      <w:r>
        <w:rPr>
          <w:rFonts w:ascii="Calibri"/>
          <w:sz w:val="18"/>
        </w:rPr>
        <w:t>261,</w:t>
      </w:r>
      <w:r>
        <w:rPr>
          <w:rFonts w:ascii="Calibri"/>
          <w:spacing w:val="-2"/>
          <w:sz w:val="18"/>
        </w:rPr>
        <w:t> </w:t>
      </w:r>
      <w:r>
        <w:rPr>
          <w:rFonts w:ascii="Calibri"/>
          <w:spacing w:val="-5"/>
          <w:sz w:val="18"/>
        </w:rPr>
        <w:t>272</w:t>
      </w:r>
    </w:p>
    <w:p>
      <w:pPr>
        <w:pStyle w:val="BodyText"/>
        <w:rPr>
          <w:rFonts w:ascii="Calibri"/>
          <w:sz w:val="23"/>
        </w:rPr>
      </w:pPr>
    </w:p>
    <w:p>
      <w:pPr>
        <w:spacing w:before="0"/>
        <w:ind w:left="500" w:right="0" w:firstLine="0"/>
        <w:jc w:val="left"/>
        <w:rPr>
          <w:rFonts w:ascii="Calibri"/>
          <w:sz w:val="18"/>
        </w:rPr>
      </w:pPr>
      <w:r>
        <w:rPr>
          <w:rFonts w:ascii="Calibri"/>
          <w:sz w:val="18"/>
        </w:rPr>
        <w:t>multiple</w:t>
      </w:r>
      <w:r>
        <w:rPr>
          <w:rFonts w:ascii="Calibri"/>
          <w:spacing w:val="-5"/>
          <w:sz w:val="18"/>
        </w:rPr>
        <w:t> </w:t>
      </w:r>
      <w:r>
        <w:rPr>
          <w:rFonts w:ascii="Calibri"/>
          <w:sz w:val="18"/>
        </w:rPr>
        <w:t>timeframe</w:t>
      </w:r>
      <w:r>
        <w:rPr>
          <w:rFonts w:ascii="Calibri"/>
          <w:spacing w:val="-5"/>
          <w:sz w:val="18"/>
        </w:rPr>
        <w:t> </w:t>
      </w:r>
      <w:r>
        <w:rPr>
          <w:rFonts w:ascii="Calibri"/>
          <w:sz w:val="18"/>
        </w:rPr>
        <w:t>hot</w:t>
      </w:r>
      <w:r>
        <w:rPr>
          <w:rFonts w:ascii="Calibri"/>
          <w:spacing w:val="-4"/>
          <w:sz w:val="18"/>
        </w:rPr>
        <w:t> </w:t>
      </w:r>
      <w:r>
        <w:rPr>
          <w:rFonts w:ascii="Calibri"/>
          <w:sz w:val="18"/>
        </w:rPr>
        <w:t>zones,</w:t>
      </w:r>
      <w:r>
        <w:rPr>
          <w:rFonts w:ascii="Calibri"/>
          <w:spacing w:val="-5"/>
          <w:sz w:val="18"/>
        </w:rPr>
        <w:t> </w:t>
      </w:r>
      <w:r>
        <w:rPr>
          <w:rFonts w:ascii="Calibri"/>
          <w:sz w:val="18"/>
        </w:rPr>
        <w:t>274,</w:t>
      </w:r>
      <w:r>
        <w:rPr>
          <w:rFonts w:ascii="Calibri"/>
          <w:spacing w:val="-5"/>
          <w:sz w:val="18"/>
        </w:rPr>
        <w:t> </w:t>
      </w:r>
      <w:r>
        <w:rPr>
          <w:rFonts w:ascii="Calibri"/>
          <w:spacing w:val="-4"/>
          <w:sz w:val="18"/>
        </w:rPr>
        <w:t>260,</w:t>
      </w:r>
    </w:p>
    <w:p>
      <w:pPr>
        <w:spacing w:before="0"/>
        <w:ind w:left="719" w:right="0" w:firstLine="0"/>
        <w:jc w:val="left"/>
        <w:rPr>
          <w:rFonts w:ascii="Calibri"/>
          <w:sz w:val="18"/>
        </w:rPr>
      </w:pPr>
      <w:r>
        <w:rPr>
          <w:rFonts w:ascii="Calibri"/>
          <w:spacing w:val="-5"/>
          <w:sz w:val="18"/>
        </w:rPr>
        <w:t>278</w:t>
      </w:r>
    </w:p>
    <w:p>
      <w:pPr>
        <w:pStyle w:val="BodyText"/>
        <w:spacing w:before="10"/>
        <w:rPr>
          <w:rFonts w:ascii="Calibri"/>
        </w:rPr>
      </w:pPr>
    </w:p>
    <w:p>
      <w:pPr>
        <w:pStyle w:val="Heading4"/>
        <w:ind w:left="465"/>
      </w:pPr>
      <w:r>
        <w:rPr>
          <w:w w:val="102"/>
        </w:rPr>
        <w:t>O</w:t>
      </w:r>
    </w:p>
    <w:p>
      <w:pPr>
        <w:pStyle w:val="BodyText"/>
        <w:rPr>
          <w:rFonts w:ascii="Calibri"/>
          <w:sz w:val="23"/>
        </w:rPr>
      </w:pPr>
    </w:p>
    <w:p>
      <w:pPr>
        <w:spacing w:before="0"/>
        <w:ind w:left="500" w:right="0" w:firstLine="0"/>
        <w:jc w:val="left"/>
        <w:rPr>
          <w:rFonts w:ascii="Calibri"/>
          <w:sz w:val="18"/>
        </w:rPr>
      </w:pPr>
      <w:r>
        <w:rPr>
          <w:rFonts w:ascii="Calibri"/>
          <w:sz w:val="18"/>
        </w:rPr>
        <w:t>opening</w:t>
      </w:r>
      <w:r>
        <w:rPr>
          <w:rFonts w:ascii="Calibri"/>
          <w:spacing w:val="-5"/>
          <w:sz w:val="18"/>
        </w:rPr>
        <w:t> </w:t>
      </w:r>
      <w:r>
        <w:rPr>
          <w:rFonts w:ascii="Calibri"/>
          <w:sz w:val="18"/>
        </w:rPr>
        <w:t>relationships,</w:t>
      </w:r>
      <w:r>
        <w:rPr>
          <w:rFonts w:ascii="Calibri"/>
          <w:spacing w:val="-4"/>
          <w:sz w:val="18"/>
        </w:rPr>
        <w:t> </w:t>
      </w:r>
      <w:r>
        <w:rPr>
          <w:rFonts w:ascii="Calibri"/>
          <w:sz w:val="18"/>
        </w:rPr>
        <w:t>72,</w:t>
      </w:r>
      <w:r>
        <w:rPr>
          <w:rFonts w:ascii="Calibri"/>
          <w:spacing w:val="-4"/>
          <w:sz w:val="18"/>
        </w:rPr>
        <w:t> </w:t>
      </w:r>
      <w:r>
        <w:rPr>
          <w:rFonts w:ascii="Calibri"/>
          <w:spacing w:val="-5"/>
          <w:sz w:val="18"/>
        </w:rPr>
        <w:t>76</w:t>
      </w:r>
    </w:p>
    <w:p>
      <w:pPr>
        <w:pStyle w:val="BodyText"/>
        <w:spacing w:before="11"/>
        <w:rPr>
          <w:rFonts w:ascii="Calibri"/>
        </w:rPr>
      </w:pPr>
    </w:p>
    <w:p>
      <w:pPr>
        <w:spacing w:before="0"/>
        <w:ind w:left="500" w:right="0" w:firstLine="0"/>
        <w:jc w:val="left"/>
        <w:rPr>
          <w:rFonts w:ascii="Calibri"/>
          <w:sz w:val="18"/>
        </w:rPr>
      </w:pPr>
      <w:r>
        <w:rPr>
          <w:rFonts w:ascii="Calibri"/>
          <w:sz w:val="18"/>
        </w:rPr>
        <w:t>outside</w:t>
      </w:r>
      <w:r>
        <w:rPr>
          <w:rFonts w:ascii="Calibri"/>
          <w:spacing w:val="-2"/>
          <w:sz w:val="18"/>
        </w:rPr>
        <w:t> </w:t>
      </w:r>
      <w:r>
        <w:rPr>
          <w:rFonts w:ascii="Calibri"/>
          <w:sz w:val="18"/>
        </w:rPr>
        <w:t>reversal,</w:t>
      </w:r>
      <w:r>
        <w:rPr>
          <w:rFonts w:ascii="Calibri"/>
          <w:spacing w:val="-1"/>
          <w:sz w:val="18"/>
        </w:rPr>
        <w:t> </w:t>
      </w:r>
      <w:r>
        <w:rPr>
          <w:rFonts w:ascii="Calibri"/>
          <w:sz w:val="18"/>
        </w:rPr>
        <w:t>44,</w:t>
      </w:r>
      <w:r>
        <w:rPr>
          <w:rFonts w:ascii="Calibri"/>
          <w:spacing w:val="-1"/>
          <w:sz w:val="18"/>
        </w:rPr>
        <w:t> </w:t>
      </w:r>
      <w:r>
        <w:rPr>
          <w:rFonts w:ascii="Calibri"/>
          <w:sz w:val="18"/>
        </w:rPr>
        <w:t>45,</w:t>
      </w:r>
      <w:r>
        <w:rPr>
          <w:rFonts w:ascii="Calibri"/>
          <w:spacing w:val="-2"/>
          <w:sz w:val="18"/>
        </w:rPr>
        <w:t> </w:t>
      </w:r>
      <w:r>
        <w:rPr>
          <w:rFonts w:ascii="Calibri"/>
          <w:sz w:val="18"/>
        </w:rPr>
        <w:t>46,</w:t>
      </w:r>
      <w:r>
        <w:rPr>
          <w:rFonts w:ascii="Calibri"/>
          <w:spacing w:val="-1"/>
          <w:sz w:val="18"/>
        </w:rPr>
        <w:t> </w:t>
      </w:r>
      <w:r>
        <w:rPr>
          <w:rFonts w:ascii="Calibri"/>
          <w:sz w:val="18"/>
        </w:rPr>
        <w:t>47,</w:t>
      </w:r>
      <w:r>
        <w:rPr>
          <w:rFonts w:ascii="Calibri"/>
          <w:spacing w:val="-1"/>
          <w:sz w:val="18"/>
        </w:rPr>
        <w:t> </w:t>
      </w:r>
      <w:r>
        <w:rPr>
          <w:rFonts w:ascii="Calibri"/>
          <w:sz w:val="18"/>
        </w:rPr>
        <w:t>48,</w:t>
      </w:r>
      <w:r>
        <w:rPr>
          <w:rFonts w:ascii="Calibri"/>
          <w:spacing w:val="-1"/>
          <w:sz w:val="18"/>
        </w:rPr>
        <w:t> </w:t>
      </w:r>
      <w:r>
        <w:rPr>
          <w:rFonts w:ascii="Calibri"/>
          <w:spacing w:val="-5"/>
          <w:sz w:val="18"/>
        </w:rPr>
        <w:t>49,</w:t>
      </w:r>
    </w:p>
    <w:p>
      <w:pPr>
        <w:spacing w:before="0"/>
        <w:ind w:left="719" w:right="0" w:firstLine="0"/>
        <w:jc w:val="left"/>
        <w:rPr>
          <w:rFonts w:ascii="Calibri"/>
          <w:sz w:val="18"/>
        </w:rPr>
      </w:pPr>
      <w:r>
        <w:rPr>
          <w:rFonts w:ascii="Calibri"/>
          <w:sz w:val="18"/>
        </w:rPr>
        <w:t>175,</w:t>
      </w:r>
      <w:r>
        <w:rPr>
          <w:rFonts w:ascii="Calibri"/>
          <w:spacing w:val="-3"/>
          <w:sz w:val="18"/>
        </w:rPr>
        <w:t> </w:t>
      </w:r>
      <w:r>
        <w:rPr>
          <w:rFonts w:ascii="Calibri"/>
          <w:sz w:val="18"/>
        </w:rPr>
        <w:t>192,</w:t>
      </w:r>
      <w:r>
        <w:rPr>
          <w:rFonts w:ascii="Calibri"/>
          <w:spacing w:val="-3"/>
          <w:sz w:val="18"/>
        </w:rPr>
        <w:t> </w:t>
      </w:r>
      <w:r>
        <w:rPr>
          <w:rFonts w:ascii="Calibri"/>
          <w:sz w:val="18"/>
        </w:rPr>
        <w:t>214,</w:t>
      </w:r>
      <w:r>
        <w:rPr>
          <w:rFonts w:ascii="Calibri"/>
          <w:spacing w:val="-3"/>
          <w:sz w:val="18"/>
        </w:rPr>
        <w:t> </w:t>
      </w:r>
      <w:r>
        <w:rPr>
          <w:rFonts w:ascii="Calibri"/>
          <w:sz w:val="18"/>
        </w:rPr>
        <w:t>262,</w:t>
      </w:r>
      <w:r>
        <w:rPr>
          <w:rFonts w:ascii="Calibri"/>
          <w:spacing w:val="-2"/>
          <w:sz w:val="18"/>
        </w:rPr>
        <w:t> </w:t>
      </w:r>
      <w:r>
        <w:rPr>
          <w:rFonts w:ascii="Calibri"/>
          <w:spacing w:val="-5"/>
          <w:sz w:val="18"/>
        </w:rPr>
        <w:t>277</w:t>
      </w:r>
    </w:p>
    <w:p>
      <w:pPr>
        <w:pStyle w:val="BodyText"/>
        <w:rPr>
          <w:rFonts w:ascii="Calibri"/>
          <w:sz w:val="23"/>
        </w:rPr>
      </w:pPr>
    </w:p>
    <w:p>
      <w:pPr>
        <w:spacing w:before="0"/>
        <w:ind w:left="500" w:right="0" w:firstLine="0"/>
        <w:jc w:val="left"/>
        <w:rPr>
          <w:rFonts w:ascii="Calibri"/>
          <w:sz w:val="18"/>
        </w:rPr>
      </w:pPr>
      <w:r>
        <w:rPr>
          <w:rFonts w:ascii="Calibri"/>
          <w:sz w:val="18"/>
        </w:rPr>
        <w:t>Outside</w:t>
      </w:r>
      <w:r>
        <w:rPr>
          <w:rFonts w:ascii="Calibri"/>
          <w:spacing w:val="-3"/>
          <w:sz w:val="18"/>
        </w:rPr>
        <w:t> </w:t>
      </w:r>
      <w:r>
        <w:rPr>
          <w:rFonts w:ascii="Calibri"/>
          <w:sz w:val="18"/>
        </w:rPr>
        <w:t>Value,</w:t>
      </w:r>
      <w:r>
        <w:rPr>
          <w:rFonts w:ascii="Calibri"/>
          <w:spacing w:val="-3"/>
          <w:sz w:val="18"/>
        </w:rPr>
        <w:t> </w:t>
      </w:r>
      <w:r>
        <w:rPr>
          <w:rFonts w:ascii="Calibri"/>
          <w:sz w:val="18"/>
        </w:rPr>
        <w:t>76,</w:t>
      </w:r>
      <w:r>
        <w:rPr>
          <w:rFonts w:ascii="Calibri"/>
          <w:spacing w:val="-3"/>
          <w:sz w:val="18"/>
        </w:rPr>
        <w:t> </w:t>
      </w:r>
      <w:r>
        <w:rPr>
          <w:rFonts w:ascii="Calibri"/>
          <w:sz w:val="18"/>
        </w:rPr>
        <w:t>77,</w:t>
      </w:r>
      <w:r>
        <w:rPr>
          <w:rFonts w:ascii="Calibri"/>
          <w:spacing w:val="-3"/>
          <w:sz w:val="18"/>
        </w:rPr>
        <w:t> </w:t>
      </w:r>
      <w:r>
        <w:rPr>
          <w:rFonts w:ascii="Calibri"/>
          <w:sz w:val="18"/>
        </w:rPr>
        <w:t>86,</w:t>
      </w:r>
      <w:r>
        <w:rPr>
          <w:rFonts w:ascii="Calibri"/>
          <w:spacing w:val="-2"/>
          <w:sz w:val="18"/>
        </w:rPr>
        <w:t> </w:t>
      </w:r>
      <w:r>
        <w:rPr>
          <w:rFonts w:ascii="Calibri"/>
          <w:sz w:val="18"/>
        </w:rPr>
        <w:t>87,</w:t>
      </w:r>
      <w:r>
        <w:rPr>
          <w:rFonts w:ascii="Calibri"/>
          <w:spacing w:val="-3"/>
          <w:sz w:val="18"/>
        </w:rPr>
        <w:t> </w:t>
      </w:r>
      <w:r>
        <w:rPr>
          <w:rFonts w:ascii="Calibri"/>
          <w:sz w:val="18"/>
        </w:rPr>
        <w:t>93,</w:t>
      </w:r>
      <w:r>
        <w:rPr>
          <w:rFonts w:ascii="Calibri"/>
          <w:spacing w:val="-2"/>
          <w:sz w:val="18"/>
        </w:rPr>
        <w:t> </w:t>
      </w:r>
      <w:r>
        <w:rPr>
          <w:rFonts w:ascii="Calibri"/>
          <w:spacing w:val="-4"/>
          <w:sz w:val="18"/>
        </w:rPr>
        <w:t>139,</w:t>
      </w:r>
    </w:p>
    <w:p>
      <w:pPr>
        <w:spacing w:before="0"/>
        <w:ind w:left="719" w:right="0" w:firstLine="0"/>
        <w:jc w:val="left"/>
        <w:rPr>
          <w:rFonts w:ascii="Calibri"/>
          <w:sz w:val="18"/>
        </w:rPr>
      </w:pPr>
      <w:r>
        <w:rPr>
          <w:rFonts w:ascii="Calibri"/>
          <w:sz w:val="18"/>
        </w:rPr>
        <w:t>149,</w:t>
      </w:r>
      <w:r>
        <w:rPr>
          <w:rFonts w:ascii="Calibri"/>
          <w:spacing w:val="-3"/>
          <w:sz w:val="18"/>
        </w:rPr>
        <w:t> </w:t>
      </w:r>
      <w:r>
        <w:rPr>
          <w:rFonts w:ascii="Calibri"/>
          <w:sz w:val="18"/>
        </w:rPr>
        <w:t>150,</w:t>
      </w:r>
      <w:r>
        <w:rPr>
          <w:rFonts w:ascii="Calibri"/>
          <w:spacing w:val="-3"/>
          <w:sz w:val="18"/>
        </w:rPr>
        <w:t> </w:t>
      </w:r>
      <w:r>
        <w:rPr>
          <w:rFonts w:ascii="Calibri"/>
          <w:sz w:val="18"/>
        </w:rPr>
        <w:t>206,</w:t>
      </w:r>
      <w:r>
        <w:rPr>
          <w:rFonts w:ascii="Calibri"/>
          <w:spacing w:val="-3"/>
          <w:sz w:val="18"/>
        </w:rPr>
        <w:t> </w:t>
      </w:r>
      <w:r>
        <w:rPr>
          <w:rFonts w:ascii="Calibri"/>
          <w:sz w:val="18"/>
        </w:rPr>
        <w:t>207,</w:t>
      </w:r>
      <w:r>
        <w:rPr>
          <w:rFonts w:ascii="Calibri"/>
          <w:spacing w:val="-2"/>
          <w:sz w:val="18"/>
        </w:rPr>
        <w:t> </w:t>
      </w:r>
      <w:r>
        <w:rPr>
          <w:rFonts w:ascii="Calibri"/>
          <w:spacing w:val="-5"/>
          <w:sz w:val="18"/>
        </w:rPr>
        <w:t>285</w:t>
      </w:r>
    </w:p>
    <w:p>
      <w:pPr>
        <w:pStyle w:val="BodyText"/>
        <w:spacing w:before="11"/>
        <w:rPr>
          <w:rFonts w:ascii="Calibri"/>
        </w:rPr>
      </w:pPr>
    </w:p>
    <w:p>
      <w:pPr>
        <w:spacing w:before="0"/>
        <w:ind w:left="500" w:right="0" w:firstLine="0"/>
        <w:jc w:val="left"/>
        <w:rPr>
          <w:rFonts w:ascii="Calibri"/>
          <w:sz w:val="18"/>
        </w:rPr>
      </w:pPr>
      <w:r>
        <w:rPr>
          <w:rFonts w:ascii="Calibri"/>
          <w:sz w:val="18"/>
        </w:rPr>
        <w:t>Overlapping</w:t>
      </w:r>
      <w:r>
        <w:rPr>
          <w:rFonts w:ascii="Calibri"/>
          <w:spacing w:val="-6"/>
          <w:sz w:val="18"/>
        </w:rPr>
        <w:t> </w:t>
      </w:r>
      <w:r>
        <w:rPr>
          <w:rFonts w:ascii="Calibri"/>
          <w:sz w:val="18"/>
        </w:rPr>
        <w:t>Higher</w:t>
      </w:r>
      <w:r>
        <w:rPr>
          <w:rFonts w:ascii="Calibri"/>
          <w:spacing w:val="-6"/>
          <w:sz w:val="18"/>
        </w:rPr>
        <w:t> </w:t>
      </w:r>
      <w:r>
        <w:rPr>
          <w:rFonts w:ascii="Calibri"/>
          <w:sz w:val="18"/>
        </w:rPr>
        <w:t>Value,</w:t>
      </w:r>
      <w:r>
        <w:rPr>
          <w:rFonts w:ascii="Calibri"/>
          <w:spacing w:val="-6"/>
          <w:sz w:val="18"/>
        </w:rPr>
        <w:t> </w:t>
      </w:r>
      <w:r>
        <w:rPr>
          <w:rFonts w:ascii="Calibri"/>
          <w:sz w:val="18"/>
        </w:rPr>
        <w:t>76,</w:t>
      </w:r>
      <w:r>
        <w:rPr>
          <w:rFonts w:ascii="Calibri"/>
          <w:spacing w:val="-6"/>
          <w:sz w:val="18"/>
        </w:rPr>
        <w:t> </w:t>
      </w:r>
      <w:r>
        <w:rPr>
          <w:rFonts w:ascii="Calibri"/>
          <w:sz w:val="18"/>
        </w:rPr>
        <w:t>139,</w:t>
      </w:r>
      <w:r>
        <w:rPr>
          <w:rFonts w:ascii="Calibri"/>
          <w:spacing w:val="-6"/>
          <w:sz w:val="18"/>
        </w:rPr>
        <w:t> </w:t>
      </w:r>
      <w:r>
        <w:rPr>
          <w:rFonts w:ascii="Calibri"/>
          <w:spacing w:val="-4"/>
          <w:sz w:val="18"/>
        </w:rPr>
        <w:t>206,</w:t>
      </w:r>
    </w:p>
    <w:p>
      <w:pPr>
        <w:spacing w:before="1"/>
        <w:ind w:left="719" w:right="0" w:firstLine="0"/>
        <w:jc w:val="left"/>
        <w:rPr>
          <w:rFonts w:ascii="Calibri"/>
          <w:sz w:val="18"/>
        </w:rPr>
      </w:pPr>
      <w:r>
        <w:rPr>
          <w:rFonts w:ascii="Calibri"/>
          <w:sz w:val="18"/>
        </w:rPr>
        <w:t>210,</w:t>
      </w:r>
      <w:r>
        <w:rPr>
          <w:rFonts w:ascii="Calibri"/>
          <w:spacing w:val="-4"/>
          <w:sz w:val="18"/>
        </w:rPr>
        <w:t> </w:t>
      </w:r>
      <w:r>
        <w:rPr>
          <w:rFonts w:ascii="Calibri"/>
          <w:sz w:val="18"/>
        </w:rPr>
        <w:t>250,</w:t>
      </w:r>
      <w:r>
        <w:rPr>
          <w:rFonts w:ascii="Calibri"/>
          <w:spacing w:val="-3"/>
          <w:sz w:val="18"/>
        </w:rPr>
        <w:t> </w:t>
      </w:r>
      <w:r>
        <w:rPr>
          <w:rFonts w:ascii="Calibri"/>
          <w:spacing w:val="-5"/>
          <w:sz w:val="18"/>
        </w:rPr>
        <w:t>285</w:t>
      </w:r>
    </w:p>
    <w:p>
      <w:pPr>
        <w:pStyle w:val="BodyText"/>
        <w:spacing w:before="11"/>
        <w:rPr>
          <w:rFonts w:ascii="Calibri"/>
        </w:rPr>
      </w:pPr>
    </w:p>
    <w:p>
      <w:pPr>
        <w:spacing w:before="0"/>
        <w:ind w:left="500" w:right="0" w:firstLine="0"/>
        <w:jc w:val="left"/>
        <w:rPr>
          <w:rFonts w:ascii="Calibri"/>
          <w:sz w:val="18"/>
        </w:rPr>
      </w:pPr>
      <w:r>
        <w:rPr>
          <w:rFonts w:ascii="Calibri"/>
          <w:sz w:val="18"/>
        </w:rPr>
        <w:t>Overlapping</w:t>
      </w:r>
      <w:r>
        <w:rPr>
          <w:rFonts w:ascii="Calibri"/>
          <w:spacing w:val="-5"/>
          <w:sz w:val="18"/>
        </w:rPr>
        <w:t> </w:t>
      </w:r>
      <w:r>
        <w:rPr>
          <w:rFonts w:ascii="Calibri"/>
          <w:sz w:val="18"/>
        </w:rPr>
        <w:t>Lower</w:t>
      </w:r>
      <w:r>
        <w:rPr>
          <w:rFonts w:ascii="Calibri"/>
          <w:spacing w:val="-5"/>
          <w:sz w:val="18"/>
        </w:rPr>
        <w:t> </w:t>
      </w:r>
      <w:r>
        <w:rPr>
          <w:rFonts w:ascii="Calibri"/>
          <w:sz w:val="18"/>
        </w:rPr>
        <w:t>Value,</w:t>
      </w:r>
      <w:r>
        <w:rPr>
          <w:rFonts w:ascii="Calibri"/>
          <w:spacing w:val="-4"/>
          <w:sz w:val="18"/>
        </w:rPr>
        <w:t> </w:t>
      </w:r>
      <w:r>
        <w:rPr>
          <w:rFonts w:ascii="Calibri"/>
          <w:sz w:val="18"/>
        </w:rPr>
        <w:t>76,</w:t>
      </w:r>
      <w:r>
        <w:rPr>
          <w:rFonts w:ascii="Calibri"/>
          <w:spacing w:val="-5"/>
          <w:sz w:val="18"/>
        </w:rPr>
        <w:t> </w:t>
      </w:r>
      <w:r>
        <w:rPr>
          <w:rFonts w:ascii="Calibri"/>
          <w:sz w:val="18"/>
        </w:rPr>
        <w:t>139,</w:t>
      </w:r>
      <w:r>
        <w:rPr>
          <w:rFonts w:ascii="Calibri"/>
          <w:spacing w:val="-4"/>
          <w:sz w:val="18"/>
        </w:rPr>
        <w:t> 206,</w:t>
      </w:r>
    </w:p>
    <w:p>
      <w:pPr>
        <w:spacing w:before="0"/>
        <w:ind w:left="719" w:right="0" w:firstLine="0"/>
        <w:jc w:val="left"/>
        <w:rPr>
          <w:rFonts w:ascii="Calibri"/>
          <w:sz w:val="18"/>
        </w:rPr>
      </w:pPr>
      <w:r>
        <w:rPr>
          <w:rFonts w:ascii="Calibri"/>
          <w:sz w:val="18"/>
        </w:rPr>
        <w:t>210,</w:t>
      </w:r>
      <w:r>
        <w:rPr>
          <w:rFonts w:ascii="Calibri"/>
          <w:spacing w:val="-4"/>
          <w:sz w:val="18"/>
        </w:rPr>
        <w:t> </w:t>
      </w:r>
      <w:r>
        <w:rPr>
          <w:rFonts w:ascii="Calibri"/>
          <w:sz w:val="18"/>
        </w:rPr>
        <w:t>250,</w:t>
      </w:r>
      <w:r>
        <w:rPr>
          <w:rFonts w:ascii="Calibri"/>
          <w:spacing w:val="-3"/>
          <w:sz w:val="18"/>
        </w:rPr>
        <w:t> </w:t>
      </w:r>
      <w:r>
        <w:rPr>
          <w:rFonts w:ascii="Calibri"/>
          <w:spacing w:val="-5"/>
          <w:sz w:val="18"/>
        </w:rPr>
        <w:t>285</w:t>
      </w:r>
    </w:p>
    <w:p>
      <w:pPr>
        <w:spacing w:before="109"/>
        <w:ind w:left="496" w:right="136" w:firstLine="0"/>
        <w:jc w:val="center"/>
        <w:rPr>
          <w:rFonts w:ascii="Calibri"/>
          <w:sz w:val="26"/>
        </w:rPr>
      </w:pPr>
      <w:r>
        <w:rPr/>
        <w:br w:type="column"/>
      </w:r>
      <w:r>
        <w:rPr>
          <w:rFonts w:ascii="Calibri"/>
          <w:spacing w:val="-10"/>
          <w:w w:val="105"/>
          <w:sz w:val="26"/>
        </w:rPr>
        <w:t>P</w:t>
      </w:r>
    </w:p>
    <w:p>
      <w:pPr>
        <w:pStyle w:val="BodyText"/>
        <w:rPr>
          <w:rFonts w:ascii="Calibri"/>
          <w:sz w:val="23"/>
        </w:rPr>
      </w:pPr>
    </w:p>
    <w:p>
      <w:pPr>
        <w:spacing w:before="1"/>
        <w:ind w:left="0" w:right="164" w:firstLine="0"/>
        <w:jc w:val="right"/>
        <w:rPr>
          <w:rFonts w:ascii="Calibri"/>
          <w:sz w:val="18"/>
        </w:rPr>
      </w:pPr>
      <w:r>
        <w:rPr>
          <w:rFonts w:ascii="Calibri"/>
          <w:sz w:val="18"/>
        </w:rPr>
        <w:t>pivot</w:t>
      </w:r>
      <w:r>
        <w:rPr>
          <w:rFonts w:ascii="Calibri"/>
          <w:spacing w:val="-3"/>
          <w:sz w:val="18"/>
        </w:rPr>
        <w:t> </w:t>
      </w:r>
      <w:r>
        <w:rPr>
          <w:rFonts w:ascii="Calibri"/>
          <w:sz w:val="18"/>
        </w:rPr>
        <w:t>range,</w:t>
      </w:r>
      <w:r>
        <w:rPr>
          <w:rFonts w:ascii="Calibri"/>
          <w:spacing w:val="-2"/>
          <w:sz w:val="18"/>
        </w:rPr>
        <w:t> </w:t>
      </w:r>
      <w:r>
        <w:rPr>
          <w:rFonts w:ascii="Calibri"/>
          <w:sz w:val="18"/>
        </w:rPr>
        <w:t>114,</w:t>
      </w:r>
      <w:r>
        <w:rPr>
          <w:rFonts w:ascii="Calibri"/>
          <w:spacing w:val="-2"/>
          <w:sz w:val="18"/>
        </w:rPr>
        <w:t> </w:t>
      </w:r>
      <w:r>
        <w:rPr>
          <w:rFonts w:ascii="Calibri"/>
          <w:sz w:val="18"/>
        </w:rPr>
        <w:t>120,</w:t>
      </w:r>
      <w:r>
        <w:rPr>
          <w:rFonts w:ascii="Calibri"/>
          <w:spacing w:val="-3"/>
          <w:sz w:val="18"/>
        </w:rPr>
        <w:t> </w:t>
      </w:r>
      <w:r>
        <w:rPr>
          <w:rFonts w:ascii="Calibri"/>
          <w:sz w:val="18"/>
        </w:rPr>
        <w:t>124,</w:t>
      </w:r>
      <w:r>
        <w:rPr>
          <w:rFonts w:ascii="Calibri"/>
          <w:spacing w:val="-2"/>
          <w:sz w:val="18"/>
        </w:rPr>
        <w:t> </w:t>
      </w:r>
      <w:r>
        <w:rPr>
          <w:rFonts w:ascii="Calibri"/>
          <w:sz w:val="18"/>
        </w:rPr>
        <w:t>125,</w:t>
      </w:r>
      <w:r>
        <w:rPr>
          <w:rFonts w:ascii="Calibri"/>
          <w:spacing w:val="-2"/>
          <w:sz w:val="18"/>
        </w:rPr>
        <w:t> </w:t>
      </w:r>
      <w:r>
        <w:rPr>
          <w:rFonts w:ascii="Calibri"/>
          <w:sz w:val="18"/>
        </w:rPr>
        <w:t>126,</w:t>
      </w:r>
      <w:r>
        <w:rPr>
          <w:rFonts w:ascii="Calibri"/>
          <w:spacing w:val="-2"/>
          <w:sz w:val="18"/>
        </w:rPr>
        <w:t> </w:t>
      </w:r>
      <w:r>
        <w:rPr>
          <w:rFonts w:ascii="Calibri"/>
          <w:spacing w:val="-4"/>
          <w:sz w:val="18"/>
        </w:rPr>
        <w:t>127,</w:t>
      </w:r>
    </w:p>
    <w:p>
      <w:pPr>
        <w:spacing w:before="0"/>
        <w:ind w:left="0" w:right="144" w:firstLine="0"/>
        <w:jc w:val="right"/>
        <w:rPr>
          <w:rFonts w:ascii="Calibri"/>
          <w:sz w:val="18"/>
        </w:rPr>
      </w:pPr>
      <w:r>
        <w:rPr>
          <w:rFonts w:ascii="Calibri"/>
          <w:sz w:val="18"/>
        </w:rPr>
        <w:t>128,</w:t>
      </w:r>
      <w:r>
        <w:rPr>
          <w:rFonts w:ascii="Calibri"/>
          <w:spacing w:val="-3"/>
          <w:sz w:val="18"/>
        </w:rPr>
        <w:t> </w:t>
      </w:r>
      <w:r>
        <w:rPr>
          <w:rFonts w:ascii="Calibri"/>
          <w:sz w:val="18"/>
        </w:rPr>
        <w:t>129,</w:t>
      </w:r>
      <w:r>
        <w:rPr>
          <w:rFonts w:ascii="Calibri"/>
          <w:spacing w:val="-2"/>
          <w:sz w:val="18"/>
        </w:rPr>
        <w:t> </w:t>
      </w:r>
      <w:r>
        <w:rPr>
          <w:rFonts w:ascii="Calibri"/>
          <w:sz w:val="18"/>
        </w:rPr>
        <w:t>130,</w:t>
      </w:r>
      <w:r>
        <w:rPr>
          <w:rFonts w:ascii="Calibri"/>
          <w:spacing w:val="-3"/>
          <w:sz w:val="18"/>
        </w:rPr>
        <w:t> </w:t>
      </w:r>
      <w:r>
        <w:rPr>
          <w:rFonts w:ascii="Calibri"/>
          <w:sz w:val="18"/>
        </w:rPr>
        <w:t>134,</w:t>
      </w:r>
      <w:r>
        <w:rPr>
          <w:rFonts w:ascii="Calibri"/>
          <w:spacing w:val="-2"/>
          <w:sz w:val="18"/>
        </w:rPr>
        <w:t> </w:t>
      </w:r>
      <w:r>
        <w:rPr>
          <w:rFonts w:ascii="Calibri"/>
          <w:sz w:val="18"/>
        </w:rPr>
        <w:t>135,</w:t>
      </w:r>
      <w:r>
        <w:rPr>
          <w:rFonts w:ascii="Calibri"/>
          <w:spacing w:val="-3"/>
          <w:sz w:val="18"/>
        </w:rPr>
        <w:t> </w:t>
      </w:r>
      <w:r>
        <w:rPr>
          <w:rFonts w:ascii="Calibri"/>
          <w:sz w:val="18"/>
        </w:rPr>
        <w:t>136,</w:t>
      </w:r>
      <w:r>
        <w:rPr>
          <w:rFonts w:ascii="Calibri"/>
          <w:spacing w:val="-2"/>
          <w:sz w:val="18"/>
        </w:rPr>
        <w:t> </w:t>
      </w:r>
      <w:r>
        <w:rPr>
          <w:rFonts w:ascii="Calibri"/>
          <w:sz w:val="18"/>
        </w:rPr>
        <w:t>137,</w:t>
      </w:r>
      <w:r>
        <w:rPr>
          <w:rFonts w:ascii="Calibri"/>
          <w:spacing w:val="-3"/>
          <w:sz w:val="18"/>
        </w:rPr>
        <w:t> </w:t>
      </w:r>
      <w:r>
        <w:rPr>
          <w:rFonts w:ascii="Calibri"/>
          <w:spacing w:val="-4"/>
          <w:sz w:val="18"/>
        </w:rPr>
        <w:t>138,</w:t>
      </w:r>
    </w:p>
    <w:p>
      <w:pPr>
        <w:spacing w:before="0"/>
        <w:ind w:left="0" w:right="144" w:firstLine="0"/>
        <w:jc w:val="right"/>
        <w:rPr>
          <w:rFonts w:ascii="Calibri"/>
          <w:sz w:val="18"/>
        </w:rPr>
      </w:pPr>
      <w:r>
        <w:rPr>
          <w:rFonts w:ascii="Calibri"/>
          <w:sz w:val="18"/>
        </w:rPr>
        <w:t>139,</w:t>
      </w:r>
      <w:r>
        <w:rPr>
          <w:rFonts w:ascii="Calibri"/>
          <w:spacing w:val="-3"/>
          <w:sz w:val="18"/>
        </w:rPr>
        <w:t> </w:t>
      </w:r>
      <w:r>
        <w:rPr>
          <w:rFonts w:ascii="Calibri"/>
          <w:sz w:val="18"/>
        </w:rPr>
        <w:t>140,</w:t>
      </w:r>
      <w:r>
        <w:rPr>
          <w:rFonts w:ascii="Calibri"/>
          <w:spacing w:val="-2"/>
          <w:sz w:val="18"/>
        </w:rPr>
        <w:t> </w:t>
      </w:r>
      <w:r>
        <w:rPr>
          <w:rFonts w:ascii="Calibri"/>
          <w:sz w:val="18"/>
        </w:rPr>
        <w:t>141,</w:t>
      </w:r>
      <w:r>
        <w:rPr>
          <w:rFonts w:ascii="Calibri"/>
          <w:spacing w:val="-3"/>
          <w:sz w:val="18"/>
        </w:rPr>
        <w:t> </w:t>
      </w:r>
      <w:r>
        <w:rPr>
          <w:rFonts w:ascii="Calibri"/>
          <w:sz w:val="18"/>
        </w:rPr>
        <w:t>142,</w:t>
      </w:r>
      <w:r>
        <w:rPr>
          <w:rFonts w:ascii="Calibri"/>
          <w:spacing w:val="-2"/>
          <w:sz w:val="18"/>
        </w:rPr>
        <w:t> </w:t>
      </w:r>
      <w:r>
        <w:rPr>
          <w:rFonts w:ascii="Calibri"/>
          <w:sz w:val="18"/>
        </w:rPr>
        <w:t>143,</w:t>
      </w:r>
      <w:r>
        <w:rPr>
          <w:rFonts w:ascii="Calibri"/>
          <w:spacing w:val="-3"/>
          <w:sz w:val="18"/>
        </w:rPr>
        <w:t> </w:t>
      </w:r>
      <w:r>
        <w:rPr>
          <w:rFonts w:ascii="Calibri"/>
          <w:sz w:val="18"/>
        </w:rPr>
        <w:t>144,</w:t>
      </w:r>
      <w:r>
        <w:rPr>
          <w:rFonts w:ascii="Calibri"/>
          <w:spacing w:val="-2"/>
          <w:sz w:val="18"/>
        </w:rPr>
        <w:t> </w:t>
      </w:r>
      <w:r>
        <w:rPr>
          <w:rFonts w:ascii="Calibri"/>
          <w:sz w:val="18"/>
        </w:rPr>
        <w:t>145,</w:t>
      </w:r>
      <w:r>
        <w:rPr>
          <w:rFonts w:ascii="Calibri"/>
          <w:spacing w:val="-3"/>
          <w:sz w:val="18"/>
        </w:rPr>
        <w:t> </w:t>
      </w:r>
      <w:r>
        <w:rPr>
          <w:rFonts w:ascii="Calibri"/>
          <w:spacing w:val="-4"/>
          <w:sz w:val="18"/>
        </w:rPr>
        <w:t>146,</w:t>
      </w:r>
    </w:p>
    <w:p>
      <w:pPr>
        <w:spacing w:before="0"/>
        <w:ind w:left="0" w:right="144" w:firstLine="0"/>
        <w:jc w:val="right"/>
        <w:rPr>
          <w:rFonts w:ascii="Calibri"/>
          <w:sz w:val="18"/>
        </w:rPr>
      </w:pPr>
      <w:r>
        <w:rPr>
          <w:rFonts w:ascii="Calibri"/>
          <w:sz w:val="18"/>
        </w:rPr>
        <w:t>147,</w:t>
      </w:r>
      <w:r>
        <w:rPr>
          <w:rFonts w:ascii="Calibri"/>
          <w:spacing w:val="-3"/>
          <w:sz w:val="18"/>
        </w:rPr>
        <w:t> </w:t>
      </w:r>
      <w:r>
        <w:rPr>
          <w:rFonts w:ascii="Calibri"/>
          <w:sz w:val="18"/>
        </w:rPr>
        <w:t>148,</w:t>
      </w:r>
      <w:r>
        <w:rPr>
          <w:rFonts w:ascii="Calibri"/>
          <w:spacing w:val="-2"/>
          <w:sz w:val="18"/>
        </w:rPr>
        <w:t> </w:t>
      </w:r>
      <w:r>
        <w:rPr>
          <w:rFonts w:ascii="Calibri"/>
          <w:sz w:val="18"/>
        </w:rPr>
        <w:t>149,</w:t>
      </w:r>
      <w:r>
        <w:rPr>
          <w:rFonts w:ascii="Calibri"/>
          <w:spacing w:val="-3"/>
          <w:sz w:val="18"/>
        </w:rPr>
        <w:t> </w:t>
      </w:r>
      <w:r>
        <w:rPr>
          <w:rFonts w:ascii="Calibri"/>
          <w:sz w:val="18"/>
        </w:rPr>
        <w:t>150,</w:t>
      </w:r>
      <w:r>
        <w:rPr>
          <w:rFonts w:ascii="Calibri"/>
          <w:spacing w:val="-2"/>
          <w:sz w:val="18"/>
        </w:rPr>
        <w:t> </w:t>
      </w:r>
      <w:r>
        <w:rPr>
          <w:rFonts w:ascii="Calibri"/>
          <w:sz w:val="18"/>
        </w:rPr>
        <w:t>151,</w:t>
      </w:r>
      <w:r>
        <w:rPr>
          <w:rFonts w:ascii="Calibri"/>
          <w:spacing w:val="-3"/>
          <w:sz w:val="18"/>
        </w:rPr>
        <w:t> </w:t>
      </w:r>
      <w:r>
        <w:rPr>
          <w:rFonts w:ascii="Calibri"/>
          <w:sz w:val="18"/>
        </w:rPr>
        <w:t>152,</w:t>
      </w:r>
      <w:r>
        <w:rPr>
          <w:rFonts w:ascii="Calibri"/>
          <w:spacing w:val="-2"/>
          <w:sz w:val="18"/>
        </w:rPr>
        <w:t> </w:t>
      </w:r>
      <w:r>
        <w:rPr>
          <w:rFonts w:ascii="Calibri"/>
          <w:sz w:val="18"/>
        </w:rPr>
        <w:t>154,</w:t>
      </w:r>
      <w:r>
        <w:rPr>
          <w:rFonts w:ascii="Calibri"/>
          <w:spacing w:val="-3"/>
          <w:sz w:val="18"/>
        </w:rPr>
        <w:t> </w:t>
      </w:r>
      <w:r>
        <w:rPr>
          <w:rFonts w:ascii="Calibri"/>
          <w:spacing w:val="-4"/>
          <w:sz w:val="18"/>
        </w:rPr>
        <w:t>155,</w:t>
      </w:r>
    </w:p>
    <w:p>
      <w:pPr>
        <w:spacing w:before="0"/>
        <w:ind w:left="0" w:right="144" w:firstLine="0"/>
        <w:jc w:val="right"/>
        <w:rPr>
          <w:rFonts w:ascii="Calibri"/>
          <w:sz w:val="18"/>
        </w:rPr>
      </w:pPr>
      <w:r>
        <w:rPr>
          <w:rFonts w:ascii="Calibri"/>
          <w:sz w:val="18"/>
        </w:rPr>
        <w:t>156,</w:t>
      </w:r>
      <w:r>
        <w:rPr>
          <w:rFonts w:ascii="Calibri"/>
          <w:spacing w:val="-3"/>
          <w:sz w:val="18"/>
        </w:rPr>
        <w:t> </w:t>
      </w:r>
      <w:r>
        <w:rPr>
          <w:rFonts w:ascii="Calibri"/>
          <w:sz w:val="18"/>
        </w:rPr>
        <w:t>157,</w:t>
      </w:r>
      <w:r>
        <w:rPr>
          <w:rFonts w:ascii="Calibri"/>
          <w:spacing w:val="-2"/>
          <w:sz w:val="18"/>
        </w:rPr>
        <w:t> </w:t>
      </w:r>
      <w:r>
        <w:rPr>
          <w:rFonts w:ascii="Calibri"/>
          <w:sz w:val="18"/>
        </w:rPr>
        <w:t>158,</w:t>
      </w:r>
      <w:r>
        <w:rPr>
          <w:rFonts w:ascii="Calibri"/>
          <w:spacing w:val="-3"/>
          <w:sz w:val="18"/>
        </w:rPr>
        <w:t> </w:t>
      </w:r>
      <w:r>
        <w:rPr>
          <w:rFonts w:ascii="Calibri"/>
          <w:sz w:val="18"/>
        </w:rPr>
        <w:t>159,</w:t>
      </w:r>
      <w:r>
        <w:rPr>
          <w:rFonts w:ascii="Calibri"/>
          <w:spacing w:val="-2"/>
          <w:sz w:val="18"/>
        </w:rPr>
        <w:t> </w:t>
      </w:r>
      <w:r>
        <w:rPr>
          <w:rFonts w:ascii="Calibri"/>
          <w:sz w:val="18"/>
        </w:rPr>
        <w:t>160,</w:t>
      </w:r>
      <w:r>
        <w:rPr>
          <w:rFonts w:ascii="Calibri"/>
          <w:spacing w:val="-3"/>
          <w:sz w:val="18"/>
        </w:rPr>
        <w:t> </w:t>
      </w:r>
      <w:r>
        <w:rPr>
          <w:rFonts w:ascii="Calibri"/>
          <w:sz w:val="18"/>
        </w:rPr>
        <w:t>161,</w:t>
      </w:r>
      <w:r>
        <w:rPr>
          <w:rFonts w:ascii="Calibri"/>
          <w:spacing w:val="-2"/>
          <w:sz w:val="18"/>
        </w:rPr>
        <w:t> </w:t>
      </w:r>
      <w:r>
        <w:rPr>
          <w:rFonts w:ascii="Calibri"/>
          <w:sz w:val="18"/>
        </w:rPr>
        <w:t>162,</w:t>
      </w:r>
      <w:r>
        <w:rPr>
          <w:rFonts w:ascii="Calibri"/>
          <w:spacing w:val="-3"/>
          <w:sz w:val="18"/>
        </w:rPr>
        <w:t> </w:t>
      </w:r>
      <w:r>
        <w:rPr>
          <w:rFonts w:ascii="Calibri"/>
          <w:spacing w:val="-4"/>
          <w:sz w:val="18"/>
        </w:rPr>
        <w:t>163,</w:t>
      </w:r>
    </w:p>
    <w:p>
      <w:pPr>
        <w:spacing w:before="0"/>
        <w:ind w:left="0" w:right="144" w:firstLine="0"/>
        <w:jc w:val="right"/>
        <w:rPr>
          <w:rFonts w:ascii="Calibri"/>
          <w:sz w:val="18"/>
        </w:rPr>
      </w:pPr>
      <w:r>
        <w:rPr>
          <w:rFonts w:ascii="Calibri"/>
          <w:sz w:val="18"/>
        </w:rPr>
        <w:t>164,</w:t>
      </w:r>
      <w:r>
        <w:rPr>
          <w:rFonts w:ascii="Calibri"/>
          <w:spacing w:val="-3"/>
          <w:sz w:val="18"/>
        </w:rPr>
        <w:t> </w:t>
      </w:r>
      <w:r>
        <w:rPr>
          <w:rFonts w:ascii="Calibri"/>
          <w:sz w:val="18"/>
        </w:rPr>
        <w:t>166,</w:t>
      </w:r>
      <w:r>
        <w:rPr>
          <w:rFonts w:ascii="Calibri"/>
          <w:spacing w:val="-2"/>
          <w:sz w:val="18"/>
        </w:rPr>
        <w:t> </w:t>
      </w:r>
      <w:r>
        <w:rPr>
          <w:rFonts w:ascii="Calibri"/>
          <w:sz w:val="18"/>
        </w:rPr>
        <w:t>167,</w:t>
      </w:r>
      <w:r>
        <w:rPr>
          <w:rFonts w:ascii="Calibri"/>
          <w:spacing w:val="-3"/>
          <w:sz w:val="18"/>
        </w:rPr>
        <w:t> </w:t>
      </w:r>
      <w:r>
        <w:rPr>
          <w:rFonts w:ascii="Calibri"/>
          <w:sz w:val="18"/>
        </w:rPr>
        <w:t>168,</w:t>
      </w:r>
      <w:r>
        <w:rPr>
          <w:rFonts w:ascii="Calibri"/>
          <w:spacing w:val="-2"/>
          <w:sz w:val="18"/>
        </w:rPr>
        <w:t> </w:t>
      </w:r>
      <w:r>
        <w:rPr>
          <w:rFonts w:ascii="Calibri"/>
          <w:sz w:val="18"/>
        </w:rPr>
        <w:t>169,</w:t>
      </w:r>
      <w:r>
        <w:rPr>
          <w:rFonts w:ascii="Calibri"/>
          <w:spacing w:val="-3"/>
          <w:sz w:val="18"/>
        </w:rPr>
        <w:t> </w:t>
      </w:r>
      <w:r>
        <w:rPr>
          <w:rFonts w:ascii="Calibri"/>
          <w:sz w:val="18"/>
        </w:rPr>
        <w:t>170,</w:t>
      </w:r>
      <w:r>
        <w:rPr>
          <w:rFonts w:ascii="Calibri"/>
          <w:spacing w:val="-2"/>
          <w:sz w:val="18"/>
        </w:rPr>
        <w:t> </w:t>
      </w:r>
      <w:r>
        <w:rPr>
          <w:rFonts w:ascii="Calibri"/>
          <w:sz w:val="18"/>
        </w:rPr>
        <w:t>171,</w:t>
      </w:r>
      <w:r>
        <w:rPr>
          <w:rFonts w:ascii="Calibri"/>
          <w:spacing w:val="-3"/>
          <w:sz w:val="18"/>
        </w:rPr>
        <w:t> </w:t>
      </w:r>
      <w:r>
        <w:rPr>
          <w:rFonts w:ascii="Calibri"/>
          <w:spacing w:val="-4"/>
          <w:sz w:val="18"/>
        </w:rPr>
        <w:t>172,</w:t>
      </w:r>
    </w:p>
    <w:p>
      <w:pPr>
        <w:spacing w:before="0"/>
        <w:ind w:left="0" w:right="144" w:firstLine="0"/>
        <w:jc w:val="right"/>
        <w:rPr>
          <w:rFonts w:ascii="Calibri"/>
          <w:sz w:val="18"/>
        </w:rPr>
      </w:pPr>
      <w:r>
        <w:rPr>
          <w:rFonts w:ascii="Calibri"/>
          <w:sz w:val="18"/>
        </w:rPr>
        <w:t>173,</w:t>
      </w:r>
      <w:r>
        <w:rPr>
          <w:rFonts w:ascii="Calibri"/>
          <w:spacing w:val="-3"/>
          <w:sz w:val="18"/>
        </w:rPr>
        <w:t> </w:t>
      </w:r>
      <w:r>
        <w:rPr>
          <w:rFonts w:ascii="Calibri"/>
          <w:sz w:val="18"/>
        </w:rPr>
        <w:t>174,</w:t>
      </w:r>
      <w:r>
        <w:rPr>
          <w:rFonts w:ascii="Calibri"/>
          <w:spacing w:val="-2"/>
          <w:sz w:val="18"/>
        </w:rPr>
        <w:t> </w:t>
      </w:r>
      <w:r>
        <w:rPr>
          <w:rFonts w:ascii="Calibri"/>
          <w:sz w:val="18"/>
        </w:rPr>
        <w:t>175,</w:t>
      </w:r>
      <w:r>
        <w:rPr>
          <w:rFonts w:ascii="Calibri"/>
          <w:spacing w:val="-3"/>
          <w:sz w:val="18"/>
        </w:rPr>
        <w:t> </w:t>
      </w:r>
      <w:r>
        <w:rPr>
          <w:rFonts w:ascii="Calibri"/>
          <w:sz w:val="18"/>
        </w:rPr>
        <w:t>176,</w:t>
      </w:r>
      <w:r>
        <w:rPr>
          <w:rFonts w:ascii="Calibri"/>
          <w:spacing w:val="-2"/>
          <w:sz w:val="18"/>
        </w:rPr>
        <w:t> </w:t>
      </w:r>
      <w:r>
        <w:rPr>
          <w:rFonts w:ascii="Calibri"/>
          <w:sz w:val="18"/>
        </w:rPr>
        <w:t>179,</w:t>
      </w:r>
      <w:r>
        <w:rPr>
          <w:rFonts w:ascii="Calibri"/>
          <w:spacing w:val="-3"/>
          <w:sz w:val="18"/>
        </w:rPr>
        <w:t> </w:t>
      </w:r>
      <w:r>
        <w:rPr>
          <w:rFonts w:ascii="Calibri"/>
          <w:sz w:val="18"/>
        </w:rPr>
        <w:t>203,</w:t>
      </w:r>
      <w:r>
        <w:rPr>
          <w:rFonts w:ascii="Calibri"/>
          <w:spacing w:val="-2"/>
          <w:sz w:val="18"/>
        </w:rPr>
        <w:t> </w:t>
      </w:r>
      <w:r>
        <w:rPr>
          <w:rFonts w:ascii="Calibri"/>
          <w:sz w:val="18"/>
        </w:rPr>
        <w:t>204,</w:t>
      </w:r>
      <w:r>
        <w:rPr>
          <w:rFonts w:ascii="Calibri"/>
          <w:spacing w:val="-3"/>
          <w:sz w:val="18"/>
        </w:rPr>
        <w:t> </w:t>
      </w:r>
      <w:r>
        <w:rPr>
          <w:rFonts w:ascii="Calibri"/>
          <w:spacing w:val="-4"/>
          <w:sz w:val="18"/>
        </w:rPr>
        <w:t>206,</w:t>
      </w:r>
    </w:p>
    <w:p>
      <w:pPr>
        <w:spacing w:before="0"/>
        <w:ind w:left="0" w:right="144" w:firstLine="0"/>
        <w:jc w:val="right"/>
        <w:rPr>
          <w:rFonts w:ascii="Calibri"/>
          <w:sz w:val="18"/>
        </w:rPr>
      </w:pPr>
      <w:r>
        <w:rPr>
          <w:rFonts w:ascii="Calibri"/>
          <w:sz w:val="18"/>
        </w:rPr>
        <w:t>239,</w:t>
      </w:r>
      <w:r>
        <w:rPr>
          <w:rFonts w:ascii="Calibri"/>
          <w:spacing w:val="-3"/>
          <w:sz w:val="18"/>
        </w:rPr>
        <w:t> </w:t>
      </w:r>
      <w:r>
        <w:rPr>
          <w:rFonts w:ascii="Calibri"/>
          <w:sz w:val="18"/>
        </w:rPr>
        <w:t>243,</w:t>
      </w:r>
      <w:r>
        <w:rPr>
          <w:rFonts w:ascii="Calibri"/>
          <w:spacing w:val="-2"/>
          <w:sz w:val="18"/>
        </w:rPr>
        <w:t> </w:t>
      </w:r>
      <w:r>
        <w:rPr>
          <w:rFonts w:ascii="Calibri"/>
          <w:sz w:val="18"/>
        </w:rPr>
        <w:t>244,</w:t>
      </w:r>
      <w:r>
        <w:rPr>
          <w:rFonts w:ascii="Calibri"/>
          <w:spacing w:val="-3"/>
          <w:sz w:val="18"/>
        </w:rPr>
        <w:t> </w:t>
      </w:r>
      <w:r>
        <w:rPr>
          <w:rFonts w:ascii="Calibri"/>
          <w:sz w:val="18"/>
        </w:rPr>
        <w:t>250,</w:t>
      </w:r>
      <w:r>
        <w:rPr>
          <w:rFonts w:ascii="Calibri"/>
          <w:spacing w:val="-2"/>
          <w:sz w:val="18"/>
        </w:rPr>
        <w:t> </w:t>
      </w:r>
      <w:r>
        <w:rPr>
          <w:rFonts w:ascii="Calibri"/>
          <w:sz w:val="18"/>
        </w:rPr>
        <w:t>251,</w:t>
      </w:r>
      <w:r>
        <w:rPr>
          <w:rFonts w:ascii="Calibri"/>
          <w:spacing w:val="-3"/>
          <w:sz w:val="18"/>
        </w:rPr>
        <w:t> </w:t>
      </w:r>
      <w:r>
        <w:rPr>
          <w:rFonts w:ascii="Calibri"/>
          <w:sz w:val="18"/>
        </w:rPr>
        <w:t>252,</w:t>
      </w:r>
      <w:r>
        <w:rPr>
          <w:rFonts w:ascii="Calibri"/>
          <w:spacing w:val="-2"/>
          <w:sz w:val="18"/>
        </w:rPr>
        <w:t> </w:t>
      </w:r>
      <w:r>
        <w:rPr>
          <w:rFonts w:ascii="Calibri"/>
          <w:sz w:val="18"/>
        </w:rPr>
        <w:t>255,</w:t>
      </w:r>
      <w:r>
        <w:rPr>
          <w:rFonts w:ascii="Calibri"/>
          <w:spacing w:val="-3"/>
          <w:sz w:val="18"/>
        </w:rPr>
        <w:t> </w:t>
      </w:r>
      <w:r>
        <w:rPr>
          <w:rFonts w:ascii="Calibri"/>
          <w:spacing w:val="-4"/>
          <w:sz w:val="18"/>
        </w:rPr>
        <w:t>256,</w:t>
      </w:r>
    </w:p>
    <w:p>
      <w:pPr>
        <w:spacing w:before="0"/>
        <w:ind w:left="0" w:right="144" w:firstLine="0"/>
        <w:jc w:val="right"/>
        <w:rPr>
          <w:rFonts w:ascii="Calibri"/>
          <w:sz w:val="18"/>
        </w:rPr>
      </w:pPr>
      <w:r>
        <w:rPr>
          <w:rFonts w:ascii="Calibri"/>
          <w:sz w:val="18"/>
        </w:rPr>
        <w:t>257,</w:t>
      </w:r>
      <w:r>
        <w:rPr>
          <w:rFonts w:ascii="Calibri"/>
          <w:spacing w:val="-3"/>
          <w:sz w:val="18"/>
        </w:rPr>
        <w:t> </w:t>
      </w:r>
      <w:r>
        <w:rPr>
          <w:rFonts w:ascii="Calibri"/>
          <w:sz w:val="18"/>
        </w:rPr>
        <w:t>261,</w:t>
      </w:r>
      <w:r>
        <w:rPr>
          <w:rFonts w:ascii="Calibri"/>
          <w:spacing w:val="-2"/>
          <w:sz w:val="18"/>
        </w:rPr>
        <w:t> </w:t>
      </w:r>
      <w:r>
        <w:rPr>
          <w:rFonts w:ascii="Calibri"/>
          <w:sz w:val="18"/>
        </w:rPr>
        <w:t>266,</w:t>
      </w:r>
      <w:r>
        <w:rPr>
          <w:rFonts w:ascii="Calibri"/>
          <w:spacing w:val="-3"/>
          <w:sz w:val="18"/>
        </w:rPr>
        <w:t> </w:t>
      </w:r>
      <w:r>
        <w:rPr>
          <w:rFonts w:ascii="Calibri"/>
          <w:sz w:val="18"/>
        </w:rPr>
        <w:t>267,</w:t>
      </w:r>
      <w:r>
        <w:rPr>
          <w:rFonts w:ascii="Calibri"/>
          <w:spacing w:val="-2"/>
          <w:sz w:val="18"/>
        </w:rPr>
        <w:t> </w:t>
      </w:r>
      <w:r>
        <w:rPr>
          <w:rFonts w:ascii="Calibri"/>
          <w:sz w:val="18"/>
        </w:rPr>
        <w:t>268,</w:t>
      </w:r>
      <w:r>
        <w:rPr>
          <w:rFonts w:ascii="Calibri"/>
          <w:spacing w:val="-3"/>
          <w:sz w:val="18"/>
        </w:rPr>
        <w:t> </w:t>
      </w:r>
      <w:r>
        <w:rPr>
          <w:rFonts w:ascii="Calibri"/>
          <w:sz w:val="18"/>
        </w:rPr>
        <w:t>269,</w:t>
      </w:r>
      <w:r>
        <w:rPr>
          <w:rFonts w:ascii="Calibri"/>
          <w:spacing w:val="-2"/>
          <w:sz w:val="18"/>
        </w:rPr>
        <w:t> </w:t>
      </w:r>
      <w:r>
        <w:rPr>
          <w:rFonts w:ascii="Calibri"/>
          <w:sz w:val="18"/>
        </w:rPr>
        <w:t>270,</w:t>
      </w:r>
      <w:r>
        <w:rPr>
          <w:rFonts w:ascii="Calibri"/>
          <w:spacing w:val="-3"/>
          <w:sz w:val="18"/>
        </w:rPr>
        <w:t> </w:t>
      </w:r>
      <w:r>
        <w:rPr>
          <w:rFonts w:ascii="Calibri"/>
          <w:spacing w:val="-4"/>
          <w:sz w:val="18"/>
        </w:rPr>
        <w:t>272,</w:t>
      </w:r>
    </w:p>
    <w:p>
      <w:pPr>
        <w:spacing w:before="0"/>
        <w:ind w:left="719" w:right="0" w:firstLine="0"/>
        <w:jc w:val="left"/>
        <w:rPr>
          <w:rFonts w:ascii="Calibri"/>
          <w:sz w:val="18"/>
        </w:rPr>
      </w:pPr>
      <w:r>
        <w:rPr>
          <w:rFonts w:ascii="Calibri"/>
          <w:sz w:val="18"/>
        </w:rPr>
        <w:t>280,</w:t>
      </w:r>
      <w:r>
        <w:rPr>
          <w:rFonts w:ascii="Calibri"/>
          <w:spacing w:val="-4"/>
          <w:sz w:val="18"/>
        </w:rPr>
        <w:t> </w:t>
      </w:r>
      <w:r>
        <w:rPr>
          <w:rFonts w:ascii="Calibri"/>
          <w:sz w:val="18"/>
        </w:rPr>
        <w:t>291,</w:t>
      </w:r>
      <w:r>
        <w:rPr>
          <w:rFonts w:ascii="Calibri"/>
          <w:spacing w:val="-3"/>
          <w:sz w:val="18"/>
        </w:rPr>
        <w:t> </w:t>
      </w:r>
      <w:r>
        <w:rPr>
          <w:rFonts w:ascii="Calibri"/>
          <w:spacing w:val="-5"/>
          <w:sz w:val="18"/>
        </w:rPr>
        <w:t>309</w:t>
      </w:r>
    </w:p>
    <w:p>
      <w:pPr>
        <w:pStyle w:val="BodyText"/>
        <w:spacing w:before="10"/>
        <w:rPr>
          <w:rFonts w:ascii="Calibri"/>
        </w:rPr>
      </w:pPr>
    </w:p>
    <w:p>
      <w:pPr>
        <w:spacing w:before="0"/>
        <w:ind w:left="500" w:right="0" w:firstLine="0"/>
        <w:jc w:val="left"/>
        <w:rPr>
          <w:rFonts w:ascii="Calibri"/>
          <w:sz w:val="18"/>
        </w:rPr>
      </w:pPr>
      <w:r>
        <w:rPr>
          <w:rFonts w:ascii="Calibri"/>
          <w:sz w:val="18"/>
        </w:rPr>
        <w:t>Pivot</w:t>
      </w:r>
      <w:r>
        <w:rPr>
          <w:rFonts w:ascii="Calibri"/>
          <w:spacing w:val="-7"/>
          <w:sz w:val="18"/>
        </w:rPr>
        <w:t> </w:t>
      </w:r>
      <w:r>
        <w:rPr>
          <w:rFonts w:ascii="Calibri"/>
          <w:sz w:val="18"/>
        </w:rPr>
        <w:t>Range</w:t>
      </w:r>
      <w:r>
        <w:rPr>
          <w:rFonts w:ascii="Calibri"/>
          <w:spacing w:val="-6"/>
          <w:sz w:val="18"/>
        </w:rPr>
        <w:t> </w:t>
      </w:r>
      <w:r>
        <w:rPr>
          <w:rFonts w:ascii="Calibri"/>
          <w:sz w:val="18"/>
        </w:rPr>
        <w:t>Histogram,</w:t>
      </w:r>
      <w:r>
        <w:rPr>
          <w:rFonts w:ascii="Calibri"/>
          <w:spacing w:val="-7"/>
          <w:sz w:val="18"/>
        </w:rPr>
        <w:t> </w:t>
      </w:r>
      <w:r>
        <w:rPr>
          <w:rFonts w:ascii="Calibri"/>
          <w:sz w:val="18"/>
        </w:rPr>
        <w:t>164,</w:t>
      </w:r>
      <w:r>
        <w:rPr>
          <w:rFonts w:ascii="Calibri"/>
          <w:spacing w:val="-6"/>
          <w:sz w:val="18"/>
        </w:rPr>
        <w:t> </w:t>
      </w:r>
      <w:r>
        <w:rPr>
          <w:rFonts w:ascii="Calibri"/>
          <w:sz w:val="18"/>
        </w:rPr>
        <w:t>165,</w:t>
      </w:r>
      <w:r>
        <w:rPr>
          <w:rFonts w:ascii="Calibri"/>
          <w:spacing w:val="-7"/>
          <w:sz w:val="18"/>
        </w:rPr>
        <w:t> </w:t>
      </w:r>
      <w:r>
        <w:rPr>
          <w:rFonts w:ascii="Calibri"/>
          <w:spacing w:val="-4"/>
          <w:sz w:val="18"/>
        </w:rPr>
        <w:t>166,</w:t>
      </w:r>
    </w:p>
    <w:p>
      <w:pPr>
        <w:spacing w:before="0"/>
        <w:ind w:left="719" w:right="0" w:firstLine="0"/>
        <w:jc w:val="left"/>
        <w:rPr>
          <w:rFonts w:ascii="Calibri"/>
          <w:sz w:val="18"/>
        </w:rPr>
      </w:pPr>
      <w:r>
        <w:rPr>
          <w:rFonts w:ascii="Calibri"/>
          <w:spacing w:val="-5"/>
          <w:sz w:val="18"/>
        </w:rPr>
        <w:t>308</w:t>
      </w:r>
    </w:p>
    <w:p>
      <w:pPr>
        <w:pStyle w:val="BodyText"/>
        <w:rPr>
          <w:rFonts w:ascii="Calibri"/>
          <w:sz w:val="23"/>
        </w:rPr>
      </w:pPr>
    </w:p>
    <w:p>
      <w:pPr>
        <w:spacing w:before="0"/>
        <w:ind w:left="500" w:right="0" w:firstLine="0"/>
        <w:jc w:val="left"/>
        <w:rPr>
          <w:rFonts w:ascii="Calibri"/>
          <w:sz w:val="18"/>
        </w:rPr>
      </w:pPr>
      <w:r>
        <w:rPr>
          <w:rFonts w:ascii="Calibri"/>
          <w:sz w:val="18"/>
        </w:rPr>
        <w:t>pivot</w:t>
      </w:r>
      <w:r>
        <w:rPr>
          <w:rFonts w:ascii="Calibri"/>
          <w:spacing w:val="-4"/>
          <w:sz w:val="18"/>
        </w:rPr>
        <w:t> </w:t>
      </w:r>
      <w:r>
        <w:rPr>
          <w:rFonts w:ascii="Calibri"/>
          <w:sz w:val="18"/>
        </w:rPr>
        <w:t>width,</w:t>
      </w:r>
      <w:r>
        <w:rPr>
          <w:rFonts w:ascii="Calibri"/>
          <w:spacing w:val="-3"/>
          <w:sz w:val="18"/>
        </w:rPr>
        <w:t> </w:t>
      </w:r>
      <w:r>
        <w:rPr>
          <w:rFonts w:ascii="Calibri"/>
          <w:sz w:val="18"/>
        </w:rPr>
        <w:t>11,</w:t>
      </w:r>
      <w:r>
        <w:rPr>
          <w:rFonts w:ascii="Calibri"/>
          <w:spacing w:val="-4"/>
          <w:sz w:val="18"/>
        </w:rPr>
        <w:t> </w:t>
      </w:r>
      <w:r>
        <w:rPr>
          <w:rFonts w:ascii="Calibri"/>
          <w:sz w:val="18"/>
        </w:rPr>
        <w:t>153,</w:t>
      </w:r>
      <w:r>
        <w:rPr>
          <w:rFonts w:ascii="Calibri"/>
          <w:spacing w:val="-3"/>
          <w:sz w:val="18"/>
        </w:rPr>
        <w:t> </w:t>
      </w:r>
      <w:r>
        <w:rPr>
          <w:rFonts w:ascii="Calibri"/>
          <w:sz w:val="18"/>
        </w:rPr>
        <w:t>154,</w:t>
      </w:r>
      <w:r>
        <w:rPr>
          <w:rFonts w:ascii="Calibri"/>
          <w:spacing w:val="-4"/>
          <w:sz w:val="18"/>
        </w:rPr>
        <w:t> </w:t>
      </w:r>
      <w:r>
        <w:rPr>
          <w:rFonts w:ascii="Calibri"/>
          <w:sz w:val="18"/>
        </w:rPr>
        <w:t>179,</w:t>
      </w:r>
      <w:r>
        <w:rPr>
          <w:rFonts w:ascii="Calibri"/>
          <w:spacing w:val="-3"/>
          <w:sz w:val="18"/>
        </w:rPr>
        <w:t> </w:t>
      </w:r>
      <w:r>
        <w:rPr>
          <w:rFonts w:ascii="Calibri"/>
          <w:sz w:val="18"/>
        </w:rPr>
        <w:t>202,</w:t>
      </w:r>
      <w:r>
        <w:rPr>
          <w:rFonts w:ascii="Calibri"/>
          <w:spacing w:val="-4"/>
          <w:sz w:val="18"/>
        </w:rPr>
        <w:t> 203,</w:t>
      </w:r>
    </w:p>
    <w:p>
      <w:pPr>
        <w:spacing w:before="0"/>
        <w:ind w:left="719" w:right="0" w:firstLine="0"/>
        <w:jc w:val="left"/>
        <w:rPr>
          <w:rFonts w:ascii="Calibri"/>
          <w:sz w:val="18"/>
        </w:rPr>
      </w:pPr>
      <w:r>
        <w:rPr>
          <w:rFonts w:ascii="Calibri"/>
          <w:sz w:val="18"/>
        </w:rPr>
        <w:t>204,</w:t>
      </w:r>
      <w:r>
        <w:rPr>
          <w:rFonts w:ascii="Calibri"/>
          <w:spacing w:val="-3"/>
          <w:sz w:val="18"/>
        </w:rPr>
        <w:t> </w:t>
      </w:r>
      <w:r>
        <w:rPr>
          <w:rFonts w:ascii="Calibri"/>
          <w:sz w:val="18"/>
        </w:rPr>
        <w:t>205,</w:t>
      </w:r>
      <w:r>
        <w:rPr>
          <w:rFonts w:ascii="Calibri"/>
          <w:spacing w:val="-2"/>
          <w:sz w:val="18"/>
        </w:rPr>
        <w:t> </w:t>
      </w:r>
      <w:r>
        <w:rPr>
          <w:rFonts w:ascii="Calibri"/>
          <w:sz w:val="18"/>
        </w:rPr>
        <w:t>215,</w:t>
      </w:r>
      <w:r>
        <w:rPr>
          <w:rFonts w:ascii="Calibri"/>
          <w:spacing w:val="-3"/>
          <w:sz w:val="18"/>
        </w:rPr>
        <w:t> </w:t>
      </w:r>
      <w:r>
        <w:rPr>
          <w:rFonts w:ascii="Calibri"/>
          <w:sz w:val="18"/>
        </w:rPr>
        <w:t>218,</w:t>
      </w:r>
      <w:r>
        <w:rPr>
          <w:rFonts w:ascii="Calibri"/>
          <w:spacing w:val="-2"/>
          <w:sz w:val="18"/>
        </w:rPr>
        <w:t> </w:t>
      </w:r>
      <w:r>
        <w:rPr>
          <w:rFonts w:ascii="Calibri"/>
          <w:sz w:val="18"/>
        </w:rPr>
        <w:t>222,</w:t>
      </w:r>
      <w:r>
        <w:rPr>
          <w:rFonts w:ascii="Calibri"/>
          <w:spacing w:val="-3"/>
          <w:sz w:val="18"/>
        </w:rPr>
        <w:t> </w:t>
      </w:r>
      <w:r>
        <w:rPr>
          <w:rFonts w:ascii="Calibri"/>
          <w:sz w:val="18"/>
        </w:rPr>
        <w:t>233,</w:t>
      </w:r>
      <w:r>
        <w:rPr>
          <w:rFonts w:ascii="Calibri"/>
          <w:spacing w:val="-2"/>
          <w:sz w:val="18"/>
        </w:rPr>
        <w:t> </w:t>
      </w:r>
      <w:r>
        <w:rPr>
          <w:rFonts w:ascii="Calibri"/>
          <w:sz w:val="18"/>
        </w:rPr>
        <w:t>234,</w:t>
      </w:r>
      <w:r>
        <w:rPr>
          <w:rFonts w:ascii="Calibri"/>
          <w:spacing w:val="-3"/>
          <w:sz w:val="18"/>
        </w:rPr>
        <w:t> </w:t>
      </w:r>
      <w:r>
        <w:rPr>
          <w:rFonts w:ascii="Calibri"/>
          <w:spacing w:val="-4"/>
          <w:sz w:val="18"/>
        </w:rPr>
        <w:t>237,</w:t>
      </w:r>
    </w:p>
    <w:p>
      <w:pPr>
        <w:spacing w:before="0"/>
        <w:ind w:left="719" w:right="0" w:firstLine="0"/>
        <w:jc w:val="left"/>
        <w:rPr>
          <w:rFonts w:ascii="Calibri"/>
          <w:sz w:val="18"/>
        </w:rPr>
      </w:pPr>
      <w:r>
        <w:rPr>
          <w:rFonts w:ascii="Calibri"/>
          <w:sz w:val="18"/>
        </w:rPr>
        <w:t>243,</w:t>
      </w:r>
      <w:r>
        <w:rPr>
          <w:rFonts w:ascii="Calibri"/>
          <w:spacing w:val="-3"/>
          <w:sz w:val="18"/>
        </w:rPr>
        <w:t> </w:t>
      </w:r>
      <w:r>
        <w:rPr>
          <w:rFonts w:ascii="Calibri"/>
          <w:sz w:val="18"/>
        </w:rPr>
        <w:t>244,</w:t>
      </w:r>
      <w:r>
        <w:rPr>
          <w:rFonts w:ascii="Calibri"/>
          <w:spacing w:val="-3"/>
          <w:sz w:val="18"/>
        </w:rPr>
        <w:t> </w:t>
      </w:r>
      <w:r>
        <w:rPr>
          <w:rFonts w:ascii="Calibri"/>
          <w:sz w:val="18"/>
        </w:rPr>
        <w:t>245,</w:t>
      </w:r>
      <w:r>
        <w:rPr>
          <w:rFonts w:ascii="Calibri"/>
          <w:spacing w:val="-3"/>
          <w:sz w:val="18"/>
        </w:rPr>
        <w:t> </w:t>
      </w:r>
      <w:r>
        <w:rPr>
          <w:rFonts w:ascii="Calibri"/>
          <w:sz w:val="18"/>
        </w:rPr>
        <w:t>257,</w:t>
      </w:r>
      <w:r>
        <w:rPr>
          <w:rFonts w:ascii="Calibri"/>
          <w:spacing w:val="-3"/>
          <w:sz w:val="18"/>
        </w:rPr>
        <w:t> </w:t>
      </w:r>
      <w:r>
        <w:rPr>
          <w:rFonts w:ascii="Calibri"/>
          <w:sz w:val="18"/>
        </w:rPr>
        <w:t>265,</w:t>
      </w:r>
      <w:r>
        <w:rPr>
          <w:rFonts w:ascii="Calibri"/>
          <w:spacing w:val="-3"/>
          <w:sz w:val="18"/>
        </w:rPr>
        <w:t> </w:t>
      </w:r>
      <w:r>
        <w:rPr>
          <w:rFonts w:ascii="Calibri"/>
          <w:sz w:val="18"/>
        </w:rPr>
        <w:t>272,</w:t>
      </w:r>
      <w:r>
        <w:rPr>
          <w:rFonts w:ascii="Calibri"/>
          <w:spacing w:val="-3"/>
          <w:sz w:val="18"/>
        </w:rPr>
        <w:t> </w:t>
      </w:r>
      <w:r>
        <w:rPr>
          <w:rFonts w:ascii="Calibri"/>
          <w:spacing w:val="-5"/>
          <w:sz w:val="18"/>
        </w:rPr>
        <w:t>283</w:t>
      </w:r>
    </w:p>
    <w:p>
      <w:pPr>
        <w:pStyle w:val="BodyText"/>
        <w:spacing w:before="11"/>
        <w:rPr>
          <w:rFonts w:ascii="Calibri"/>
        </w:rPr>
      </w:pPr>
    </w:p>
    <w:p>
      <w:pPr>
        <w:spacing w:before="0"/>
        <w:ind w:left="500" w:right="0" w:firstLine="0"/>
        <w:jc w:val="left"/>
        <w:rPr>
          <w:rFonts w:ascii="Calibri"/>
          <w:sz w:val="18"/>
        </w:rPr>
      </w:pPr>
      <w:r>
        <w:rPr>
          <w:rFonts w:ascii="Calibri"/>
          <w:sz w:val="18"/>
        </w:rPr>
        <w:t>point</w:t>
      </w:r>
      <w:r>
        <w:rPr>
          <w:rFonts w:ascii="Calibri"/>
          <w:spacing w:val="-2"/>
          <w:sz w:val="18"/>
        </w:rPr>
        <w:t> </w:t>
      </w:r>
      <w:r>
        <w:rPr>
          <w:rFonts w:ascii="Calibri"/>
          <w:sz w:val="18"/>
        </w:rPr>
        <w:t>of</w:t>
      </w:r>
      <w:r>
        <w:rPr>
          <w:rFonts w:ascii="Calibri"/>
          <w:spacing w:val="-2"/>
          <w:sz w:val="18"/>
        </w:rPr>
        <w:t> </w:t>
      </w:r>
      <w:r>
        <w:rPr>
          <w:rFonts w:ascii="Calibri"/>
          <w:sz w:val="18"/>
        </w:rPr>
        <w:t>control,</w:t>
      </w:r>
      <w:r>
        <w:rPr>
          <w:rFonts w:ascii="Calibri"/>
          <w:spacing w:val="-2"/>
          <w:sz w:val="18"/>
        </w:rPr>
        <w:t> </w:t>
      </w:r>
      <w:r>
        <w:rPr>
          <w:rFonts w:ascii="Calibri"/>
          <w:sz w:val="18"/>
        </w:rPr>
        <w:t>60,</w:t>
      </w:r>
      <w:r>
        <w:rPr>
          <w:rFonts w:ascii="Calibri"/>
          <w:spacing w:val="-2"/>
          <w:sz w:val="18"/>
        </w:rPr>
        <w:t> </w:t>
      </w:r>
      <w:r>
        <w:rPr>
          <w:rFonts w:ascii="Calibri"/>
          <w:sz w:val="18"/>
        </w:rPr>
        <w:t>61,</w:t>
      </w:r>
      <w:r>
        <w:rPr>
          <w:rFonts w:ascii="Calibri"/>
          <w:spacing w:val="-2"/>
          <w:sz w:val="18"/>
        </w:rPr>
        <w:t> </w:t>
      </w:r>
      <w:r>
        <w:rPr>
          <w:rFonts w:ascii="Calibri"/>
          <w:sz w:val="18"/>
        </w:rPr>
        <w:t>62,</w:t>
      </w:r>
      <w:r>
        <w:rPr>
          <w:rFonts w:ascii="Calibri"/>
          <w:spacing w:val="-2"/>
          <w:sz w:val="18"/>
        </w:rPr>
        <w:t> </w:t>
      </w:r>
      <w:r>
        <w:rPr>
          <w:rFonts w:ascii="Calibri"/>
          <w:sz w:val="18"/>
        </w:rPr>
        <w:t>63,</w:t>
      </w:r>
      <w:r>
        <w:rPr>
          <w:rFonts w:ascii="Calibri"/>
          <w:spacing w:val="-2"/>
          <w:sz w:val="18"/>
        </w:rPr>
        <w:t> </w:t>
      </w:r>
      <w:r>
        <w:rPr>
          <w:rFonts w:ascii="Calibri"/>
          <w:sz w:val="18"/>
        </w:rPr>
        <w:t>64,</w:t>
      </w:r>
      <w:r>
        <w:rPr>
          <w:rFonts w:ascii="Calibri"/>
          <w:spacing w:val="-2"/>
          <w:sz w:val="18"/>
        </w:rPr>
        <w:t> </w:t>
      </w:r>
      <w:r>
        <w:rPr>
          <w:rFonts w:ascii="Calibri"/>
          <w:spacing w:val="-5"/>
          <w:sz w:val="18"/>
        </w:rPr>
        <w:t>66,</w:t>
      </w:r>
    </w:p>
    <w:p>
      <w:pPr>
        <w:spacing w:before="1"/>
        <w:ind w:left="719" w:right="0" w:firstLine="0"/>
        <w:jc w:val="left"/>
        <w:rPr>
          <w:rFonts w:ascii="Calibri"/>
          <w:sz w:val="18"/>
        </w:rPr>
      </w:pPr>
      <w:r>
        <w:rPr>
          <w:rFonts w:ascii="Calibri"/>
          <w:sz w:val="18"/>
        </w:rPr>
        <w:t>68,</w:t>
      </w:r>
      <w:r>
        <w:rPr>
          <w:rFonts w:ascii="Calibri"/>
          <w:spacing w:val="-2"/>
          <w:sz w:val="18"/>
        </w:rPr>
        <w:t> </w:t>
      </w:r>
      <w:r>
        <w:rPr>
          <w:rFonts w:ascii="Calibri"/>
          <w:sz w:val="18"/>
        </w:rPr>
        <w:t>71,</w:t>
      </w:r>
      <w:r>
        <w:rPr>
          <w:rFonts w:ascii="Calibri"/>
          <w:spacing w:val="-2"/>
          <w:sz w:val="18"/>
        </w:rPr>
        <w:t> </w:t>
      </w:r>
      <w:r>
        <w:rPr>
          <w:rFonts w:ascii="Calibri"/>
          <w:sz w:val="18"/>
        </w:rPr>
        <w:t>82,</w:t>
      </w:r>
      <w:r>
        <w:rPr>
          <w:rFonts w:ascii="Calibri"/>
          <w:spacing w:val="-1"/>
          <w:sz w:val="18"/>
        </w:rPr>
        <w:t> </w:t>
      </w:r>
      <w:r>
        <w:rPr>
          <w:rFonts w:ascii="Calibri"/>
          <w:sz w:val="18"/>
        </w:rPr>
        <w:t>96,</w:t>
      </w:r>
      <w:r>
        <w:rPr>
          <w:rFonts w:ascii="Calibri"/>
          <w:spacing w:val="-2"/>
          <w:sz w:val="18"/>
        </w:rPr>
        <w:t> </w:t>
      </w:r>
      <w:r>
        <w:rPr>
          <w:rFonts w:ascii="Calibri"/>
          <w:sz w:val="18"/>
        </w:rPr>
        <w:t>108,</w:t>
      </w:r>
      <w:r>
        <w:rPr>
          <w:rFonts w:ascii="Calibri"/>
          <w:spacing w:val="-1"/>
          <w:sz w:val="18"/>
        </w:rPr>
        <w:t> </w:t>
      </w:r>
      <w:r>
        <w:rPr>
          <w:rFonts w:ascii="Calibri"/>
          <w:spacing w:val="-5"/>
          <w:sz w:val="18"/>
        </w:rPr>
        <w:t>261</w:t>
      </w:r>
    </w:p>
    <w:p>
      <w:pPr>
        <w:pStyle w:val="BodyText"/>
        <w:spacing w:before="10"/>
        <w:rPr>
          <w:rFonts w:ascii="Calibri"/>
        </w:rPr>
      </w:pPr>
    </w:p>
    <w:p>
      <w:pPr>
        <w:pStyle w:val="Heading4"/>
        <w:ind w:left="359"/>
      </w:pPr>
      <w:r>
        <w:rPr>
          <w:w w:val="103"/>
        </w:rPr>
        <w:t>R</w:t>
      </w:r>
    </w:p>
    <w:p>
      <w:pPr>
        <w:pStyle w:val="BodyText"/>
        <w:rPr>
          <w:rFonts w:ascii="Calibri"/>
          <w:sz w:val="23"/>
        </w:rPr>
      </w:pPr>
    </w:p>
    <w:p>
      <w:pPr>
        <w:spacing w:before="0"/>
        <w:ind w:left="500" w:right="0" w:firstLine="0"/>
        <w:jc w:val="left"/>
        <w:rPr>
          <w:rFonts w:ascii="Calibri"/>
          <w:sz w:val="18"/>
        </w:rPr>
      </w:pPr>
      <w:r>
        <w:rPr>
          <w:rFonts w:ascii="Calibri"/>
          <w:sz w:val="18"/>
        </w:rPr>
        <w:t>responsive</w:t>
      </w:r>
      <w:r>
        <w:rPr>
          <w:rFonts w:ascii="Calibri"/>
          <w:spacing w:val="-3"/>
          <w:sz w:val="18"/>
        </w:rPr>
        <w:t> </w:t>
      </w:r>
      <w:r>
        <w:rPr>
          <w:rFonts w:ascii="Calibri"/>
          <w:sz w:val="18"/>
        </w:rPr>
        <w:t>buyers,</w:t>
      </w:r>
      <w:r>
        <w:rPr>
          <w:rFonts w:ascii="Calibri"/>
          <w:spacing w:val="-2"/>
          <w:sz w:val="18"/>
        </w:rPr>
        <w:t> </w:t>
      </w:r>
      <w:r>
        <w:rPr>
          <w:rFonts w:ascii="Calibri"/>
          <w:sz w:val="18"/>
        </w:rPr>
        <w:t>25,</w:t>
      </w:r>
      <w:r>
        <w:rPr>
          <w:rFonts w:ascii="Calibri"/>
          <w:spacing w:val="-2"/>
          <w:sz w:val="18"/>
        </w:rPr>
        <w:t> </w:t>
      </w:r>
      <w:r>
        <w:rPr>
          <w:rFonts w:ascii="Calibri"/>
          <w:sz w:val="18"/>
        </w:rPr>
        <w:t>28,</w:t>
      </w:r>
      <w:r>
        <w:rPr>
          <w:rFonts w:ascii="Calibri"/>
          <w:spacing w:val="-2"/>
          <w:sz w:val="18"/>
        </w:rPr>
        <w:t> </w:t>
      </w:r>
      <w:r>
        <w:rPr>
          <w:rFonts w:ascii="Calibri"/>
          <w:sz w:val="18"/>
        </w:rPr>
        <w:t>35,</w:t>
      </w:r>
      <w:r>
        <w:rPr>
          <w:rFonts w:ascii="Calibri"/>
          <w:spacing w:val="-2"/>
          <w:sz w:val="18"/>
        </w:rPr>
        <w:t> </w:t>
      </w:r>
      <w:r>
        <w:rPr>
          <w:rFonts w:ascii="Calibri"/>
          <w:sz w:val="18"/>
        </w:rPr>
        <w:t>39,</w:t>
      </w:r>
      <w:r>
        <w:rPr>
          <w:rFonts w:ascii="Calibri"/>
          <w:spacing w:val="-1"/>
          <w:sz w:val="18"/>
        </w:rPr>
        <w:t> </w:t>
      </w:r>
      <w:r>
        <w:rPr>
          <w:rFonts w:ascii="Calibri"/>
          <w:sz w:val="18"/>
        </w:rPr>
        <w:t>41,</w:t>
      </w:r>
      <w:r>
        <w:rPr>
          <w:rFonts w:ascii="Calibri"/>
          <w:spacing w:val="-2"/>
          <w:sz w:val="18"/>
        </w:rPr>
        <w:t> </w:t>
      </w:r>
      <w:r>
        <w:rPr>
          <w:rFonts w:ascii="Calibri"/>
          <w:spacing w:val="-5"/>
          <w:sz w:val="18"/>
        </w:rPr>
        <w:t>42,</w:t>
      </w:r>
    </w:p>
    <w:p>
      <w:pPr>
        <w:spacing w:before="0"/>
        <w:ind w:left="719" w:right="0" w:firstLine="0"/>
        <w:jc w:val="left"/>
        <w:rPr>
          <w:rFonts w:ascii="Calibri"/>
          <w:sz w:val="18"/>
        </w:rPr>
      </w:pPr>
      <w:r>
        <w:rPr>
          <w:rFonts w:ascii="Calibri"/>
          <w:sz w:val="18"/>
        </w:rPr>
        <w:t>43,</w:t>
      </w:r>
      <w:r>
        <w:rPr>
          <w:rFonts w:ascii="Calibri"/>
          <w:spacing w:val="-2"/>
          <w:sz w:val="18"/>
        </w:rPr>
        <w:t> </w:t>
      </w:r>
      <w:r>
        <w:rPr>
          <w:rFonts w:ascii="Calibri"/>
          <w:sz w:val="18"/>
        </w:rPr>
        <w:t>48,</w:t>
      </w:r>
      <w:r>
        <w:rPr>
          <w:rFonts w:ascii="Calibri"/>
          <w:spacing w:val="-2"/>
          <w:sz w:val="18"/>
        </w:rPr>
        <w:t> </w:t>
      </w:r>
      <w:r>
        <w:rPr>
          <w:rFonts w:ascii="Calibri"/>
          <w:sz w:val="18"/>
        </w:rPr>
        <w:t>61,</w:t>
      </w:r>
      <w:r>
        <w:rPr>
          <w:rFonts w:ascii="Calibri"/>
          <w:spacing w:val="-1"/>
          <w:sz w:val="18"/>
        </w:rPr>
        <w:t> </w:t>
      </w:r>
      <w:r>
        <w:rPr>
          <w:rFonts w:ascii="Calibri"/>
          <w:sz w:val="18"/>
        </w:rPr>
        <w:t>63,</w:t>
      </w:r>
      <w:r>
        <w:rPr>
          <w:rFonts w:ascii="Calibri"/>
          <w:spacing w:val="-2"/>
          <w:sz w:val="18"/>
        </w:rPr>
        <w:t> </w:t>
      </w:r>
      <w:r>
        <w:rPr>
          <w:rFonts w:ascii="Calibri"/>
          <w:sz w:val="18"/>
        </w:rPr>
        <w:t>65,</w:t>
      </w:r>
      <w:r>
        <w:rPr>
          <w:rFonts w:ascii="Calibri"/>
          <w:spacing w:val="-1"/>
          <w:sz w:val="18"/>
        </w:rPr>
        <w:t> </w:t>
      </w:r>
      <w:r>
        <w:rPr>
          <w:rFonts w:ascii="Calibri"/>
          <w:sz w:val="18"/>
        </w:rPr>
        <w:t>66,</w:t>
      </w:r>
      <w:r>
        <w:rPr>
          <w:rFonts w:ascii="Calibri"/>
          <w:spacing w:val="-2"/>
          <w:sz w:val="18"/>
        </w:rPr>
        <w:t> </w:t>
      </w:r>
      <w:r>
        <w:rPr>
          <w:rFonts w:ascii="Calibri"/>
          <w:sz w:val="18"/>
        </w:rPr>
        <w:t>106,</w:t>
      </w:r>
      <w:r>
        <w:rPr>
          <w:rFonts w:ascii="Calibri"/>
          <w:spacing w:val="-1"/>
          <w:sz w:val="18"/>
        </w:rPr>
        <w:t> </w:t>
      </w:r>
      <w:r>
        <w:rPr>
          <w:rFonts w:ascii="Calibri"/>
          <w:sz w:val="18"/>
        </w:rPr>
        <w:t>129,</w:t>
      </w:r>
      <w:r>
        <w:rPr>
          <w:rFonts w:ascii="Calibri"/>
          <w:spacing w:val="-1"/>
          <w:sz w:val="18"/>
        </w:rPr>
        <w:t> </w:t>
      </w:r>
      <w:r>
        <w:rPr>
          <w:rFonts w:ascii="Calibri"/>
          <w:spacing w:val="-4"/>
          <w:sz w:val="18"/>
        </w:rPr>
        <w:t>175,</w:t>
      </w:r>
    </w:p>
    <w:p>
      <w:pPr>
        <w:spacing w:before="0"/>
        <w:ind w:left="719" w:right="0" w:firstLine="0"/>
        <w:jc w:val="left"/>
        <w:rPr>
          <w:rFonts w:ascii="Calibri"/>
          <w:sz w:val="18"/>
        </w:rPr>
      </w:pPr>
      <w:r>
        <w:rPr>
          <w:rFonts w:ascii="Calibri"/>
          <w:sz w:val="18"/>
        </w:rPr>
        <w:t>189,</w:t>
      </w:r>
      <w:r>
        <w:rPr>
          <w:rFonts w:ascii="Calibri"/>
          <w:spacing w:val="-3"/>
          <w:sz w:val="18"/>
        </w:rPr>
        <w:t> </w:t>
      </w:r>
      <w:r>
        <w:rPr>
          <w:rFonts w:ascii="Calibri"/>
          <w:sz w:val="18"/>
        </w:rPr>
        <w:t>197,</w:t>
      </w:r>
      <w:r>
        <w:rPr>
          <w:rFonts w:ascii="Calibri"/>
          <w:spacing w:val="-3"/>
          <w:sz w:val="18"/>
        </w:rPr>
        <w:t> </w:t>
      </w:r>
      <w:r>
        <w:rPr>
          <w:rFonts w:ascii="Calibri"/>
          <w:sz w:val="18"/>
        </w:rPr>
        <w:t>219,</w:t>
      </w:r>
      <w:r>
        <w:rPr>
          <w:rFonts w:ascii="Calibri"/>
          <w:spacing w:val="-3"/>
          <w:sz w:val="18"/>
        </w:rPr>
        <w:t> </w:t>
      </w:r>
      <w:r>
        <w:rPr>
          <w:rFonts w:ascii="Calibri"/>
          <w:sz w:val="18"/>
        </w:rPr>
        <w:t>240,</w:t>
      </w:r>
      <w:r>
        <w:rPr>
          <w:rFonts w:ascii="Calibri"/>
          <w:spacing w:val="-2"/>
          <w:sz w:val="18"/>
        </w:rPr>
        <w:t> </w:t>
      </w:r>
      <w:r>
        <w:rPr>
          <w:rFonts w:ascii="Calibri"/>
          <w:spacing w:val="-5"/>
          <w:sz w:val="18"/>
        </w:rPr>
        <w:t>255</w:t>
      </w:r>
    </w:p>
    <w:p>
      <w:pPr>
        <w:pStyle w:val="BodyText"/>
        <w:spacing w:before="11"/>
        <w:rPr>
          <w:rFonts w:ascii="Calibri"/>
        </w:rPr>
      </w:pPr>
    </w:p>
    <w:p>
      <w:pPr>
        <w:spacing w:before="0"/>
        <w:ind w:left="0" w:right="246" w:firstLine="0"/>
        <w:jc w:val="right"/>
        <w:rPr>
          <w:rFonts w:ascii="Calibri"/>
          <w:sz w:val="18"/>
        </w:rPr>
      </w:pPr>
      <w:r>
        <w:rPr>
          <w:rFonts w:ascii="Calibri"/>
          <w:sz w:val="18"/>
        </w:rPr>
        <w:t>responsive</w:t>
      </w:r>
      <w:r>
        <w:rPr>
          <w:rFonts w:ascii="Calibri"/>
          <w:spacing w:val="-3"/>
          <w:sz w:val="18"/>
        </w:rPr>
        <w:t> </w:t>
      </w:r>
      <w:r>
        <w:rPr>
          <w:rFonts w:ascii="Calibri"/>
          <w:sz w:val="18"/>
        </w:rPr>
        <w:t>sellers,</w:t>
      </w:r>
      <w:r>
        <w:rPr>
          <w:rFonts w:ascii="Calibri"/>
          <w:spacing w:val="-2"/>
          <w:sz w:val="18"/>
        </w:rPr>
        <w:t> </w:t>
      </w:r>
      <w:r>
        <w:rPr>
          <w:rFonts w:ascii="Calibri"/>
          <w:sz w:val="18"/>
        </w:rPr>
        <w:t>25,</w:t>
      </w:r>
      <w:r>
        <w:rPr>
          <w:rFonts w:ascii="Calibri"/>
          <w:spacing w:val="-2"/>
          <w:sz w:val="18"/>
        </w:rPr>
        <w:t> </w:t>
      </w:r>
      <w:r>
        <w:rPr>
          <w:rFonts w:ascii="Calibri"/>
          <w:sz w:val="18"/>
        </w:rPr>
        <w:t>42,</w:t>
      </w:r>
      <w:r>
        <w:rPr>
          <w:rFonts w:ascii="Calibri"/>
          <w:spacing w:val="-2"/>
          <w:sz w:val="18"/>
        </w:rPr>
        <w:t> </w:t>
      </w:r>
      <w:r>
        <w:rPr>
          <w:rFonts w:ascii="Calibri"/>
          <w:sz w:val="18"/>
        </w:rPr>
        <w:t>48,</w:t>
      </w:r>
      <w:r>
        <w:rPr>
          <w:rFonts w:ascii="Calibri"/>
          <w:spacing w:val="-2"/>
          <w:sz w:val="18"/>
        </w:rPr>
        <w:t> </w:t>
      </w:r>
      <w:r>
        <w:rPr>
          <w:rFonts w:ascii="Calibri"/>
          <w:sz w:val="18"/>
        </w:rPr>
        <w:t>53,</w:t>
      </w:r>
      <w:r>
        <w:rPr>
          <w:rFonts w:ascii="Calibri"/>
          <w:spacing w:val="-1"/>
          <w:sz w:val="18"/>
        </w:rPr>
        <w:t> </w:t>
      </w:r>
      <w:r>
        <w:rPr>
          <w:rFonts w:ascii="Calibri"/>
          <w:sz w:val="18"/>
        </w:rPr>
        <w:t>61,</w:t>
      </w:r>
      <w:r>
        <w:rPr>
          <w:rFonts w:ascii="Calibri"/>
          <w:spacing w:val="-2"/>
          <w:sz w:val="18"/>
        </w:rPr>
        <w:t> </w:t>
      </w:r>
      <w:r>
        <w:rPr>
          <w:rFonts w:ascii="Calibri"/>
          <w:spacing w:val="-5"/>
          <w:sz w:val="18"/>
        </w:rPr>
        <w:t>62,</w:t>
      </w:r>
    </w:p>
    <w:p>
      <w:pPr>
        <w:spacing w:before="1"/>
        <w:ind w:left="0" w:right="149" w:firstLine="0"/>
        <w:jc w:val="right"/>
        <w:rPr>
          <w:rFonts w:ascii="Calibri"/>
          <w:sz w:val="18"/>
        </w:rPr>
      </w:pPr>
      <w:r>
        <w:rPr>
          <w:rFonts w:ascii="Calibri"/>
          <w:sz w:val="18"/>
        </w:rPr>
        <w:t>65,</w:t>
      </w:r>
      <w:r>
        <w:rPr>
          <w:rFonts w:ascii="Calibri"/>
          <w:spacing w:val="-2"/>
          <w:sz w:val="18"/>
        </w:rPr>
        <w:t> </w:t>
      </w:r>
      <w:r>
        <w:rPr>
          <w:rFonts w:ascii="Calibri"/>
          <w:sz w:val="18"/>
        </w:rPr>
        <w:t>66,</w:t>
      </w:r>
      <w:r>
        <w:rPr>
          <w:rFonts w:ascii="Calibri"/>
          <w:spacing w:val="-2"/>
          <w:sz w:val="18"/>
        </w:rPr>
        <w:t> </w:t>
      </w:r>
      <w:r>
        <w:rPr>
          <w:rFonts w:ascii="Calibri"/>
          <w:sz w:val="18"/>
        </w:rPr>
        <w:t>73,</w:t>
      </w:r>
      <w:r>
        <w:rPr>
          <w:rFonts w:ascii="Calibri"/>
          <w:spacing w:val="-2"/>
          <w:sz w:val="18"/>
        </w:rPr>
        <w:t> </w:t>
      </w:r>
      <w:r>
        <w:rPr>
          <w:rFonts w:ascii="Calibri"/>
          <w:sz w:val="18"/>
        </w:rPr>
        <w:t>98,</w:t>
      </w:r>
      <w:r>
        <w:rPr>
          <w:rFonts w:ascii="Calibri"/>
          <w:spacing w:val="-2"/>
          <w:sz w:val="18"/>
        </w:rPr>
        <w:t> </w:t>
      </w:r>
      <w:r>
        <w:rPr>
          <w:rFonts w:ascii="Calibri"/>
          <w:sz w:val="18"/>
        </w:rPr>
        <w:t>118,</w:t>
      </w:r>
      <w:r>
        <w:rPr>
          <w:rFonts w:ascii="Calibri"/>
          <w:spacing w:val="-1"/>
          <w:sz w:val="18"/>
        </w:rPr>
        <w:t> </w:t>
      </w:r>
      <w:r>
        <w:rPr>
          <w:rFonts w:ascii="Calibri"/>
          <w:sz w:val="18"/>
        </w:rPr>
        <w:t>127,</w:t>
      </w:r>
      <w:r>
        <w:rPr>
          <w:rFonts w:ascii="Calibri"/>
          <w:spacing w:val="-2"/>
          <w:sz w:val="18"/>
        </w:rPr>
        <w:t> </w:t>
      </w:r>
      <w:r>
        <w:rPr>
          <w:rFonts w:ascii="Calibri"/>
          <w:sz w:val="18"/>
        </w:rPr>
        <w:t>187,</w:t>
      </w:r>
      <w:r>
        <w:rPr>
          <w:rFonts w:ascii="Calibri"/>
          <w:spacing w:val="-2"/>
          <w:sz w:val="18"/>
        </w:rPr>
        <w:t> </w:t>
      </w:r>
      <w:r>
        <w:rPr>
          <w:rFonts w:ascii="Calibri"/>
          <w:sz w:val="18"/>
        </w:rPr>
        <w:t>192,</w:t>
      </w:r>
      <w:r>
        <w:rPr>
          <w:rFonts w:ascii="Calibri"/>
          <w:spacing w:val="-2"/>
          <w:sz w:val="18"/>
        </w:rPr>
        <w:t> </w:t>
      </w:r>
      <w:r>
        <w:rPr>
          <w:rFonts w:ascii="Calibri"/>
          <w:spacing w:val="-4"/>
          <w:sz w:val="18"/>
        </w:rPr>
        <w:t>209,</w:t>
      </w:r>
    </w:p>
    <w:p>
      <w:pPr>
        <w:spacing w:before="0"/>
        <w:ind w:left="719" w:right="0" w:firstLine="0"/>
        <w:jc w:val="left"/>
        <w:rPr>
          <w:rFonts w:ascii="Calibri"/>
          <w:sz w:val="18"/>
        </w:rPr>
      </w:pPr>
      <w:r>
        <w:rPr>
          <w:rFonts w:ascii="Calibri"/>
          <w:sz w:val="18"/>
        </w:rPr>
        <w:t>212,</w:t>
      </w:r>
      <w:r>
        <w:rPr>
          <w:rFonts w:ascii="Calibri"/>
          <w:spacing w:val="-3"/>
          <w:sz w:val="18"/>
        </w:rPr>
        <w:t> </w:t>
      </w:r>
      <w:r>
        <w:rPr>
          <w:rFonts w:ascii="Calibri"/>
          <w:sz w:val="18"/>
        </w:rPr>
        <w:t>219,</w:t>
      </w:r>
      <w:r>
        <w:rPr>
          <w:rFonts w:ascii="Calibri"/>
          <w:spacing w:val="-3"/>
          <w:sz w:val="18"/>
        </w:rPr>
        <w:t> </w:t>
      </w:r>
      <w:r>
        <w:rPr>
          <w:rFonts w:ascii="Calibri"/>
          <w:sz w:val="18"/>
        </w:rPr>
        <w:t>240,</w:t>
      </w:r>
      <w:r>
        <w:rPr>
          <w:rFonts w:ascii="Calibri"/>
          <w:spacing w:val="-3"/>
          <w:sz w:val="18"/>
        </w:rPr>
        <w:t> </w:t>
      </w:r>
      <w:r>
        <w:rPr>
          <w:rFonts w:ascii="Calibri"/>
          <w:sz w:val="18"/>
        </w:rPr>
        <w:t>264,</w:t>
      </w:r>
      <w:r>
        <w:rPr>
          <w:rFonts w:ascii="Calibri"/>
          <w:spacing w:val="-2"/>
          <w:sz w:val="18"/>
        </w:rPr>
        <w:t> </w:t>
      </w:r>
      <w:r>
        <w:rPr>
          <w:rFonts w:ascii="Calibri"/>
          <w:spacing w:val="-5"/>
          <w:sz w:val="18"/>
        </w:rPr>
        <w:t>269</w:t>
      </w:r>
    </w:p>
    <w:p>
      <w:pPr>
        <w:pStyle w:val="BodyText"/>
        <w:spacing w:before="10"/>
        <w:rPr>
          <w:rFonts w:ascii="Calibri"/>
        </w:rPr>
      </w:pPr>
    </w:p>
    <w:p>
      <w:pPr>
        <w:pStyle w:val="Heading4"/>
        <w:ind w:left="361"/>
      </w:pPr>
      <w:r>
        <w:rPr>
          <w:w w:val="103"/>
        </w:rPr>
        <w:t>S</w:t>
      </w:r>
    </w:p>
    <w:p>
      <w:pPr>
        <w:pStyle w:val="BodyText"/>
        <w:rPr>
          <w:rFonts w:ascii="Calibri"/>
          <w:sz w:val="23"/>
        </w:rPr>
      </w:pPr>
    </w:p>
    <w:p>
      <w:pPr>
        <w:spacing w:before="0"/>
        <w:ind w:left="496" w:right="280" w:firstLine="0"/>
        <w:jc w:val="center"/>
        <w:rPr>
          <w:rFonts w:ascii="Calibri"/>
          <w:sz w:val="18"/>
        </w:rPr>
      </w:pPr>
      <w:r>
        <w:rPr>
          <w:rFonts w:ascii="Calibri"/>
          <w:sz w:val="18"/>
        </w:rPr>
        <w:t>Sideways</w:t>
      </w:r>
      <w:r>
        <w:rPr>
          <w:rFonts w:ascii="Calibri"/>
          <w:spacing w:val="-3"/>
          <w:sz w:val="18"/>
        </w:rPr>
        <w:t> </w:t>
      </w:r>
      <w:r>
        <w:rPr>
          <w:rFonts w:ascii="Calibri"/>
          <w:sz w:val="18"/>
        </w:rPr>
        <w:t>Day,</w:t>
      </w:r>
      <w:r>
        <w:rPr>
          <w:rFonts w:ascii="Calibri"/>
          <w:spacing w:val="-2"/>
          <w:sz w:val="18"/>
        </w:rPr>
        <w:t> </w:t>
      </w:r>
      <w:r>
        <w:rPr>
          <w:rFonts w:ascii="Calibri"/>
          <w:sz w:val="18"/>
        </w:rPr>
        <w:t>25,</w:t>
      </w:r>
      <w:r>
        <w:rPr>
          <w:rFonts w:ascii="Calibri"/>
          <w:spacing w:val="-2"/>
          <w:sz w:val="18"/>
        </w:rPr>
        <w:t> </w:t>
      </w:r>
      <w:r>
        <w:rPr>
          <w:rFonts w:ascii="Calibri"/>
          <w:sz w:val="18"/>
        </w:rPr>
        <w:t>26,</w:t>
      </w:r>
      <w:r>
        <w:rPr>
          <w:rFonts w:ascii="Calibri"/>
          <w:spacing w:val="-2"/>
          <w:sz w:val="18"/>
        </w:rPr>
        <w:t> </w:t>
      </w:r>
      <w:r>
        <w:rPr>
          <w:rFonts w:ascii="Calibri"/>
          <w:sz w:val="18"/>
        </w:rPr>
        <w:t>27,</w:t>
      </w:r>
      <w:r>
        <w:rPr>
          <w:rFonts w:ascii="Calibri"/>
          <w:spacing w:val="-2"/>
          <w:sz w:val="18"/>
        </w:rPr>
        <w:t> </w:t>
      </w:r>
      <w:r>
        <w:rPr>
          <w:rFonts w:ascii="Calibri"/>
          <w:sz w:val="18"/>
        </w:rPr>
        <w:t>36,</w:t>
      </w:r>
      <w:r>
        <w:rPr>
          <w:rFonts w:ascii="Calibri"/>
          <w:spacing w:val="-3"/>
          <w:sz w:val="18"/>
        </w:rPr>
        <w:t> </w:t>
      </w:r>
      <w:r>
        <w:rPr>
          <w:rFonts w:ascii="Calibri"/>
          <w:sz w:val="18"/>
        </w:rPr>
        <w:t>73,</w:t>
      </w:r>
      <w:r>
        <w:rPr>
          <w:rFonts w:ascii="Calibri"/>
          <w:spacing w:val="-1"/>
          <w:sz w:val="18"/>
        </w:rPr>
        <w:t> </w:t>
      </w:r>
      <w:r>
        <w:rPr>
          <w:rFonts w:ascii="Calibri"/>
          <w:sz w:val="18"/>
        </w:rPr>
        <w:t>74,</w:t>
      </w:r>
      <w:r>
        <w:rPr>
          <w:rFonts w:ascii="Calibri"/>
          <w:spacing w:val="-2"/>
          <w:sz w:val="18"/>
        </w:rPr>
        <w:t> </w:t>
      </w:r>
      <w:r>
        <w:rPr>
          <w:rFonts w:ascii="Calibri"/>
          <w:spacing w:val="-5"/>
          <w:sz w:val="18"/>
        </w:rPr>
        <w:t>86,</w:t>
      </w:r>
    </w:p>
    <w:p>
      <w:pPr>
        <w:spacing w:before="0"/>
        <w:ind w:left="496" w:right="240" w:firstLine="0"/>
        <w:jc w:val="center"/>
        <w:rPr>
          <w:rFonts w:ascii="Calibri"/>
          <w:sz w:val="18"/>
        </w:rPr>
      </w:pPr>
      <w:r>
        <w:rPr>
          <w:rFonts w:ascii="Calibri"/>
          <w:sz w:val="18"/>
        </w:rPr>
        <w:t>92,</w:t>
      </w:r>
      <w:r>
        <w:rPr>
          <w:rFonts w:ascii="Calibri"/>
          <w:spacing w:val="-3"/>
          <w:sz w:val="18"/>
        </w:rPr>
        <w:t> </w:t>
      </w:r>
      <w:r>
        <w:rPr>
          <w:rFonts w:ascii="Calibri"/>
          <w:sz w:val="18"/>
        </w:rPr>
        <w:t>93,</w:t>
      </w:r>
      <w:r>
        <w:rPr>
          <w:rFonts w:ascii="Calibri"/>
          <w:spacing w:val="-2"/>
          <w:sz w:val="18"/>
        </w:rPr>
        <w:t> </w:t>
      </w:r>
      <w:r>
        <w:rPr>
          <w:rFonts w:ascii="Calibri"/>
          <w:sz w:val="18"/>
        </w:rPr>
        <w:t>94,</w:t>
      </w:r>
      <w:r>
        <w:rPr>
          <w:rFonts w:ascii="Calibri"/>
          <w:spacing w:val="-2"/>
          <w:sz w:val="18"/>
        </w:rPr>
        <w:t> </w:t>
      </w:r>
      <w:r>
        <w:rPr>
          <w:rFonts w:ascii="Calibri"/>
          <w:sz w:val="18"/>
        </w:rPr>
        <w:t>153,</w:t>
      </w:r>
      <w:r>
        <w:rPr>
          <w:rFonts w:ascii="Calibri"/>
          <w:spacing w:val="-2"/>
          <w:sz w:val="18"/>
        </w:rPr>
        <w:t> </w:t>
      </w:r>
      <w:r>
        <w:rPr>
          <w:rFonts w:ascii="Calibri"/>
          <w:sz w:val="18"/>
        </w:rPr>
        <w:t>160,</w:t>
      </w:r>
      <w:r>
        <w:rPr>
          <w:rFonts w:ascii="Calibri"/>
          <w:spacing w:val="-2"/>
          <w:sz w:val="18"/>
        </w:rPr>
        <w:t> </w:t>
      </w:r>
      <w:r>
        <w:rPr>
          <w:rFonts w:ascii="Calibri"/>
          <w:sz w:val="18"/>
        </w:rPr>
        <w:t>164,</w:t>
      </w:r>
      <w:r>
        <w:rPr>
          <w:rFonts w:ascii="Calibri"/>
          <w:spacing w:val="-2"/>
          <w:sz w:val="18"/>
        </w:rPr>
        <w:t> </w:t>
      </w:r>
      <w:r>
        <w:rPr>
          <w:rFonts w:ascii="Calibri"/>
          <w:sz w:val="18"/>
        </w:rPr>
        <w:t>197,</w:t>
      </w:r>
      <w:r>
        <w:rPr>
          <w:rFonts w:ascii="Calibri"/>
          <w:spacing w:val="-3"/>
          <w:sz w:val="18"/>
        </w:rPr>
        <w:t> </w:t>
      </w:r>
      <w:r>
        <w:rPr>
          <w:rFonts w:ascii="Calibri"/>
          <w:spacing w:val="-5"/>
          <w:sz w:val="18"/>
        </w:rPr>
        <w:t>204</w:t>
      </w:r>
    </w:p>
    <w:p>
      <w:pPr>
        <w:pStyle w:val="BodyText"/>
        <w:rPr>
          <w:rFonts w:ascii="Calibri"/>
          <w:sz w:val="23"/>
        </w:rPr>
      </w:pPr>
    </w:p>
    <w:p>
      <w:pPr>
        <w:spacing w:before="0"/>
        <w:ind w:left="500" w:right="0" w:firstLine="0"/>
        <w:jc w:val="left"/>
        <w:rPr>
          <w:rFonts w:ascii="Calibri"/>
          <w:sz w:val="18"/>
        </w:rPr>
      </w:pPr>
      <w:r>
        <w:rPr>
          <w:rFonts w:ascii="Calibri"/>
          <w:sz w:val="18"/>
        </w:rPr>
        <w:t>Standard</w:t>
      </w:r>
      <w:r>
        <w:rPr>
          <w:rFonts w:ascii="Calibri"/>
          <w:spacing w:val="-4"/>
          <w:sz w:val="18"/>
        </w:rPr>
        <w:t> </w:t>
      </w:r>
      <w:r>
        <w:rPr>
          <w:rFonts w:ascii="Calibri"/>
          <w:sz w:val="18"/>
        </w:rPr>
        <w:t>Formula,</w:t>
      </w:r>
      <w:r>
        <w:rPr>
          <w:rFonts w:ascii="Calibri"/>
          <w:spacing w:val="-3"/>
          <w:sz w:val="18"/>
        </w:rPr>
        <w:t> </w:t>
      </w:r>
      <w:r>
        <w:rPr>
          <w:rFonts w:ascii="Calibri"/>
          <w:sz w:val="18"/>
        </w:rPr>
        <w:t>113,</w:t>
      </w:r>
      <w:r>
        <w:rPr>
          <w:rFonts w:ascii="Calibri"/>
          <w:spacing w:val="-3"/>
          <w:sz w:val="18"/>
        </w:rPr>
        <w:t> </w:t>
      </w:r>
      <w:r>
        <w:rPr>
          <w:rFonts w:ascii="Calibri"/>
          <w:spacing w:val="-5"/>
          <w:sz w:val="18"/>
        </w:rPr>
        <w:t>183</w:t>
      </w:r>
    </w:p>
    <w:p>
      <w:pPr>
        <w:pStyle w:val="BodyText"/>
        <w:spacing w:before="10"/>
        <w:rPr>
          <w:rFonts w:ascii="Calibri"/>
        </w:rPr>
      </w:pPr>
    </w:p>
    <w:p>
      <w:pPr>
        <w:pStyle w:val="Heading4"/>
        <w:spacing w:before="1"/>
        <w:ind w:left="358"/>
      </w:pPr>
      <w:r>
        <w:rPr>
          <w:w w:val="101"/>
        </w:rPr>
        <w:t>T</w:t>
      </w:r>
    </w:p>
    <w:p>
      <w:pPr>
        <w:pStyle w:val="BodyText"/>
        <w:spacing w:before="12"/>
        <w:rPr>
          <w:rFonts w:ascii="Calibri"/>
        </w:rPr>
      </w:pPr>
    </w:p>
    <w:p>
      <w:pPr>
        <w:spacing w:before="0"/>
        <w:ind w:left="500" w:right="0" w:firstLine="0"/>
        <w:jc w:val="left"/>
        <w:rPr>
          <w:rFonts w:ascii="Calibri"/>
          <w:sz w:val="18"/>
        </w:rPr>
      </w:pPr>
      <w:r>
        <w:rPr>
          <w:rFonts w:ascii="Calibri"/>
          <w:sz w:val="18"/>
        </w:rPr>
        <w:t>Time</w:t>
      </w:r>
      <w:r>
        <w:rPr>
          <w:rFonts w:ascii="Calibri"/>
          <w:spacing w:val="-10"/>
          <w:sz w:val="18"/>
        </w:rPr>
        <w:t> </w:t>
      </w:r>
      <w:r>
        <w:rPr>
          <w:rFonts w:ascii="Calibri"/>
          <w:sz w:val="18"/>
        </w:rPr>
        <w:t>Price</w:t>
      </w:r>
      <w:r>
        <w:rPr>
          <w:rFonts w:ascii="Calibri"/>
          <w:spacing w:val="-9"/>
          <w:sz w:val="18"/>
        </w:rPr>
        <w:t> </w:t>
      </w:r>
      <w:r>
        <w:rPr>
          <w:rFonts w:ascii="Calibri"/>
          <w:sz w:val="18"/>
        </w:rPr>
        <w:t>Opportunities,</w:t>
      </w:r>
      <w:r>
        <w:rPr>
          <w:rFonts w:ascii="Calibri"/>
          <w:spacing w:val="-10"/>
          <w:sz w:val="18"/>
        </w:rPr>
        <w:t> </w:t>
      </w:r>
      <w:r>
        <w:rPr>
          <w:rFonts w:ascii="Calibri"/>
          <w:spacing w:val="-5"/>
          <w:sz w:val="18"/>
        </w:rPr>
        <w:t>59</w:t>
      </w:r>
    </w:p>
    <w:p>
      <w:pPr>
        <w:spacing w:after="0"/>
        <w:jc w:val="left"/>
        <w:rPr>
          <w:rFonts w:ascii="Calibri"/>
          <w:sz w:val="18"/>
        </w:rPr>
        <w:sectPr>
          <w:type w:val="continuous"/>
          <w:pgSz w:w="8640" w:h="12960"/>
          <w:pgMar w:header="0" w:footer="1060" w:top="1480" w:bottom="280" w:left="580" w:right="580"/>
          <w:cols w:num="2" w:equalWidth="0">
            <w:col w:w="3594" w:space="186"/>
            <w:col w:w="3700"/>
          </w:cols>
        </w:sectPr>
      </w:pPr>
    </w:p>
    <w:p>
      <w:pPr>
        <w:pStyle w:val="BodyText"/>
        <w:spacing w:before="10"/>
        <w:rPr>
          <w:rFonts w:ascii="Calibri"/>
          <w:sz w:val="13"/>
        </w:rPr>
      </w:pPr>
    </w:p>
    <w:p>
      <w:pPr>
        <w:spacing w:after="0"/>
        <w:rPr>
          <w:rFonts w:ascii="Calibri"/>
          <w:sz w:val="13"/>
        </w:rPr>
        <w:sectPr>
          <w:headerReference w:type="even" r:id="rId376"/>
          <w:footerReference w:type="even" r:id="rId377"/>
          <w:pgSz w:w="8640" w:h="12960"/>
          <w:pgMar w:header="579" w:footer="1060" w:top="760" w:bottom="1260" w:left="580" w:right="580"/>
          <w:pgNumType w:start="314"/>
        </w:sectPr>
      </w:pPr>
    </w:p>
    <w:p>
      <w:pPr>
        <w:spacing w:before="110"/>
        <w:ind w:left="136" w:right="73" w:firstLine="0"/>
        <w:jc w:val="center"/>
        <w:rPr>
          <w:rFonts w:ascii="Calibri"/>
          <w:sz w:val="18"/>
        </w:rPr>
      </w:pPr>
      <w:r>
        <w:rPr>
          <w:rFonts w:ascii="Calibri"/>
          <w:sz w:val="18"/>
        </w:rPr>
        <w:t>Trading</w:t>
      </w:r>
      <w:r>
        <w:rPr>
          <w:rFonts w:ascii="Calibri"/>
          <w:spacing w:val="-3"/>
          <w:sz w:val="18"/>
        </w:rPr>
        <w:t> </w:t>
      </w:r>
      <w:r>
        <w:rPr>
          <w:rFonts w:ascii="Calibri"/>
          <w:sz w:val="18"/>
        </w:rPr>
        <w:t>Range</w:t>
      </w:r>
      <w:r>
        <w:rPr>
          <w:rFonts w:ascii="Calibri"/>
          <w:spacing w:val="-2"/>
          <w:sz w:val="18"/>
        </w:rPr>
        <w:t> </w:t>
      </w:r>
      <w:r>
        <w:rPr>
          <w:rFonts w:ascii="Calibri"/>
          <w:sz w:val="18"/>
        </w:rPr>
        <w:t>Day,</w:t>
      </w:r>
      <w:r>
        <w:rPr>
          <w:rFonts w:ascii="Calibri"/>
          <w:spacing w:val="-2"/>
          <w:sz w:val="18"/>
        </w:rPr>
        <w:t> </w:t>
      </w:r>
      <w:r>
        <w:rPr>
          <w:rFonts w:ascii="Calibri"/>
          <w:sz w:val="18"/>
        </w:rPr>
        <w:t>25,</w:t>
      </w:r>
      <w:r>
        <w:rPr>
          <w:rFonts w:ascii="Calibri"/>
          <w:spacing w:val="-3"/>
          <w:sz w:val="18"/>
        </w:rPr>
        <w:t> </w:t>
      </w:r>
      <w:r>
        <w:rPr>
          <w:rFonts w:ascii="Calibri"/>
          <w:sz w:val="18"/>
        </w:rPr>
        <w:t>26,</w:t>
      </w:r>
      <w:r>
        <w:rPr>
          <w:rFonts w:ascii="Calibri"/>
          <w:spacing w:val="-2"/>
          <w:sz w:val="18"/>
        </w:rPr>
        <w:t> </w:t>
      </w:r>
      <w:r>
        <w:rPr>
          <w:rFonts w:ascii="Calibri"/>
          <w:sz w:val="18"/>
        </w:rPr>
        <w:t>36,</w:t>
      </w:r>
      <w:r>
        <w:rPr>
          <w:rFonts w:ascii="Calibri"/>
          <w:spacing w:val="-3"/>
          <w:sz w:val="18"/>
        </w:rPr>
        <w:t> </w:t>
      </w:r>
      <w:r>
        <w:rPr>
          <w:rFonts w:ascii="Calibri"/>
          <w:sz w:val="18"/>
        </w:rPr>
        <w:t>73,</w:t>
      </w:r>
      <w:r>
        <w:rPr>
          <w:rFonts w:ascii="Calibri"/>
          <w:spacing w:val="-2"/>
          <w:sz w:val="18"/>
        </w:rPr>
        <w:t> </w:t>
      </w:r>
      <w:r>
        <w:rPr>
          <w:rFonts w:ascii="Calibri"/>
          <w:sz w:val="18"/>
        </w:rPr>
        <w:t>74,</w:t>
      </w:r>
      <w:r>
        <w:rPr>
          <w:rFonts w:ascii="Calibri"/>
          <w:spacing w:val="-2"/>
          <w:sz w:val="18"/>
        </w:rPr>
        <w:t> </w:t>
      </w:r>
      <w:r>
        <w:rPr>
          <w:rFonts w:ascii="Calibri"/>
          <w:spacing w:val="-5"/>
          <w:sz w:val="18"/>
        </w:rPr>
        <w:t>75,</w:t>
      </w:r>
    </w:p>
    <w:p>
      <w:pPr>
        <w:spacing w:before="0"/>
        <w:ind w:left="120" w:right="73" w:firstLine="0"/>
        <w:jc w:val="center"/>
        <w:rPr>
          <w:rFonts w:ascii="Calibri"/>
          <w:sz w:val="18"/>
        </w:rPr>
      </w:pPr>
      <w:r>
        <w:rPr>
          <w:rFonts w:ascii="Calibri"/>
          <w:sz w:val="18"/>
        </w:rPr>
        <w:t>84,</w:t>
      </w:r>
      <w:r>
        <w:rPr>
          <w:rFonts w:ascii="Calibri"/>
          <w:spacing w:val="-3"/>
          <w:sz w:val="18"/>
        </w:rPr>
        <w:t> </w:t>
      </w:r>
      <w:r>
        <w:rPr>
          <w:rFonts w:ascii="Calibri"/>
          <w:sz w:val="18"/>
        </w:rPr>
        <w:t>86,</w:t>
      </w:r>
      <w:r>
        <w:rPr>
          <w:rFonts w:ascii="Calibri"/>
          <w:spacing w:val="-2"/>
          <w:sz w:val="18"/>
        </w:rPr>
        <w:t> </w:t>
      </w:r>
      <w:r>
        <w:rPr>
          <w:rFonts w:ascii="Calibri"/>
          <w:sz w:val="18"/>
        </w:rPr>
        <w:t>94,</w:t>
      </w:r>
      <w:r>
        <w:rPr>
          <w:rFonts w:ascii="Calibri"/>
          <w:spacing w:val="-2"/>
          <w:sz w:val="18"/>
        </w:rPr>
        <w:t> </w:t>
      </w:r>
      <w:r>
        <w:rPr>
          <w:rFonts w:ascii="Calibri"/>
          <w:sz w:val="18"/>
        </w:rPr>
        <w:t>153,</w:t>
      </w:r>
      <w:r>
        <w:rPr>
          <w:rFonts w:ascii="Calibri"/>
          <w:spacing w:val="-2"/>
          <w:sz w:val="18"/>
        </w:rPr>
        <w:t> </w:t>
      </w:r>
      <w:r>
        <w:rPr>
          <w:rFonts w:ascii="Calibri"/>
          <w:sz w:val="18"/>
        </w:rPr>
        <w:t>160,</w:t>
      </w:r>
      <w:r>
        <w:rPr>
          <w:rFonts w:ascii="Calibri"/>
          <w:spacing w:val="-2"/>
          <w:sz w:val="18"/>
        </w:rPr>
        <w:t> </w:t>
      </w:r>
      <w:r>
        <w:rPr>
          <w:rFonts w:ascii="Calibri"/>
          <w:sz w:val="18"/>
        </w:rPr>
        <w:t>161,</w:t>
      </w:r>
      <w:r>
        <w:rPr>
          <w:rFonts w:ascii="Calibri"/>
          <w:spacing w:val="-2"/>
          <w:sz w:val="18"/>
        </w:rPr>
        <w:t> </w:t>
      </w:r>
      <w:r>
        <w:rPr>
          <w:rFonts w:ascii="Calibri"/>
          <w:sz w:val="18"/>
        </w:rPr>
        <w:t>164,</w:t>
      </w:r>
      <w:r>
        <w:rPr>
          <w:rFonts w:ascii="Calibri"/>
          <w:spacing w:val="-3"/>
          <w:sz w:val="18"/>
        </w:rPr>
        <w:t> </w:t>
      </w:r>
      <w:r>
        <w:rPr>
          <w:rFonts w:ascii="Calibri"/>
          <w:spacing w:val="-4"/>
          <w:sz w:val="18"/>
        </w:rPr>
        <w:t>204,</w:t>
      </w:r>
    </w:p>
    <w:p>
      <w:pPr>
        <w:spacing w:before="0"/>
        <w:ind w:left="136" w:right="1656" w:firstLine="0"/>
        <w:jc w:val="center"/>
        <w:rPr>
          <w:rFonts w:ascii="Calibri"/>
          <w:sz w:val="18"/>
        </w:rPr>
      </w:pPr>
      <w:r>
        <w:rPr>
          <w:rFonts w:ascii="Calibri"/>
          <w:sz w:val="18"/>
        </w:rPr>
        <w:t>215,</w:t>
      </w:r>
      <w:r>
        <w:rPr>
          <w:rFonts w:ascii="Calibri"/>
          <w:spacing w:val="-4"/>
          <w:sz w:val="18"/>
        </w:rPr>
        <w:t> </w:t>
      </w:r>
      <w:r>
        <w:rPr>
          <w:rFonts w:ascii="Calibri"/>
          <w:sz w:val="18"/>
        </w:rPr>
        <w:t>218,</w:t>
      </w:r>
      <w:r>
        <w:rPr>
          <w:rFonts w:ascii="Calibri"/>
          <w:spacing w:val="-3"/>
          <w:sz w:val="18"/>
        </w:rPr>
        <w:t> </w:t>
      </w:r>
      <w:r>
        <w:rPr>
          <w:rFonts w:ascii="Calibri"/>
          <w:spacing w:val="-5"/>
          <w:sz w:val="18"/>
        </w:rPr>
        <w:t>221</w:t>
      </w:r>
    </w:p>
    <w:p>
      <w:pPr>
        <w:pStyle w:val="BodyText"/>
        <w:rPr>
          <w:rFonts w:ascii="Calibri"/>
          <w:sz w:val="23"/>
        </w:rPr>
      </w:pPr>
    </w:p>
    <w:p>
      <w:pPr>
        <w:spacing w:before="0"/>
        <w:ind w:left="140" w:right="0" w:firstLine="0"/>
        <w:jc w:val="left"/>
        <w:rPr>
          <w:rFonts w:ascii="Calibri"/>
          <w:sz w:val="18"/>
        </w:rPr>
      </w:pPr>
      <w:r>
        <w:rPr>
          <w:rFonts w:ascii="Calibri"/>
          <w:sz w:val="18"/>
        </w:rPr>
        <w:t>trend</w:t>
      </w:r>
      <w:r>
        <w:rPr>
          <w:rFonts w:ascii="Calibri"/>
          <w:spacing w:val="-5"/>
          <w:sz w:val="18"/>
        </w:rPr>
        <w:t> </w:t>
      </w:r>
      <w:r>
        <w:rPr>
          <w:rFonts w:ascii="Calibri"/>
          <w:sz w:val="18"/>
        </w:rPr>
        <w:t>analysis,</w:t>
      </w:r>
      <w:r>
        <w:rPr>
          <w:rFonts w:ascii="Calibri"/>
          <w:spacing w:val="-3"/>
          <w:sz w:val="18"/>
        </w:rPr>
        <w:t> </w:t>
      </w:r>
      <w:r>
        <w:rPr>
          <w:rFonts w:ascii="Calibri"/>
          <w:sz w:val="18"/>
        </w:rPr>
        <w:t>11,</w:t>
      </w:r>
      <w:r>
        <w:rPr>
          <w:rFonts w:ascii="Calibri"/>
          <w:spacing w:val="-4"/>
          <w:sz w:val="18"/>
        </w:rPr>
        <w:t> </w:t>
      </w:r>
      <w:r>
        <w:rPr>
          <w:rFonts w:ascii="Calibri"/>
          <w:sz w:val="18"/>
        </w:rPr>
        <w:t>115,</w:t>
      </w:r>
      <w:r>
        <w:rPr>
          <w:rFonts w:ascii="Calibri"/>
          <w:spacing w:val="-3"/>
          <w:sz w:val="18"/>
        </w:rPr>
        <w:t> </w:t>
      </w:r>
      <w:r>
        <w:rPr>
          <w:rFonts w:ascii="Calibri"/>
          <w:sz w:val="18"/>
        </w:rPr>
        <w:t>124,</w:t>
      </w:r>
      <w:r>
        <w:rPr>
          <w:rFonts w:ascii="Calibri"/>
          <w:spacing w:val="-4"/>
          <w:sz w:val="18"/>
        </w:rPr>
        <w:t> </w:t>
      </w:r>
      <w:r>
        <w:rPr>
          <w:rFonts w:ascii="Calibri"/>
          <w:sz w:val="18"/>
        </w:rPr>
        <w:t>127,</w:t>
      </w:r>
      <w:r>
        <w:rPr>
          <w:rFonts w:ascii="Calibri"/>
          <w:spacing w:val="-2"/>
          <w:sz w:val="18"/>
        </w:rPr>
        <w:t> </w:t>
      </w:r>
      <w:r>
        <w:rPr>
          <w:rFonts w:ascii="Calibri"/>
          <w:spacing w:val="-4"/>
          <w:sz w:val="18"/>
        </w:rPr>
        <w:t>167,</w:t>
      </w:r>
    </w:p>
    <w:p>
      <w:pPr>
        <w:spacing w:before="0"/>
        <w:ind w:left="359" w:right="0" w:firstLine="0"/>
        <w:jc w:val="left"/>
        <w:rPr>
          <w:rFonts w:ascii="Calibri"/>
          <w:sz w:val="18"/>
        </w:rPr>
      </w:pPr>
      <w:r>
        <w:rPr>
          <w:rFonts w:ascii="Calibri"/>
          <w:sz w:val="18"/>
        </w:rPr>
        <w:t>170,</w:t>
      </w:r>
      <w:r>
        <w:rPr>
          <w:rFonts w:ascii="Calibri"/>
          <w:spacing w:val="-3"/>
          <w:sz w:val="18"/>
        </w:rPr>
        <w:t> </w:t>
      </w:r>
      <w:r>
        <w:rPr>
          <w:rFonts w:ascii="Calibri"/>
          <w:sz w:val="18"/>
        </w:rPr>
        <w:t>179,</w:t>
      </w:r>
      <w:r>
        <w:rPr>
          <w:rFonts w:ascii="Calibri"/>
          <w:spacing w:val="-2"/>
          <w:sz w:val="18"/>
        </w:rPr>
        <w:t> </w:t>
      </w:r>
      <w:r>
        <w:rPr>
          <w:rFonts w:ascii="Calibri"/>
          <w:sz w:val="18"/>
        </w:rPr>
        <w:t>202,</w:t>
      </w:r>
      <w:r>
        <w:rPr>
          <w:rFonts w:ascii="Calibri"/>
          <w:spacing w:val="-3"/>
          <w:sz w:val="18"/>
        </w:rPr>
        <w:t> </w:t>
      </w:r>
      <w:r>
        <w:rPr>
          <w:rFonts w:ascii="Calibri"/>
          <w:sz w:val="18"/>
        </w:rPr>
        <w:t>215,</w:t>
      </w:r>
      <w:r>
        <w:rPr>
          <w:rFonts w:ascii="Calibri"/>
          <w:spacing w:val="-2"/>
          <w:sz w:val="18"/>
        </w:rPr>
        <w:t> </w:t>
      </w:r>
      <w:r>
        <w:rPr>
          <w:rFonts w:ascii="Calibri"/>
          <w:sz w:val="18"/>
        </w:rPr>
        <w:t>229,</w:t>
      </w:r>
      <w:r>
        <w:rPr>
          <w:rFonts w:ascii="Calibri"/>
          <w:spacing w:val="-3"/>
          <w:sz w:val="18"/>
        </w:rPr>
        <w:t> </w:t>
      </w:r>
      <w:r>
        <w:rPr>
          <w:rFonts w:ascii="Calibri"/>
          <w:sz w:val="18"/>
        </w:rPr>
        <w:t>230,</w:t>
      </w:r>
      <w:r>
        <w:rPr>
          <w:rFonts w:ascii="Calibri"/>
          <w:spacing w:val="-2"/>
          <w:sz w:val="18"/>
        </w:rPr>
        <w:t> </w:t>
      </w:r>
      <w:r>
        <w:rPr>
          <w:rFonts w:ascii="Calibri"/>
          <w:sz w:val="18"/>
        </w:rPr>
        <w:t>233,</w:t>
      </w:r>
      <w:r>
        <w:rPr>
          <w:rFonts w:ascii="Calibri"/>
          <w:spacing w:val="-3"/>
          <w:sz w:val="18"/>
        </w:rPr>
        <w:t> </w:t>
      </w:r>
      <w:r>
        <w:rPr>
          <w:rFonts w:ascii="Calibri"/>
          <w:spacing w:val="-4"/>
          <w:sz w:val="18"/>
        </w:rPr>
        <w:t>234,</w:t>
      </w:r>
    </w:p>
    <w:p>
      <w:pPr>
        <w:spacing w:before="0"/>
        <w:ind w:left="359" w:right="0" w:firstLine="0"/>
        <w:jc w:val="left"/>
        <w:rPr>
          <w:rFonts w:ascii="Calibri"/>
          <w:sz w:val="18"/>
        </w:rPr>
      </w:pPr>
      <w:r>
        <w:rPr>
          <w:rFonts w:ascii="Calibri"/>
          <w:sz w:val="18"/>
        </w:rPr>
        <w:t>237,</w:t>
      </w:r>
      <w:r>
        <w:rPr>
          <w:rFonts w:ascii="Calibri"/>
          <w:spacing w:val="-4"/>
          <w:sz w:val="18"/>
        </w:rPr>
        <w:t> </w:t>
      </w:r>
      <w:r>
        <w:rPr>
          <w:rFonts w:ascii="Calibri"/>
          <w:sz w:val="18"/>
        </w:rPr>
        <w:t>250,</w:t>
      </w:r>
      <w:r>
        <w:rPr>
          <w:rFonts w:ascii="Calibri"/>
          <w:spacing w:val="-3"/>
          <w:sz w:val="18"/>
        </w:rPr>
        <w:t> </w:t>
      </w:r>
      <w:r>
        <w:rPr>
          <w:rFonts w:ascii="Calibri"/>
          <w:sz w:val="18"/>
        </w:rPr>
        <w:t>253,</w:t>
      </w:r>
      <w:r>
        <w:rPr>
          <w:rFonts w:ascii="Calibri"/>
          <w:spacing w:val="-3"/>
          <w:sz w:val="18"/>
        </w:rPr>
        <w:t> </w:t>
      </w:r>
      <w:r>
        <w:rPr>
          <w:rFonts w:ascii="Calibri"/>
          <w:spacing w:val="-5"/>
          <w:sz w:val="18"/>
        </w:rPr>
        <w:t>257</w:t>
      </w:r>
    </w:p>
    <w:p>
      <w:pPr>
        <w:pStyle w:val="BodyText"/>
        <w:spacing w:before="10"/>
        <w:rPr>
          <w:rFonts w:ascii="Calibri"/>
        </w:rPr>
      </w:pPr>
    </w:p>
    <w:p>
      <w:pPr>
        <w:spacing w:before="1"/>
        <w:ind w:left="60" w:right="73" w:firstLine="0"/>
        <w:jc w:val="center"/>
        <w:rPr>
          <w:rFonts w:ascii="Calibri"/>
          <w:sz w:val="18"/>
        </w:rPr>
      </w:pPr>
      <w:r>
        <w:rPr>
          <w:rFonts w:ascii="Calibri"/>
          <w:sz w:val="18"/>
        </w:rPr>
        <w:t>Trend</w:t>
      </w:r>
      <w:r>
        <w:rPr>
          <w:rFonts w:ascii="Calibri"/>
          <w:spacing w:val="-3"/>
          <w:sz w:val="18"/>
        </w:rPr>
        <w:t> </w:t>
      </w:r>
      <w:r>
        <w:rPr>
          <w:rFonts w:ascii="Calibri"/>
          <w:sz w:val="18"/>
        </w:rPr>
        <w:t>Day,</w:t>
      </w:r>
      <w:r>
        <w:rPr>
          <w:rFonts w:ascii="Calibri"/>
          <w:spacing w:val="-2"/>
          <w:sz w:val="18"/>
        </w:rPr>
        <w:t> </w:t>
      </w:r>
      <w:r>
        <w:rPr>
          <w:rFonts w:ascii="Calibri"/>
          <w:sz w:val="18"/>
        </w:rPr>
        <w:t>19,</w:t>
      </w:r>
      <w:r>
        <w:rPr>
          <w:rFonts w:ascii="Calibri"/>
          <w:spacing w:val="-2"/>
          <w:sz w:val="18"/>
        </w:rPr>
        <w:t> </w:t>
      </w:r>
      <w:r>
        <w:rPr>
          <w:rFonts w:ascii="Calibri"/>
          <w:sz w:val="18"/>
        </w:rPr>
        <w:t>20,</w:t>
      </w:r>
      <w:r>
        <w:rPr>
          <w:rFonts w:ascii="Calibri"/>
          <w:spacing w:val="-2"/>
          <w:sz w:val="18"/>
        </w:rPr>
        <w:t> </w:t>
      </w:r>
      <w:r>
        <w:rPr>
          <w:rFonts w:ascii="Calibri"/>
          <w:sz w:val="18"/>
        </w:rPr>
        <w:t>21,</w:t>
      </w:r>
      <w:r>
        <w:rPr>
          <w:rFonts w:ascii="Calibri"/>
          <w:spacing w:val="-2"/>
          <w:sz w:val="18"/>
        </w:rPr>
        <w:t> </w:t>
      </w:r>
      <w:r>
        <w:rPr>
          <w:rFonts w:ascii="Calibri"/>
          <w:sz w:val="18"/>
        </w:rPr>
        <w:t>22,</w:t>
      </w:r>
      <w:r>
        <w:rPr>
          <w:rFonts w:ascii="Calibri"/>
          <w:spacing w:val="-3"/>
          <w:sz w:val="18"/>
        </w:rPr>
        <w:t> </w:t>
      </w:r>
      <w:r>
        <w:rPr>
          <w:rFonts w:ascii="Calibri"/>
          <w:sz w:val="18"/>
        </w:rPr>
        <w:t>24,</w:t>
      </w:r>
      <w:r>
        <w:rPr>
          <w:rFonts w:ascii="Calibri"/>
          <w:spacing w:val="-2"/>
          <w:sz w:val="18"/>
        </w:rPr>
        <w:t> </w:t>
      </w:r>
      <w:r>
        <w:rPr>
          <w:rFonts w:ascii="Calibri"/>
          <w:sz w:val="18"/>
        </w:rPr>
        <w:t>26,</w:t>
      </w:r>
      <w:r>
        <w:rPr>
          <w:rFonts w:ascii="Calibri"/>
          <w:spacing w:val="-1"/>
          <w:sz w:val="18"/>
        </w:rPr>
        <w:t> </w:t>
      </w:r>
      <w:r>
        <w:rPr>
          <w:rFonts w:ascii="Calibri"/>
          <w:sz w:val="18"/>
        </w:rPr>
        <w:t>28,</w:t>
      </w:r>
      <w:r>
        <w:rPr>
          <w:rFonts w:ascii="Calibri"/>
          <w:spacing w:val="-2"/>
          <w:sz w:val="18"/>
        </w:rPr>
        <w:t> </w:t>
      </w:r>
      <w:r>
        <w:rPr>
          <w:rFonts w:ascii="Calibri"/>
          <w:spacing w:val="-5"/>
          <w:sz w:val="18"/>
        </w:rPr>
        <w:t>73,</w:t>
      </w:r>
    </w:p>
    <w:p>
      <w:pPr>
        <w:spacing w:before="0"/>
        <w:ind w:left="115" w:right="73" w:firstLine="0"/>
        <w:jc w:val="center"/>
        <w:rPr>
          <w:rFonts w:ascii="Calibri"/>
          <w:sz w:val="18"/>
        </w:rPr>
      </w:pPr>
      <w:r>
        <w:rPr>
          <w:rFonts w:ascii="Calibri"/>
          <w:sz w:val="18"/>
        </w:rPr>
        <w:t>75,</w:t>
      </w:r>
      <w:r>
        <w:rPr>
          <w:rFonts w:ascii="Calibri"/>
          <w:spacing w:val="-2"/>
          <w:sz w:val="18"/>
        </w:rPr>
        <w:t> </w:t>
      </w:r>
      <w:r>
        <w:rPr>
          <w:rFonts w:ascii="Calibri"/>
          <w:sz w:val="18"/>
        </w:rPr>
        <w:t>87,</w:t>
      </w:r>
      <w:r>
        <w:rPr>
          <w:rFonts w:ascii="Calibri"/>
          <w:spacing w:val="-1"/>
          <w:sz w:val="18"/>
        </w:rPr>
        <w:t> </w:t>
      </w:r>
      <w:r>
        <w:rPr>
          <w:rFonts w:ascii="Calibri"/>
          <w:sz w:val="18"/>
        </w:rPr>
        <w:t>88,</w:t>
      </w:r>
      <w:r>
        <w:rPr>
          <w:rFonts w:ascii="Calibri"/>
          <w:spacing w:val="-2"/>
          <w:sz w:val="18"/>
        </w:rPr>
        <w:t> </w:t>
      </w:r>
      <w:r>
        <w:rPr>
          <w:rFonts w:ascii="Calibri"/>
          <w:sz w:val="18"/>
        </w:rPr>
        <w:t>89,</w:t>
      </w:r>
      <w:r>
        <w:rPr>
          <w:rFonts w:ascii="Calibri"/>
          <w:spacing w:val="-1"/>
          <w:sz w:val="18"/>
        </w:rPr>
        <w:t> </w:t>
      </w:r>
      <w:r>
        <w:rPr>
          <w:rFonts w:ascii="Calibri"/>
          <w:sz w:val="18"/>
        </w:rPr>
        <w:t>90,</w:t>
      </w:r>
      <w:r>
        <w:rPr>
          <w:rFonts w:ascii="Calibri"/>
          <w:spacing w:val="-2"/>
          <w:sz w:val="18"/>
        </w:rPr>
        <w:t> </w:t>
      </w:r>
      <w:r>
        <w:rPr>
          <w:rFonts w:ascii="Calibri"/>
          <w:sz w:val="18"/>
        </w:rPr>
        <w:t>93,</w:t>
      </w:r>
      <w:r>
        <w:rPr>
          <w:rFonts w:ascii="Calibri"/>
          <w:spacing w:val="-1"/>
          <w:sz w:val="18"/>
        </w:rPr>
        <w:t> </w:t>
      </w:r>
      <w:r>
        <w:rPr>
          <w:rFonts w:ascii="Calibri"/>
          <w:sz w:val="18"/>
        </w:rPr>
        <w:t>94,</w:t>
      </w:r>
      <w:r>
        <w:rPr>
          <w:rFonts w:ascii="Calibri"/>
          <w:spacing w:val="-2"/>
          <w:sz w:val="18"/>
        </w:rPr>
        <w:t> </w:t>
      </w:r>
      <w:r>
        <w:rPr>
          <w:rFonts w:ascii="Calibri"/>
          <w:sz w:val="18"/>
        </w:rPr>
        <w:t>101,</w:t>
      </w:r>
      <w:r>
        <w:rPr>
          <w:rFonts w:ascii="Calibri"/>
          <w:spacing w:val="-1"/>
          <w:sz w:val="18"/>
        </w:rPr>
        <w:t> </w:t>
      </w:r>
      <w:r>
        <w:rPr>
          <w:rFonts w:ascii="Calibri"/>
          <w:spacing w:val="-4"/>
          <w:sz w:val="18"/>
        </w:rPr>
        <w:t>105,</w:t>
      </w:r>
    </w:p>
    <w:p>
      <w:pPr>
        <w:spacing w:before="0"/>
        <w:ind w:left="359" w:right="0" w:firstLine="0"/>
        <w:jc w:val="left"/>
        <w:rPr>
          <w:rFonts w:ascii="Calibri"/>
          <w:sz w:val="18"/>
        </w:rPr>
      </w:pPr>
      <w:r>
        <w:rPr>
          <w:rFonts w:ascii="Calibri"/>
          <w:sz w:val="18"/>
        </w:rPr>
        <w:t>131,</w:t>
      </w:r>
      <w:r>
        <w:rPr>
          <w:rFonts w:ascii="Calibri"/>
          <w:spacing w:val="-3"/>
          <w:sz w:val="18"/>
        </w:rPr>
        <w:t> </w:t>
      </w:r>
      <w:r>
        <w:rPr>
          <w:rFonts w:ascii="Calibri"/>
          <w:sz w:val="18"/>
        </w:rPr>
        <w:t>132,</w:t>
      </w:r>
      <w:r>
        <w:rPr>
          <w:rFonts w:ascii="Calibri"/>
          <w:spacing w:val="-2"/>
          <w:sz w:val="18"/>
        </w:rPr>
        <w:t> </w:t>
      </w:r>
      <w:r>
        <w:rPr>
          <w:rFonts w:ascii="Calibri"/>
          <w:sz w:val="18"/>
        </w:rPr>
        <w:t>153,</w:t>
      </w:r>
      <w:r>
        <w:rPr>
          <w:rFonts w:ascii="Calibri"/>
          <w:spacing w:val="-3"/>
          <w:sz w:val="18"/>
        </w:rPr>
        <w:t> </w:t>
      </w:r>
      <w:r>
        <w:rPr>
          <w:rFonts w:ascii="Calibri"/>
          <w:sz w:val="18"/>
        </w:rPr>
        <w:t>155,</w:t>
      </w:r>
      <w:r>
        <w:rPr>
          <w:rFonts w:ascii="Calibri"/>
          <w:spacing w:val="-2"/>
          <w:sz w:val="18"/>
        </w:rPr>
        <w:t> </w:t>
      </w:r>
      <w:r>
        <w:rPr>
          <w:rFonts w:ascii="Calibri"/>
          <w:sz w:val="18"/>
        </w:rPr>
        <w:t>158,</w:t>
      </w:r>
      <w:r>
        <w:rPr>
          <w:rFonts w:ascii="Calibri"/>
          <w:spacing w:val="-3"/>
          <w:sz w:val="18"/>
        </w:rPr>
        <w:t> </w:t>
      </w:r>
      <w:r>
        <w:rPr>
          <w:rFonts w:ascii="Calibri"/>
          <w:sz w:val="18"/>
        </w:rPr>
        <w:t>159,</w:t>
      </w:r>
      <w:r>
        <w:rPr>
          <w:rFonts w:ascii="Calibri"/>
          <w:spacing w:val="-2"/>
          <w:sz w:val="18"/>
        </w:rPr>
        <w:t> </w:t>
      </w:r>
      <w:r>
        <w:rPr>
          <w:rFonts w:ascii="Calibri"/>
          <w:sz w:val="18"/>
        </w:rPr>
        <w:t>191,</w:t>
      </w:r>
      <w:r>
        <w:rPr>
          <w:rFonts w:ascii="Calibri"/>
          <w:spacing w:val="-3"/>
          <w:sz w:val="18"/>
        </w:rPr>
        <w:t> </w:t>
      </w:r>
      <w:r>
        <w:rPr>
          <w:rFonts w:ascii="Calibri"/>
          <w:spacing w:val="-4"/>
          <w:sz w:val="18"/>
        </w:rPr>
        <w:t>197,</w:t>
      </w:r>
    </w:p>
    <w:p>
      <w:pPr>
        <w:spacing w:before="0"/>
        <w:ind w:left="359" w:right="0" w:firstLine="0"/>
        <w:jc w:val="left"/>
        <w:rPr>
          <w:rFonts w:ascii="Calibri"/>
          <w:sz w:val="18"/>
        </w:rPr>
      </w:pPr>
      <w:r>
        <w:rPr>
          <w:rFonts w:ascii="Calibri"/>
          <w:sz w:val="18"/>
        </w:rPr>
        <w:t>222,</w:t>
      </w:r>
      <w:r>
        <w:rPr>
          <w:rFonts w:ascii="Calibri"/>
          <w:spacing w:val="-3"/>
          <w:sz w:val="18"/>
        </w:rPr>
        <w:t> </w:t>
      </w:r>
      <w:r>
        <w:rPr>
          <w:rFonts w:ascii="Calibri"/>
          <w:sz w:val="18"/>
        </w:rPr>
        <w:t>223,</w:t>
      </w:r>
      <w:r>
        <w:rPr>
          <w:rFonts w:ascii="Calibri"/>
          <w:spacing w:val="-3"/>
          <w:sz w:val="18"/>
        </w:rPr>
        <w:t> </w:t>
      </w:r>
      <w:r>
        <w:rPr>
          <w:rFonts w:ascii="Calibri"/>
          <w:sz w:val="18"/>
        </w:rPr>
        <w:t>225,</w:t>
      </w:r>
      <w:r>
        <w:rPr>
          <w:rFonts w:ascii="Calibri"/>
          <w:spacing w:val="-3"/>
          <w:sz w:val="18"/>
        </w:rPr>
        <w:t> </w:t>
      </w:r>
      <w:r>
        <w:rPr>
          <w:rFonts w:ascii="Calibri"/>
          <w:sz w:val="18"/>
        </w:rPr>
        <w:t>226,</w:t>
      </w:r>
      <w:r>
        <w:rPr>
          <w:rFonts w:ascii="Calibri"/>
          <w:spacing w:val="-3"/>
          <w:sz w:val="18"/>
        </w:rPr>
        <w:t> </w:t>
      </w:r>
      <w:r>
        <w:rPr>
          <w:rFonts w:ascii="Calibri"/>
          <w:sz w:val="18"/>
        </w:rPr>
        <w:t>265,</w:t>
      </w:r>
      <w:r>
        <w:rPr>
          <w:rFonts w:ascii="Calibri"/>
          <w:spacing w:val="-3"/>
          <w:sz w:val="18"/>
        </w:rPr>
        <w:t> </w:t>
      </w:r>
      <w:r>
        <w:rPr>
          <w:rFonts w:ascii="Calibri"/>
          <w:spacing w:val="-5"/>
          <w:sz w:val="18"/>
        </w:rPr>
        <w:t>285</w:t>
      </w:r>
    </w:p>
    <w:p>
      <w:pPr>
        <w:pStyle w:val="BodyText"/>
        <w:spacing w:before="11"/>
        <w:rPr>
          <w:rFonts w:ascii="Calibri"/>
        </w:rPr>
      </w:pPr>
    </w:p>
    <w:p>
      <w:pPr>
        <w:spacing w:before="0"/>
        <w:ind w:left="140" w:right="0" w:firstLine="0"/>
        <w:jc w:val="left"/>
        <w:rPr>
          <w:rFonts w:ascii="Calibri"/>
          <w:sz w:val="18"/>
        </w:rPr>
      </w:pPr>
      <w:r>
        <w:rPr>
          <w:rFonts w:ascii="Calibri"/>
          <w:sz w:val="18"/>
        </w:rPr>
        <w:t>two-day</w:t>
      </w:r>
      <w:r>
        <w:rPr>
          <w:rFonts w:ascii="Calibri"/>
          <w:spacing w:val="-6"/>
          <w:sz w:val="18"/>
        </w:rPr>
        <w:t> </w:t>
      </w:r>
      <w:r>
        <w:rPr>
          <w:rFonts w:ascii="Calibri"/>
          <w:sz w:val="18"/>
        </w:rPr>
        <w:t>relationships,</w:t>
      </w:r>
      <w:r>
        <w:rPr>
          <w:rFonts w:ascii="Calibri"/>
          <w:spacing w:val="-4"/>
          <w:sz w:val="18"/>
        </w:rPr>
        <w:t> </w:t>
      </w:r>
      <w:r>
        <w:rPr>
          <w:rFonts w:ascii="Calibri"/>
          <w:sz w:val="18"/>
        </w:rPr>
        <w:t>148,</w:t>
      </w:r>
      <w:r>
        <w:rPr>
          <w:rFonts w:ascii="Calibri"/>
          <w:spacing w:val="-4"/>
          <w:sz w:val="18"/>
        </w:rPr>
        <w:t> </w:t>
      </w:r>
      <w:r>
        <w:rPr>
          <w:rFonts w:ascii="Calibri"/>
          <w:sz w:val="18"/>
        </w:rPr>
        <w:t>153,</w:t>
      </w:r>
      <w:r>
        <w:rPr>
          <w:rFonts w:ascii="Calibri"/>
          <w:spacing w:val="-4"/>
          <w:sz w:val="18"/>
        </w:rPr>
        <w:t> 167,</w:t>
      </w:r>
    </w:p>
    <w:p>
      <w:pPr>
        <w:spacing w:before="0"/>
        <w:ind w:left="359" w:right="0" w:firstLine="0"/>
        <w:jc w:val="left"/>
        <w:rPr>
          <w:rFonts w:ascii="Calibri"/>
          <w:sz w:val="18"/>
        </w:rPr>
      </w:pPr>
      <w:r>
        <w:rPr>
          <w:rFonts w:ascii="Calibri"/>
          <w:sz w:val="18"/>
        </w:rPr>
        <w:t>206,</w:t>
      </w:r>
      <w:r>
        <w:rPr>
          <w:rFonts w:ascii="Calibri"/>
          <w:spacing w:val="-3"/>
          <w:sz w:val="18"/>
        </w:rPr>
        <w:t> </w:t>
      </w:r>
      <w:r>
        <w:rPr>
          <w:rFonts w:ascii="Calibri"/>
          <w:sz w:val="18"/>
        </w:rPr>
        <w:t>207,</w:t>
      </w:r>
      <w:r>
        <w:rPr>
          <w:rFonts w:ascii="Calibri"/>
          <w:spacing w:val="-3"/>
          <w:sz w:val="18"/>
        </w:rPr>
        <w:t> </w:t>
      </w:r>
      <w:r>
        <w:rPr>
          <w:rFonts w:ascii="Calibri"/>
          <w:sz w:val="18"/>
        </w:rPr>
        <w:t>225,</w:t>
      </w:r>
      <w:r>
        <w:rPr>
          <w:rFonts w:ascii="Calibri"/>
          <w:spacing w:val="-3"/>
          <w:sz w:val="18"/>
        </w:rPr>
        <w:t> </w:t>
      </w:r>
      <w:r>
        <w:rPr>
          <w:rFonts w:ascii="Calibri"/>
          <w:sz w:val="18"/>
        </w:rPr>
        <w:t>265,</w:t>
      </w:r>
      <w:r>
        <w:rPr>
          <w:rFonts w:ascii="Calibri"/>
          <w:spacing w:val="-2"/>
          <w:sz w:val="18"/>
        </w:rPr>
        <w:t> </w:t>
      </w:r>
      <w:r>
        <w:rPr>
          <w:rFonts w:ascii="Calibri"/>
          <w:spacing w:val="-5"/>
          <w:sz w:val="18"/>
        </w:rPr>
        <w:t>272</w:t>
      </w:r>
    </w:p>
    <w:p>
      <w:pPr>
        <w:pStyle w:val="BodyText"/>
        <w:rPr>
          <w:rFonts w:ascii="Calibri"/>
          <w:sz w:val="23"/>
        </w:rPr>
      </w:pPr>
    </w:p>
    <w:p>
      <w:pPr>
        <w:spacing w:before="0"/>
        <w:ind w:left="140" w:right="0" w:firstLine="0"/>
        <w:jc w:val="left"/>
        <w:rPr>
          <w:rFonts w:ascii="Calibri"/>
          <w:sz w:val="18"/>
        </w:rPr>
      </w:pPr>
      <w:r>
        <w:rPr>
          <w:rFonts w:ascii="Calibri"/>
          <w:sz w:val="18"/>
        </w:rPr>
        <w:t>Two-Day</w:t>
      </w:r>
      <w:r>
        <w:rPr>
          <w:rFonts w:ascii="Calibri"/>
          <w:spacing w:val="-9"/>
          <w:sz w:val="18"/>
        </w:rPr>
        <w:t> </w:t>
      </w:r>
      <w:r>
        <w:rPr>
          <w:rFonts w:ascii="Calibri"/>
          <w:sz w:val="18"/>
        </w:rPr>
        <w:t>Relationships,</w:t>
      </w:r>
      <w:r>
        <w:rPr>
          <w:rFonts w:ascii="Calibri"/>
          <w:spacing w:val="-8"/>
          <w:sz w:val="18"/>
        </w:rPr>
        <w:t> </w:t>
      </w:r>
      <w:r>
        <w:rPr>
          <w:rFonts w:ascii="Calibri"/>
          <w:spacing w:val="-5"/>
          <w:sz w:val="18"/>
        </w:rPr>
        <w:t>139</w:t>
      </w:r>
    </w:p>
    <w:p>
      <w:pPr>
        <w:pStyle w:val="BodyText"/>
        <w:spacing w:before="11"/>
        <w:rPr>
          <w:rFonts w:ascii="Calibri"/>
        </w:rPr>
      </w:pPr>
    </w:p>
    <w:p>
      <w:pPr>
        <w:spacing w:before="0"/>
        <w:ind w:left="140" w:right="0" w:firstLine="0"/>
        <w:jc w:val="left"/>
        <w:rPr>
          <w:rFonts w:ascii="Calibri"/>
          <w:sz w:val="18"/>
        </w:rPr>
      </w:pPr>
      <w:r>
        <w:rPr>
          <w:rFonts w:ascii="Calibri"/>
          <w:sz w:val="18"/>
        </w:rPr>
        <w:t>Typical</w:t>
      </w:r>
      <w:r>
        <w:rPr>
          <w:rFonts w:ascii="Calibri"/>
          <w:spacing w:val="-3"/>
          <w:sz w:val="18"/>
        </w:rPr>
        <w:t> </w:t>
      </w:r>
      <w:r>
        <w:rPr>
          <w:rFonts w:ascii="Calibri"/>
          <w:sz w:val="18"/>
        </w:rPr>
        <w:t>Day,</w:t>
      </w:r>
      <w:r>
        <w:rPr>
          <w:rFonts w:ascii="Calibri"/>
          <w:spacing w:val="-2"/>
          <w:sz w:val="18"/>
        </w:rPr>
        <w:t> </w:t>
      </w:r>
      <w:r>
        <w:rPr>
          <w:rFonts w:ascii="Calibri"/>
          <w:sz w:val="18"/>
        </w:rPr>
        <w:t>22,</w:t>
      </w:r>
      <w:r>
        <w:rPr>
          <w:rFonts w:ascii="Calibri"/>
          <w:spacing w:val="-2"/>
          <w:sz w:val="18"/>
        </w:rPr>
        <w:t> </w:t>
      </w:r>
      <w:r>
        <w:rPr>
          <w:rFonts w:ascii="Calibri"/>
          <w:sz w:val="18"/>
        </w:rPr>
        <w:t>23,</w:t>
      </w:r>
      <w:r>
        <w:rPr>
          <w:rFonts w:ascii="Calibri"/>
          <w:spacing w:val="-2"/>
          <w:sz w:val="18"/>
        </w:rPr>
        <w:t> </w:t>
      </w:r>
      <w:r>
        <w:rPr>
          <w:rFonts w:ascii="Calibri"/>
          <w:sz w:val="18"/>
        </w:rPr>
        <w:t>24,</w:t>
      </w:r>
      <w:r>
        <w:rPr>
          <w:rFonts w:ascii="Calibri"/>
          <w:spacing w:val="-3"/>
          <w:sz w:val="18"/>
        </w:rPr>
        <w:t> </w:t>
      </w:r>
      <w:r>
        <w:rPr>
          <w:rFonts w:ascii="Calibri"/>
          <w:sz w:val="18"/>
        </w:rPr>
        <w:t>25,</w:t>
      </w:r>
      <w:r>
        <w:rPr>
          <w:rFonts w:ascii="Calibri"/>
          <w:spacing w:val="-2"/>
          <w:sz w:val="18"/>
        </w:rPr>
        <w:t> </w:t>
      </w:r>
      <w:r>
        <w:rPr>
          <w:rFonts w:ascii="Calibri"/>
          <w:sz w:val="18"/>
        </w:rPr>
        <w:t>28,</w:t>
      </w:r>
      <w:r>
        <w:rPr>
          <w:rFonts w:ascii="Calibri"/>
          <w:spacing w:val="-3"/>
          <w:sz w:val="18"/>
        </w:rPr>
        <w:t> </w:t>
      </w:r>
      <w:r>
        <w:rPr>
          <w:rFonts w:ascii="Calibri"/>
          <w:sz w:val="18"/>
        </w:rPr>
        <w:t>36,</w:t>
      </w:r>
      <w:r>
        <w:rPr>
          <w:rFonts w:ascii="Calibri"/>
          <w:spacing w:val="-2"/>
          <w:sz w:val="18"/>
        </w:rPr>
        <w:t> </w:t>
      </w:r>
      <w:r>
        <w:rPr>
          <w:rFonts w:ascii="Calibri"/>
          <w:sz w:val="18"/>
        </w:rPr>
        <w:t>63,</w:t>
      </w:r>
      <w:r>
        <w:rPr>
          <w:rFonts w:ascii="Calibri"/>
          <w:spacing w:val="-2"/>
          <w:sz w:val="18"/>
        </w:rPr>
        <w:t> </w:t>
      </w:r>
      <w:r>
        <w:rPr>
          <w:rFonts w:ascii="Calibri"/>
          <w:spacing w:val="-5"/>
          <w:sz w:val="18"/>
        </w:rPr>
        <w:t>73,</w:t>
      </w:r>
    </w:p>
    <w:p>
      <w:pPr>
        <w:spacing w:before="0"/>
        <w:ind w:left="359" w:right="0" w:firstLine="0"/>
        <w:jc w:val="left"/>
        <w:rPr>
          <w:rFonts w:ascii="Calibri"/>
          <w:sz w:val="18"/>
        </w:rPr>
      </w:pPr>
      <w:r>
        <w:rPr>
          <w:rFonts w:ascii="Calibri"/>
          <w:sz w:val="18"/>
        </w:rPr>
        <w:t>74,</w:t>
      </w:r>
      <w:r>
        <w:rPr>
          <w:rFonts w:ascii="Calibri"/>
          <w:spacing w:val="-2"/>
          <w:sz w:val="18"/>
        </w:rPr>
        <w:t> </w:t>
      </w:r>
      <w:r>
        <w:rPr>
          <w:rFonts w:ascii="Calibri"/>
          <w:sz w:val="18"/>
        </w:rPr>
        <w:t>75,</w:t>
      </w:r>
      <w:r>
        <w:rPr>
          <w:rFonts w:ascii="Calibri"/>
          <w:spacing w:val="-2"/>
          <w:sz w:val="18"/>
        </w:rPr>
        <w:t> </w:t>
      </w:r>
      <w:r>
        <w:rPr>
          <w:rFonts w:ascii="Calibri"/>
          <w:sz w:val="18"/>
        </w:rPr>
        <w:t>93,</w:t>
      </w:r>
      <w:r>
        <w:rPr>
          <w:rFonts w:ascii="Calibri"/>
          <w:spacing w:val="-2"/>
          <w:sz w:val="18"/>
        </w:rPr>
        <w:t> </w:t>
      </w:r>
      <w:r>
        <w:rPr>
          <w:rFonts w:ascii="Calibri"/>
          <w:sz w:val="18"/>
        </w:rPr>
        <w:t>97,</w:t>
      </w:r>
      <w:r>
        <w:rPr>
          <w:rFonts w:ascii="Calibri"/>
          <w:spacing w:val="-1"/>
          <w:sz w:val="18"/>
        </w:rPr>
        <w:t> </w:t>
      </w:r>
      <w:r>
        <w:rPr>
          <w:rFonts w:ascii="Calibri"/>
          <w:sz w:val="18"/>
        </w:rPr>
        <w:t>98,</w:t>
      </w:r>
      <w:r>
        <w:rPr>
          <w:rFonts w:ascii="Calibri"/>
          <w:spacing w:val="-2"/>
          <w:sz w:val="18"/>
        </w:rPr>
        <w:t> </w:t>
      </w:r>
      <w:r>
        <w:rPr>
          <w:rFonts w:ascii="Calibri"/>
          <w:sz w:val="18"/>
        </w:rPr>
        <w:t>115,</w:t>
      </w:r>
      <w:r>
        <w:rPr>
          <w:rFonts w:ascii="Calibri"/>
          <w:spacing w:val="-2"/>
          <w:sz w:val="18"/>
        </w:rPr>
        <w:t> </w:t>
      </w:r>
      <w:r>
        <w:rPr>
          <w:rFonts w:ascii="Calibri"/>
          <w:spacing w:val="-5"/>
          <w:sz w:val="18"/>
        </w:rPr>
        <w:t>153</w:t>
      </w:r>
    </w:p>
    <w:p>
      <w:pPr>
        <w:pStyle w:val="BodyText"/>
        <w:spacing w:before="11"/>
        <w:rPr>
          <w:rFonts w:ascii="Calibri"/>
        </w:rPr>
      </w:pPr>
    </w:p>
    <w:p>
      <w:pPr>
        <w:pStyle w:val="Heading4"/>
      </w:pPr>
      <w:r>
        <w:rPr>
          <w:w w:val="102"/>
        </w:rPr>
        <w:t>U</w:t>
      </w:r>
    </w:p>
    <w:p>
      <w:pPr>
        <w:spacing w:before="110"/>
        <w:ind w:left="496" w:right="854" w:firstLine="0"/>
        <w:jc w:val="center"/>
        <w:rPr>
          <w:rFonts w:ascii="Calibri"/>
          <w:sz w:val="26"/>
        </w:rPr>
      </w:pPr>
      <w:r>
        <w:rPr/>
        <w:br w:type="column"/>
      </w:r>
      <w:r>
        <w:rPr>
          <w:rFonts w:ascii="Calibri"/>
          <w:spacing w:val="-10"/>
          <w:w w:val="105"/>
          <w:sz w:val="26"/>
        </w:rPr>
        <w:t>V</w:t>
      </w:r>
    </w:p>
    <w:p>
      <w:pPr>
        <w:pStyle w:val="BodyText"/>
        <w:spacing w:before="12"/>
        <w:rPr>
          <w:rFonts w:ascii="Calibri"/>
        </w:rPr>
      </w:pPr>
    </w:p>
    <w:p>
      <w:pPr>
        <w:spacing w:before="0"/>
        <w:ind w:left="0" w:right="608" w:firstLine="0"/>
        <w:jc w:val="right"/>
        <w:rPr>
          <w:rFonts w:ascii="Calibri"/>
          <w:sz w:val="18"/>
        </w:rPr>
      </w:pPr>
      <w:r>
        <w:rPr>
          <w:rFonts w:ascii="Calibri"/>
          <w:sz w:val="18"/>
        </w:rPr>
        <w:t>value</w:t>
      </w:r>
      <w:r>
        <w:rPr>
          <w:rFonts w:ascii="Calibri"/>
          <w:spacing w:val="-3"/>
          <w:sz w:val="18"/>
        </w:rPr>
        <w:t> </w:t>
      </w:r>
      <w:r>
        <w:rPr>
          <w:rFonts w:ascii="Calibri"/>
          <w:sz w:val="18"/>
        </w:rPr>
        <w:t>area,</w:t>
      </w:r>
      <w:r>
        <w:rPr>
          <w:rFonts w:ascii="Calibri"/>
          <w:spacing w:val="-2"/>
          <w:sz w:val="18"/>
        </w:rPr>
        <w:t> </w:t>
      </w:r>
      <w:r>
        <w:rPr>
          <w:rFonts w:ascii="Calibri"/>
          <w:sz w:val="18"/>
        </w:rPr>
        <w:t>35,</w:t>
      </w:r>
      <w:r>
        <w:rPr>
          <w:rFonts w:ascii="Calibri"/>
          <w:spacing w:val="-3"/>
          <w:sz w:val="18"/>
        </w:rPr>
        <w:t> </w:t>
      </w:r>
      <w:r>
        <w:rPr>
          <w:rFonts w:ascii="Calibri"/>
          <w:sz w:val="18"/>
        </w:rPr>
        <w:t>60,</w:t>
      </w:r>
      <w:r>
        <w:rPr>
          <w:rFonts w:ascii="Calibri"/>
          <w:spacing w:val="-2"/>
          <w:sz w:val="18"/>
        </w:rPr>
        <w:t> </w:t>
      </w:r>
      <w:r>
        <w:rPr>
          <w:rFonts w:ascii="Calibri"/>
          <w:sz w:val="18"/>
        </w:rPr>
        <w:t>64,</w:t>
      </w:r>
      <w:r>
        <w:rPr>
          <w:rFonts w:ascii="Calibri"/>
          <w:spacing w:val="-2"/>
          <w:sz w:val="18"/>
        </w:rPr>
        <w:t> </w:t>
      </w:r>
      <w:r>
        <w:rPr>
          <w:rFonts w:ascii="Calibri"/>
          <w:sz w:val="18"/>
        </w:rPr>
        <w:t>65,</w:t>
      </w:r>
      <w:r>
        <w:rPr>
          <w:rFonts w:ascii="Calibri"/>
          <w:spacing w:val="-3"/>
          <w:sz w:val="18"/>
        </w:rPr>
        <w:t> </w:t>
      </w:r>
      <w:r>
        <w:rPr>
          <w:rFonts w:ascii="Calibri"/>
          <w:sz w:val="18"/>
        </w:rPr>
        <w:t>66,</w:t>
      </w:r>
      <w:r>
        <w:rPr>
          <w:rFonts w:ascii="Calibri"/>
          <w:spacing w:val="-2"/>
          <w:sz w:val="18"/>
        </w:rPr>
        <w:t> </w:t>
      </w:r>
      <w:r>
        <w:rPr>
          <w:rFonts w:ascii="Calibri"/>
          <w:sz w:val="18"/>
        </w:rPr>
        <w:t>67,</w:t>
      </w:r>
      <w:r>
        <w:rPr>
          <w:rFonts w:ascii="Calibri"/>
          <w:spacing w:val="-1"/>
          <w:sz w:val="18"/>
        </w:rPr>
        <w:t> </w:t>
      </w:r>
      <w:r>
        <w:rPr>
          <w:rFonts w:ascii="Calibri"/>
          <w:sz w:val="18"/>
        </w:rPr>
        <w:t>71,</w:t>
      </w:r>
      <w:r>
        <w:rPr>
          <w:rFonts w:ascii="Calibri"/>
          <w:spacing w:val="-3"/>
          <w:sz w:val="18"/>
        </w:rPr>
        <w:t> </w:t>
      </w:r>
      <w:r>
        <w:rPr>
          <w:rFonts w:ascii="Calibri"/>
          <w:spacing w:val="-5"/>
          <w:sz w:val="18"/>
        </w:rPr>
        <w:t>72,</w:t>
      </w:r>
    </w:p>
    <w:p>
      <w:pPr>
        <w:spacing w:before="0"/>
        <w:ind w:left="0" w:right="695" w:firstLine="0"/>
        <w:jc w:val="right"/>
        <w:rPr>
          <w:rFonts w:ascii="Calibri"/>
          <w:sz w:val="18"/>
        </w:rPr>
      </w:pPr>
      <w:r>
        <w:rPr>
          <w:rFonts w:ascii="Calibri"/>
          <w:sz w:val="18"/>
        </w:rPr>
        <w:t>73,</w:t>
      </w:r>
      <w:r>
        <w:rPr>
          <w:rFonts w:ascii="Calibri"/>
          <w:spacing w:val="-2"/>
          <w:sz w:val="18"/>
        </w:rPr>
        <w:t> </w:t>
      </w:r>
      <w:r>
        <w:rPr>
          <w:rFonts w:ascii="Calibri"/>
          <w:sz w:val="18"/>
        </w:rPr>
        <w:t>74,</w:t>
      </w:r>
      <w:r>
        <w:rPr>
          <w:rFonts w:ascii="Calibri"/>
          <w:spacing w:val="-2"/>
          <w:sz w:val="18"/>
        </w:rPr>
        <w:t> </w:t>
      </w:r>
      <w:r>
        <w:rPr>
          <w:rFonts w:ascii="Calibri"/>
          <w:sz w:val="18"/>
        </w:rPr>
        <w:t>75,</w:t>
      </w:r>
      <w:r>
        <w:rPr>
          <w:rFonts w:ascii="Calibri"/>
          <w:spacing w:val="-1"/>
          <w:sz w:val="18"/>
        </w:rPr>
        <w:t> </w:t>
      </w:r>
      <w:r>
        <w:rPr>
          <w:rFonts w:ascii="Calibri"/>
          <w:sz w:val="18"/>
        </w:rPr>
        <w:t>76,</w:t>
      </w:r>
      <w:r>
        <w:rPr>
          <w:rFonts w:ascii="Calibri"/>
          <w:spacing w:val="-2"/>
          <w:sz w:val="18"/>
        </w:rPr>
        <w:t> </w:t>
      </w:r>
      <w:r>
        <w:rPr>
          <w:rFonts w:ascii="Calibri"/>
          <w:sz w:val="18"/>
        </w:rPr>
        <w:t>77,</w:t>
      </w:r>
      <w:r>
        <w:rPr>
          <w:rFonts w:ascii="Calibri"/>
          <w:spacing w:val="-1"/>
          <w:sz w:val="18"/>
        </w:rPr>
        <w:t> </w:t>
      </w:r>
      <w:r>
        <w:rPr>
          <w:rFonts w:ascii="Calibri"/>
          <w:sz w:val="18"/>
        </w:rPr>
        <w:t>78,</w:t>
      </w:r>
      <w:r>
        <w:rPr>
          <w:rFonts w:ascii="Calibri"/>
          <w:spacing w:val="-2"/>
          <w:sz w:val="18"/>
        </w:rPr>
        <w:t> </w:t>
      </w:r>
      <w:r>
        <w:rPr>
          <w:rFonts w:ascii="Calibri"/>
          <w:sz w:val="18"/>
        </w:rPr>
        <w:t>79,</w:t>
      </w:r>
      <w:r>
        <w:rPr>
          <w:rFonts w:ascii="Calibri"/>
          <w:spacing w:val="-1"/>
          <w:sz w:val="18"/>
        </w:rPr>
        <w:t> </w:t>
      </w:r>
      <w:r>
        <w:rPr>
          <w:rFonts w:ascii="Calibri"/>
          <w:sz w:val="18"/>
        </w:rPr>
        <w:t>80,</w:t>
      </w:r>
      <w:r>
        <w:rPr>
          <w:rFonts w:ascii="Calibri"/>
          <w:spacing w:val="-2"/>
          <w:sz w:val="18"/>
        </w:rPr>
        <w:t> </w:t>
      </w:r>
      <w:r>
        <w:rPr>
          <w:rFonts w:ascii="Calibri"/>
          <w:sz w:val="18"/>
        </w:rPr>
        <w:t>81, </w:t>
      </w:r>
      <w:r>
        <w:rPr>
          <w:rFonts w:ascii="Calibri"/>
          <w:spacing w:val="-5"/>
          <w:sz w:val="18"/>
        </w:rPr>
        <w:t>82,</w:t>
      </w:r>
    </w:p>
    <w:p>
      <w:pPr>
        <w:spacing w:before="0"/>
        <w:ind w:left="0" w:right="695" w:firstLine="0"/>
        <w:jc w:val="right"/>
        <w:rPr>
          <w:rFonts w:ascii="Calibri"/>
          <w:sz w:val="18"/>
        </w:rPr>
      </w:pPr>
      <w:r>
        <w:rPr>
          <w:rFonts w:ascii="Calibri"/>
          <w:sz w:val="18"/>
        </w:rPr>
        <w:t>83,</w:t>
      </w:r>
      <w:r>
        <w:rPr>
          <w:rFonts w:ascii="Calibri"/>
          <w:spacing w:val="-2"/>
          <w:sz w:val="18"/>
        </w:rPr>
        <w:t> </w:t>
      </w:r>
      <w:r>
        <w:rPr>
          <w:rFonts w:ascii="Calibri"/>
          <w:sz w:val="18"/>
        </w:rPr>
        <w:t>84,</w:t>
      </w:r>
      <w:r>
        <w:rPr>
          <w:rFonts w:ascii="Calibri"/>
          <w:spacing w:val="-2"/>
          <w:sz w:val="18"/>
        </w:rPr>
        <w:t> </w:t>
      </w:r>
      <w:r>
        <w:rPr>
          <w:rFonts w:ascii="Calibri"/>
          <w:sz w:val="18"/>
        </w:rPr>
        <w:t>86,</w:t>
      </w:r>
      <w:r>
        <w:rPr>
          <w:rFonts w:ascii="Calibri"/>
          <w:spacing w:val="-1"/>
          <w:sz w:val="18"/>
        </w:rPr>
        <w:t> </w:t>
      </w:r>
      <w:r>
        <w:rPr>
          <w:rFonts w:ascii="Calibri"/>
          <w:sz w:val="18"/>
        </w:rPr>
        <w:t>87,</w:t>
      </w:r>
      <w:r>
        <w:rPr>
          <w:rFonts w:ascii="Calibri"/>
          <w:spacing w:val="-2"/>
          <w:sz w:val="18"/>
        </w:rPr>
        <w:t> </w:t>
      </w:r>
      <w:r>
        <w:rPr>
          <w:rFonts w:ascii="Calibri"/>
          <w:sz w:val="18"/>
        </w:rPr>
        <w:t>88,</w:t>
      </w:r>
      <w:r>
        <w:rPr>
          <w:rFonts w:ascii="Calibri"/>
          <w:spacing w:val="-1"/>
          <w:sz w:val="18"/>
        </w:rPr>
        <w:t> </w:t>
      </w:r>
      <w:r>
        <w:rPr>
          <w:rFonts w:ascii="Calibri"/>
          <w:sz w:val="18"/>
        </w:rPr>
        <w:t>89,</w:t>
      </w:r>
      <w:r>
        <w:rPr>
          <w:rFonts w:ascii="Calibri"/>
          <w:spacing w:val="-2"/>
          <w:sz w:val="18"/>
        </w:rPr>
        <w:t> </w:t>
      </w:r>
      <w:r>
        <w:rPr>
          <w:rFonts w:ascii="Calibri"/>
          <w:sz w:val="18"/>
        </w:rPr>
        <w:t>91,</w:t>
      </w:r>
      <w:r>
        <w:rPr>
          <w:rFonts w:ascii="Calibri"/>
          <w:spacing w:val="-1"/>
          <w:sz w:val="18"/>
        </w:rPr>
        <w:t> </w:t>
      </w:r>
      <w:r>
        <w:rPr>
          <w:rFonts w:ascii="Calibri"/>
          <w:sz w:val="18"/>
        </w:rPr>
        <w:t>92,</w:t>
      </w:r>
      <w:r>
        <w:rPr>
          <w:rFonts w:ascii="Calibri"/>
          <w:spacing w:val="-2"/>
          <w:sz w:val="18"/>
        </w:rPr>
        <w:t> </w:t>
      </w:r>
      <w:r>
        <w:rPr>
          <w:rFonts w:ascii="Calibri"/>
          <w:sz w:val="18"/>
        </w:rPr>
        <w:t>93, </w:t>
      </w:r>
      <w:r>
        <w:rPr>
          <w:rFonts w:ascii="Calibri"/>
          <w:spacing w:val="-5"/>
          <w:sz w:val="18"/>
        </w:rPr>
        <w:t>94,</w:t>
      </w:r>
    </w:p>
    <w:p>
      <w:pPr>
        <w:spacing w:before="0"/>
        <w:ind w:left="0" w:right="594" w:firstLine="0"/>
        <w:jc w:val="right"/>
        <w:rPr>
          <w:rFonts w:ascii="Calibri"/>
          <w:sz w:val="18"/>
        </w:rPr>
      </w:pPr>
      <w:r>
        <w:rPr>
          <w:rFonts w:ascii="Calibri"/>
          <w:sz w:val="18"/>
        </w:rPr>
        <w:t>96,</w:t>
      </w:r>
      <w:r>
        <w:rPr>
          <w:rFonts w:ascii="Calibri"/>
          <w:spacing w:val="-3"/>
          <w:sz w:val="18"/>
        </w:rPr>
        <w:t> </w:t>
      </w:r>
      <w:r>
        <w:rPr>
          <w:rFonts w:ascii="Calibri"/>
          <w:sz w:val="18"/>
        </w:rPr>
        <w:t>131,</w:t>
      </w:r>
      <w:r>
        <w:rPr>
          <w:rFonts w:ascii="Calibri"/>
          <w:spacing w:val="-2"/>
          <w:sz w:val="18"/>
        </w:rPr>
        <w:t> </w:t>
      </w:r>
      <w:r>
        <w:rPr>
          <w:rFonts w:ascii="Calibri"/>
          <w:sz w:val="18"/>
        </w:rPr>
        <w:t>139,</w:t>
      </w:r>
      <w:r>
        <w:rPr>
          <w:rFonts w:ascii="Calibri"/>
          <w:spacing w:val="-2"/>
          <w:sz w:val="18"/>
        </w:rPr>
        <w:t> </w:t>
      </w:r>
      <w:r>
        <w:rPr>
          <w:rFonts w:ascii="Calibri"/>
          <w:sz w:val="18"/>
        </w:rPr>
        <w:t>198,</w:t>
      </w:r>
      <w:r>
        <w:rPr>
          <w:rFonts w:ascii="Calibri"/>
          <w:spacing w:val="-2"/>
          <w:sz w:val="18"/>
        </w:rPr>
        <w:t> </w:t>
      </w:r>
      <w:r>
        <w:rPr>
          <w:rFonts w:ascii="Calibri"/>
          <w:sz w:val="18"/>
        </w:rPr>
        <w:t>203,</w:t>
      </w:r>
      <w:r>
        <w:rPr>
          <w:rFonts w:ascii="Calibri"/>
          <w:spacing w:val="-2"/>
          <w:sz w:val="18"/>
        </w:rPr>
        <w:t> </w:t>
      </w:r>
      <w:r>
        <w:rPr>
          <w:rFonts w:ascii="Calibri"/>
          <w:sz w:val="18"/>
        </w:rPr>
        <w:t>206,</w:t>
      </w:r>
      <w:r>
        <w:rPr>
          <w:rFonts w:ascii="Calibri"/>
          <w:spacing w:val="-3"/>
          <w:sz w:val="18"/>
        </w:rPr>
        <w:t> </w:t>
      </w:r>
      <w:r>
        <w:rPr>
          <w:rFonts w:ascii="Calibri"/>
          <w:sz w:val="18"/>
        </w:rPr>
        <w:t>245,</w:t>
      </w:r>
      <w:r>
        <w:rPr>
          <w:rFonts w:ascii="Calibri"/>
          <w:spacing w:val="-1"/>
          <w:sz w:val="18"/>
        </w:rPr>
        <w:t> </w:t>
      </w:r>
      <w:r>
        <w:rPr>
          <w:rFonts w:ascii="Calibri"/>
          <w:spacing w:val="-4"/>
          <w:sz w:val="18"/>
        </w:rPr>
        <w:t>246,</w:t>
      </w:r>
    </w:p>
    <w:p>
      <w:pPr>
        <w:spacing w:before="0"/>
        <w:ind w:left="359" w:right="0" w:firstLine="0"/>
        <w:jc w:val="left"/>
        <w:rPr>
          <w:rFonts w:ascii="Calibri"/>
          <w:sz w:val="18"/>
        </w:rPr>
      </w:pPr>
      <w:r>
        <w:rPr>
          <w:rFonts w:ascii="Calibri"/>
          <w:sz w:val="18"/>
        </w:rPr>
        <w:t>247,</w:t>
      </w:r>
      <w:r>
        <w:rPr>
          <w:rFonts w:ascii="Calibri"/>
          <w:spacing w:val="-4"/>
          <w:sz w:val="18"/>
        </w:rPr>
        <w:t> </w:t>
      </w:r>
      <w:r>
        <w:rPr>
          <w:rFonts w:ascii="Calibri"/>
          <w:spacing w:val="-5"/>
          <w:sz w:val="18"/>
        </w:rPr>
        <w:t>268</w:t>
      </w:r>
    </w:p>
    <w:p>
      <w:pPr>
        <w:pStyle w:val="BodyText"/>
        <w:spacing w:before="11"/>
        <w:rPr>
          <w:rFonts w:ascii="Calibri"/>
        </w:rPr>
      </w:pPr>
    </w:p>
    <w:p>
      <w:pPr>
        <w:spacing w:before="0"/>
        <w:ind w:left="140" w:right="0" w:firstLine="0"/>
        <w:jc w:val="left"/>
        <w:rPr>
          <w:rFonts w:ascii="Calibri"/>
          <w:sz w:val="18"/>
        </w:rPr>
      </w:pPr>
      <w:r>
        <w:rPr>
          <w:rFonts w:ascii="Calibri"/>
          <w:sz w:val="18"/>
        </w:rPr>
        <w:t>value</w:t>
      </w:r>
      <w:r>
        <w:rPr>
          <w:rFonts w:ascii="Calibri"/>
          <w:spacing w:val="-2"/>
          <w:sz w:val="18"/>
        </w:rPr>
        <w:t> </w:t>
      </w:r>
      <w:r>
        <w:rPr>
          <w:rFonts w:ascii="Calibri"/>
          <w:sz w:val="18"/>
        </w:rPr>
        <w:t>area</w:t>
      </w:r>
      <w:r>
        <w:rPr>
          <w:rFonts w:ascii="Calibri"/>
          <w:spacing w:val="-2"/>
          <w:sz w:val="18"/>
        </w:rPr>
        <w:t> </w:t>
      </w:r>
      <w:r>
        <w:rPr>
          <w:rFonts w:ascii="Calibri"/>
          <w:sz w:val="18"/>
        </w:rPr>
        <w:t>high,</w:t>
      </w:r>
      <w:r>
        <w:rPr>
          <w:rFonts w:ascii="Calibri"/>
          <w:spacing w:val="-3"/>
          <w:sz w:val="18"/>
        </w:rPr>
        <w:t> </w:t>
      </w:r>
      <w:r>
        <w:rPr>
          <w:rFonts w:ascii="Calibri"/>
          <w:sz w:val="18"/>
        </w:rPr>
        <w:t>77,</w:t>
      </w:r>
      <w:r>
        <w:rPr>
          <w:rFonts w:ascii="Calibri"/>
          <w:spacing w:val="-2"/>
          <w:sz w:val="18"/>
        </w:rPr>
        <w:t> </w:t>
      </w:r>
      <w:r>
        <w:rPr>
          <w:rFonts w:ascii="Calibri"/>
          <w:sz w:val="18"/>
        </w:rPr>
        <w:t>78,</w:t>
      </w:r>
      <w:r>
        <w:rPr>
          <w:rFonts w:ascii="Calibri"/>
          <w:spacing w:val="-2"/>
          <w:sz w:val="18"/>
        </w:rPr>
        <w:t> </w:t>
      </w:r>
      <w:r>
        <w:rPr>
          <w:rFonts w:ascii="Calibri"/>
          <w:sz w:val="18"/>
        </w:rPr>
        <w:t>80,</w:t>
      </w:r>
      <w:r>
        <w:rPr>
          <w:rFonts w:ascii="Calibri"/>
          <w:spacing w:val="-1"/>
          <w:sz w:val="18"/>
        </w:rPr>
        <w:t> </w:t>
      </w:r>
      <w:r>
        <w:rPr>
          <w:rFonts w:ascii="Calibri"/>
          <w:sz w:val="18"/>
        </w:rPr>
        <w:t>81,</w:t>
      </w:r>
      <w:r>
        <w:rPr>
          <w:rFonts w:ascii="Calibri"/>
          <w:spacing w:val="-2"/>
          <w:sz w:val="18"/>
        </w:rPr>
        <w:t> </w:t>
      </w:r>
      <w:r>
        <w:rPr>
          <w:rFonts w:ascii="Calibri"/>
          <w:sz w:val="18"/>
        </w:rPr>
        <w:t>83,</w:t>
      </w:r>
      <w:r>
        <w:rPr>
          <w:rFonts w:ascii="Calibri"/>
          <w:spacing w:val="-2"/>
          <w:sz w:val="18"/>
        </w:rPr>
        <w:t> </w:t>
      </w:r>
      <w:r>
        <w:rPr>
          <w:rFonts w:ascii="Calibri"/>
          <w:spacing w:val="-5"/>
          <w:sz w:val="18"/>
        </w:rPr>
        <w:t>268</w:t>
      </w:r>
    </w:p>
    <w:p>
      <w:pPr>
        <w:pStyle w:val="BodyText"/>
        <w:spacing w:before="11"/>
        <w:rPr>
          <w:rFonts w:ascii="Calibri"/>
        </w:rPr>
      </w:pPr>
    </w:p>
    <w:p>
      <w:pPr>
        <w:spacing w:before="0"/>
        <w:ind w:left="140" w:right="0" w:firstLine="0"/>
        <w:jc w:val="left"/>
        <w:rPr>
          <w:rFonts w:ascii="Calibri"/>
          <w:sz w:val="18"/>
        </w:rPr>
      </w:pPr>
      <w:r>
        <w:rPr>
          <w:rFonts w:ascii="Calibri"/>
          <w:sz w:val="18"/>
        </w:rPr>
        <w:t>value</w:t>
      </w:r>
      <w:r>
        <w:rPr>
          <w:rFonts w:ascii="Calibri"/>
          <w:spacing w:val="-2"/>
          <w:sz w:val="18"/>
        </w:rPr>
        <w:t> </w:t>
      </w:r>
      <w:r>
        <w:rPr>
          <w:rFonts w:ascii="Calibri"/>
          <w:sz w:val="18"/>
        </w:rPr>
        <w:t>area</w:t>
      </w:r>
      <w:r>
        <w:rPr>
          <w:rFonts w:ascii="Calibri"/>
          <w:spacing w:val="-2"/>
          <w:sz w:val="18"/>
        </w:rPr>
        <w:t> </w:t>
      </w:r>
      <w:r>
        <w:rPr>
          <w:rFonts w:ascii="Calibri"/>
          <w:sz w:val="18"/>
        </w:rPr>
        <w:t>low,</w:t>
      </w:r>
      <w:r>
        <w:rPr>
          <w:rFonts w:ascii="Calibri"/>
          <w:spacing w:val="-2"/>
          <w:sz w:val="18"/>
        </w:rPr>
        <w:t> </w:t>
      </w:r>
      <w:r>
        <w:rPr>
          <w:rFonts w:ascii="Calibri"/>
          <w:sz w:val="18"/>
        </w:rPr>
        <w:t>77,</w:t>
      </w:r>
      <w:r>
        <w:rPr>
          <w:rFonts w:ascii="Calibri"/>
          <w:spacing w:val="-2"/>
          <w:sz w:val="18"/>
        </w:rPr>
        <w:t> </w:t>
      </w:r>
      <w:r>
        <w:rPr>
          <w:rFonts w:ascii="Calibri"/>
          <w:sz w:val="18"/>
        </w:rPr>
        <w:t>78,</w:t>
      </w:r>
      <w:r>
        <w:rPr>
          <w:rFonts w:ascii="Calibri"/>
          <w:spacing w:val="-2"/>
          <w:sz w:val="18"/>
        </w:rPr>
        <w:t> </w:t>
      </w:r>
      <w:r>
        <w:rPr>
          <w:rFonts w:ascii="Calibri"/>
          <w:sz w:val="18"/>
        </w:rPr>
        <w:t>80,</w:t>
      </w:r>
      <w:r>
        <w:rPr>
          <w:rFonts w:ascii="Calibri"/>
          <w:spacing w:val="-2"/>
          <w:sz w:val="18"/>
        </w:rPr>
        <w:t> </w:t>
      </w:r>
      <w:r>
        <w:rPr>
          <w:rFonts w:ascii="Calibri"/>
          <w:sz w:val="18"/>
        </w:rPr>
        <w:t>81,</w:t>
      </w:r>
      <w:r>
        <w:rPr>
          <w:rFonts w:ascii="Calibri"/>
          <w:spacing w:val="-2"/>
          <w:sz w:val="18"/>
        </w:rPr>
        <w:t> </w:t>
      </w:r>
      <w:r>
        <w:rPr>
          <w:rFonts w:ascii="Calibri"/>
          <w:spacing w:val="-5"/>
          <w:sz w:val="18"/>
        </w:rPr>
        <w:t>83</w:t>
      </w:r>
    </w:p>
    <w:p>
      <w:pPr>
        <w:pStyle w:val="BodyText"/>
        <w:rPr>
          <w:rFonts w:ascii="Calibri"/>
          <w:sz w:val="23"/>
        </w:rPr>
      </w:pPr>
    </w:p>
    <w:p>
      <w:pPr>
        <w:spacing w:before="0"/>
        <w:ind w:left="140" w:right="0" w:firstLine="0"/>
        <w:jc w:val="left"/>
        <w:rPr>
          <w:rFonts w:ascii="Calibri"/>
          <w:sz w:val="18"/>
        </w:rPr>
      </w:pPr>
      <w:r>
        <w:rPr>
          <w:rFonts w:ascii="Calibri"/>
          <w:sz w:val="18"/>
        </w:rPr>
        <w:t>virgin</w:t>
      </w:r>
      <w:r>
        <w:rPr>
          <w:rFonts w:ascii="Calibri"/>
          <w:spacing w:val="-3"/>
          <w:sz w:val="18"/>
        </w:rPr>
        <w:t> </w:t>
      </w:r>
      <w:r>
        <w:rPr>
          <w:rFonts w:ascii="Calibri"/>
          <w:sz w:val="18"/>
        </w:rPr>
        <w:t>Money</w:t>
      </w:r>
      <w:r>
        <w:rPr>
          <w:rFonts w:ascii="Calibri"/>
          <w:spacing w:val="-2"/>
          <w:sz w:val="18"/>
        </w:rPr>
        <w:t> </w:t>
      </w:r>
      <w:r>
        <w:rPr>
          <w:rFonts w:ascii="Calibri"/>
          <w:sz w:val="18"/>
        </w:rPr>
        <w:t>Zone</w:t>
      </w:r>
      <w:r>
        <w:rPr>
          <w:rFonts w:ascii="Calibri"/>
          <w:spacing w:val="-2"/>
          <w:sz w:val="18"/>
        </w:rPr>
        <w:t> </w:t>
      </w:r>
      <w:r>
        <w:rPr>
          <w:rFonts w:ascii="Calibri"/>
          <w:sz w:val="18"/>
        </w:rPr>
        <w:t>levels,</w:t>
      </w:r>
      <w:r>
        <w:rPr>
          <w:rFonts w:ascii="Calibri"/>
          <w:spacing w:val="-3"/>
          <w:sz w:val="18"/>
        </w:rPr>
        <w:t> </w:t>
      </w:r>
      <w:r>
        <w:rPr>
          <w:rFonts w:ascii="Calibri"/>
          <w:sz w:val="18"/>
        </w:rPr>
        <w:t>96,</w:t>
      </w:r>
      <w:r>
        <w:rPr>
          <w:rFonts w:ascii="Calibri"/>
          <w:spacing w:val="-2"/>
          <w:sz w:val="18"/>
        </w:rPr>
        <w:t> </w:t>
      </w:r>
      <w:r>
        <w:rPr>
          <w:rFonts w:ascii="Calibri"/>
          <w:sz w:val="18"/>
        </w:rPr>
        <w:t>98,</w:t>
      </w:r>
      <w:r>
        <w:rPr>
          <w:rFonts w:ascii="Calibri"/>
          <w:spacing w:val="-2"/>
          <w:sz w:val="18"/>
        </w:rPr>
        <w:t> </w:t>
      </w:r>
      <w:r>
        <w:rPr>
          <w:rFonts w:ascii="Calibri"/>
          <w:spacing w:val="-4"/>
          <w:sz w:val="18"/>
        </w:rPr>
        <w:t>283,</w:t>
      </w:r>
    </w:p>
    <w:p>
      <w:pPr>
        <w:spacing w:before="0"/>
        <w:ind w:left="359" w:right="0" w:firstLine="0"/>
        <w:jc w:val="left"/>
        <w:rPr>
          <w:rFonts w:ascii="Calibri"/>
          <w:sz w:val="18"/>
        </w:rPr>
      </w:pPr>
      <w:r>
        <w:rPr>
          <w:rFonts w:ascii="Calibri"/>
          <w:spacing w:val="-5"/>
          <w:sz w:val="18"/>
        </w:rPr>
        <w:t>285</w:t>
      </w:r>
    </w:p>
    <w:p>
      <w:pPr>
        <w:pStyle w:val="BodyText"/>
        <w:spacing w:before="11"/>
        <w:rPr>
          <w:rFonts w:ascii="Calibri"/>
        </w:rPr>
      </w:pPr>
    </w:p>
    <w:p>
      <w:pPr>
        <w:spacing w:before="0"/>
        <w:ind w:left="140" w:right="0" w:firstLine="0"/>
        <w:jc w:val="left"/>
        <w:rPr>
          <w:rFonts w:ascii="Calibri"/>
          <w:sz w:val="18"/>
        </w:rPr>
      </w:pPr>
      <w:r>
        <w:rPr>
          <w:rFonts w:ascii="Calibri"/>
          <w:sz w:val="18"/>
        </w:rPr>
        <w:t>virgin</w:t>
      </w:r>
      <w:r>
        <w:rPr>
          <w:rFonts w:ascii="Calibri"/>
          <w:spacing w:val="-4"/>
          <w:sz w:val="18"/>
        </w:rPr>
        <w:t> </w:t>
      </w:r>
      <w:r>
        <w:rPr>
          <w:rFonts w:ascii="Calibri"/>
          <w:sz w:val="18"/>
        </w:rPr>
        <w:t>point</w:t>
      </w:r>
      <w:r>
        <w:rPr>
          <w:rFonts w:ascii="Calibri"/>
          <w:spacing w:val="-3"/>
          <w:sz w:val="18"/>
        </w:rPr>
        <w:t> </w:t>
      </w:r>
      <w:r>
        <w:rPr>
          <w:rFonts w:ascii="Calibri"/>
          <w:sz w:val="18"/>
        </w:rPr>
        <w:t>of</w:t>
      </w:r>
      <w:r>
        <w:rPr>
          <w:rFonts w:ascii="Calibri"/>
          <w:spacing w:val="-4"/>
          <w:sz w:val="18"/>
        </w:rPr>
        <w:t> </w:t>
      </w:r>
      <w:r>
        <w:rPr>
          <w:rFonts w:ascii="Calibri"/>
          <w:sz w:val="18"/>
        </w:rPr>
        <w:t>control,</w:t>
      </w:r>
      <w:r>
        <w:rPr>
          <w:rFonts w:ascii="Calibri"/>
          <w:spacing w:val="-4"/>
          <w:sz w:val="18"/>
        </w:rPr>
        <w:t> </w:t>
      </w:r>
      <w:r>
        <w:rPr>
          <w:rFonts w:ascii="Calibri"/>
          <w:sz w:val="18"/>
        </w:rPr>
        <w:t>96,</w:t>
      </w:r>
      <w:r>
        <w:rPr>
          <w:rFonts w:ascii="Calibri"/>
          <w:spacing w:val="-3"/>
          <w:sz w:val="18"/>
        </w:rPr>
        <w:t> </w:t>
      </w:r>
      <w:r>
        <w:rPr>
          <w:rFonts w:ascii="Calibri"/>
          <w:spacing w:val="-5"/>
          <w:sz w:val="18"/>
        </w:rPr>
        <w:t>97</w:t>
      </w:r>
    </w:p>
    <w:p>
      <w:pPr>
        <w:pStyle w:val="BodyText"/>
        <w:rPr>
          <w:rFonts w:ascii="Calibri"/>
          <w:sz w:val="23"/>
        </w:rPr>
      </w:pPr>
    </w:p>
    <w:p>
      <w:pPr>
        <w:spacing w:before="0"/>
        <w:ind w:left="140" w:right="0" w:firstLine="0"/>
        <w:jc w:val="left"/>
        <w:rPr>
          <w:rFonts w:ascii="Calibri"/>
          <w:sz w:val="18"/>
        </w:rPr>
      </w:pPr>
      <w:r>
        <w:rPr>
          <w:rFonts w:ascii="Calibri"/>
          <w:sz w:val="18"/>
        </w:rPr>
        <w:t>volume</w:t>
      </w:r>
      <w:r>
        <w:rPr>
          <w:rFonts w:ascii="Calibri"/>
          <w:spacing w:val="-3"/>
          <w:sz w:val="18"/>
        </w:rPr>
        <w:t> </w:t>
      </w:r>
      <w:r>
        <w:rPr>
          <w:rFonts w:ascii="Calibri"/>
          <w:sz w:val="18"/>
        </w:rPr>
        <w:t>at</w:t>
      </w:r>
      <w:r>
        <w:rPr>
          <w:rFonts w:ascii="Calibri"/>
          <w:spacing w:val="-3"/>
          <w:sz w:val="18"/>
        </w:rPr>
        <w:t> </w:t>
      </w:r>
      <w:r>
        <w:rPr>
          <w:rFonts w:ascii="Calibri"/>
          <w:sz w:val="18"/>
        </w:rPr>
        <w:t>price,</w:t>
      </w:r>
      <w:r>
        <w:rPr>
          <w:rFonts w:ascii="Calibri"/>
          <w:spacing w:val="-2"/>
          <w:sz w:val="18"/>
        </w:rPr>
        <w:t> </w:t>
      </w:r>
      <w:r>
        <w:rPr>
          <w:rFonts w:ascii="Calibri"/>
          <w:sz w:val="18"/>
        </w:rPr>
        <w:t>67,</w:t>
      </w:r>
      <w:r>
        <w:rPr>
          <w:rFonts w:ascii="Calibri"/>
          <w:spacing w:val="-3"/>
          <w:sz w:val="18"/>
        </w:rPr>
        <w:t> </w:t>
      </w:r>
      <w:r>
        <w:rPr>
          <w:rFonts w:ascii="Calibri"/>
          <w:sz w:val="18"/>
        </w:rPr>
        <w:t>68,</w:t>
      </w:r>
      <w:r>
        <w:rPr>
          <w:rFonts w:ascii="Calibri"/>
          <w:spacing w:val="-2"/>
          <w:sz w:val="18"/>
        </w:rPr>
        <w:t> </w:t>
      </w:r>
      <w:r>
        <w:rPr>
          <w:rFonts w:ascii="Calibri"/>
          <w:sz w:val="18"/>
        </w:rPr>
        <w:t>69,</w:t>
      </w:r>
      <w:r>
        <w:rPr>
          <w:rFonts w:ascii="Calibri"/>
          <w:spacing w:val="-3"/>
          <w:sz w:val="18"/>
        </w:rPr>
        <w:t> </w:t>
      </w:r>
      <w:r>
        <w:rPr>
          <w:rFonts w:ascii="Calibri"/>
          <w:sz w:val="18"/>
        </w:rPr>
        <w:t>101,</w:t>
      </w:r>
      <w:r>
        <w:rPr>
          <w:rFonts w:ascii="Calibri"/>
          <w:spacing w:val="-1"/>
          <w:sz w:val="18"/>
        </w:rPr>
        <w:t> </w:t>
      </w:r>
      <w:r>
        <w:rPr>
          <w:rFonts w:ascii="Calibri"/>
          <w:sz w:val="18"/>
        </w:rPr>
        <w:t>107,</w:t>
      </w:r>
      <w:r>
        <w:rPr>
          <w:rFonts w:ascii="Calibri"/>
          <w:spacing w:val="-3"/>
          <w:sz w:val="18"/>
        </w:rPr>
        <w:t> </w:t>
      </w:r>
      <w:r>
        <w:rPr>
          <w:rFonts w:ascii="Calibri"/>
          <w:spacing w:val="-5"/>
          <w:sz w:val="18"/>
        </w:rPr>
        <w:t>108</w:t>
      </w:r>
    </w:p>
    <w:p>
      <w:pPr>
        <w:pStyle w:val="BodyText"/>
        <w:spacing w:before="11"/>
        <w:rPr>
          <w:rFonts w:ascii="Calibri"/>
        </w:rPr>
      </w:pPr>
    </w:p>
    <w:p>
      <w:pPr>
        <w:spacing w:before="0"/>
        <w:ind w:left="140" w:right="0" w:firstLine="0"/>
        <w:jc w:val="left"/>
        <w:rPr>
          <w:rFonts w:ascii="Calibri"/>
          <w:sz w:val="18"/>
        </w:rPr>
      </w:pPr>
      <w:r>
        <w:rPr>
          <w:rFonts w:ascii="Calibri"/>
          <w:sz w:val="18"/>
        </w:rPr>
        <w:t>volume</w:t>
      </w:r>
      <w:r>
        <w:rPr>
          <w:rFonts w:ascii="Calibri"/>
          <w:spacing w:val="-3"/>
          <w:sz w:val="18"/>
        </w:rPr>
        <w:t> </w:t>
      </w:r>
      <w:r>
        <w:rPr>
          <w:rFonts w:ascii="Calibri"/>
          <w:sz w:val="18"/>
        </w:rPr>
        <w:t>point</w:t>
      </w:r>
      <w:r>
        <w:rPr>
          <w:rFonts w:ascii="Calibri"/>
          <w:spacing w:val="-3"/>
          <w:sz w:val="18"/>
        </w:rPr>
        <w:t> </w:t>
      </w:r>
      <w:r>
        <w:rPr>
          <w:rFonts w:ascii="Calibri"/>
          <w:sz w:val="18"/>
        </w:rPr>
        <w:t>of</w:t>
      </w:r>
      <w:r>
        <w:rPr>
          <w:rFonts w:ascii="Calibri"/>
          <w:spacing w:val="-4"/>
          <w:sz w:val="18"/>
        </w:rPr>
        <w:t> </w:t>
      </w:r>
      <w:r>
        <w:rPr>
          <w:rFonts w:ascii="Calibri"/>
          <w:sz w:val="18"/>
        </w:rPr>
        <w:t>control,</w:t>
      </w:r>
      <w:r>
        <w:rPr>
          <w:rFonts w:ascii="Calibri"/>
          <w:spacing w:val="-2"/>
          <w:sz w:val="18"/>
        </w:rPr>
        <w:t> </w:t>
      </w:r>
      <w:r>
        <w:rPr>
          <w:rFonts w:ascii="Calibri"/>
          <w:sz w:val="18"/>
        </w:rPr>
        <w:t>68,</w:t>
      </w:r>
      <w:r>
        <w:rPr>
          <w:rFonts w:ascii="Calibri"/>
          <w:spacing w:val="-3"/>
          <w:sz w:val="18"/>
        </w:rPr>
        <w:t> </w:t>
      </w:r>
      <w:r>
        <w:rPr>
          <w:rFonts w:ascii="Calibri"/>
          <w:sz w:val="18"/>
        </w:rPr>
        <w:t>103,</w:t>
      </w:r>
      <w:r>
        <w:rPr>
          <w:rFonts w:ascii="Calibri"/>
          <w:spacing w:val="-2"/>
          <w:sz w:val="18"/>
        </w:rPr>
        <w:t> </w:t>
      </w:r>
      <w:r>
        <w:rPr>
          <w:rFonts w:ascii="Calibri"/>
          <w:spacing w:val="-4"/>
          <w:sz w:val="18"/>
        </w:rPr>
        <w:t>108,</w:t>
      </w:r>
    </w:p>
    <w:p>
      <w:pPr>
        <w:spacing w:before="0"/>
        <w:ind w:left="359" w:right="0" w:firstLine="0"/>
        <w:jc w:val="left"/>
        <w:rPr>
          <w:rFonts w:ascii="Calibri"/>
          <w:sz w:val="18"/>
        </w:rPr>
      </w:pPr>
      <w:r>
        <w:rPr>
          <w:rFonts w:ascii="Calibri"/>
          <w:sz w:val="18"/>
        </w:rPr>
        <w:t>261,</w:t>
      </w:r>
      <w:r>
        <w:rPr>
          <w:rFonts w:ascii="Calibri"/>
          <w:spacing w:val="-4"/>
          <w:sz w:val="18"/>
        </w:rPr>
        <w:t> </w:t>
      </w:r>
      <w:r>
        <w:rPr>
          <w:rFonts w:ascii="Calibri"/>
          <w:spacing w:val="-5"/>
          <w:sz w:val="18"/>
        </w:rPr>
        <w:t>270</w:t>
      </w:r>
    </w:p>
    <w:p>
      <w:pPr>
        <w:spacing w:after="0"/>
        <w:jc w:val="left"/>
        <w:rPr>
          <w:rFonts w:ascii="Calibri"/>
          <w:sz w:val="18"/>
        </w:rPr>
        <w:sectPr>
          <w:type w:val="continuous"/>
          <w:pgSz w:w="8640" w:h="12960"/>
          <w:pgMar w:header="0" w:footer="1060" w:top="1480" w:bottom="280" w:left="580" w:right="580"/>
          <w:cols w:num="2" w:equalWidth="0">
            <w:col w:w="3234" w:space="546"/>
            <w:col w:w="3700"/>
          </w:cols>
        </w:sectPr>
      </w:pPr>
    </w:p>
    <w:p>
      <w:pPr>
        <w:pStyle w:val="BodyText"/>
        <w:spacing w:before="11"/>
        <w:rPr>
          <w:rFonts w:ascii="Calibri"/>
        </w:rPr>
      </w:pPr>
    </w:p>
    <w:p>
      <w:pPr>
        <w:spacing w:before="0"/>
        <w:ind w:left="140" w:right="0" w:firstLine="0"/>
        <w:jc w:val="left"/>
        <w:rPr>
          <w:rFonts w:ascii="Calibri"/>
          <w:sz w:val="18"/>
        </w:rPr>
      </w:pPr>
      <w:r>
        <w:rPr>
          <w:rFonts w:ascii="Calibri"/>
          <w:sz w:val="18"/>
        </w:rPr>
        <w:t>Unchanged</w:t>
      </w:r>
      <w:r>
        <w:rPr>
          <w:rFonts w:ascii="Calibri"/>
          <w:spacing w:val="-4"/>
          <w:sz w:val="18"/>
        </w:rPr>
        <w:t> </w:t>
      </w:r>
      <w:r>
        <w:rPr>
          <w:rFonts w:ascii="Calibri"/>
          <w:sz w:val="18"/>
        </w:rPr>
        <w:t>Value,</w:t>
      </w:r>
      <w:r>
        <w:rPr>
          <w:rFonts w:ascii="Calibri"/>
          <w:spacing w:val="-3"/>
          <w:sz w:val="18"/>
        </w:rPr>
        <w:t> </w:t>
      </w:r>
      <w:r>
        <w:rPr>
          <w:rFonts w:ascii="Calibri"/>
          <w:sz w:val="18"/>
        </w:rPr>
        <w:t>76,</w:t>
      </w:r>
      <w:r>
        <w:rPr>
          <w:rFonts w:ascii="Calibri"/>
          <w:spacing w:val="-4"/>
          <w:sz w:val="18"/>
        </w:rPr>
        <w:t> </w:t>
      </w:r>
      <w:r>
        <w:rPr>
          <w:rFonts w:ascii="Calibri"/>
          <w:sz w:val="18"/>
        </w:rPr>
        <w:t>77,</w:t>
      </w:r>
      <w:r>
        <w:rPr>
          <w:rFonts w:ascii="Calibri"/>
          <w:spacing w:val="-3"/>
          <w:sz w:val="18"/>
        </w:rPr>
        <w:t> </w:t>
      </w:r>
      <w:r>
        <w:rPr>
          <w:rFonts w:ascii="Calibri"/>
          <w:sz w:val="18"/>
        </w:rPr>
        <w:t>84,</w:t>
      </w:r>
      <w:r>
        <w:rPr>
          <w:rFonts w:ascii="Calibri"/>
          <w:spacing w:val="-3"/>
          <w:sz w:val="18"/>
        </w:rPr>
        <w:t> </w:t>
      </w:r>
      <w:r>
        <w:rPr>
          <w:rFonts w:ascii="Calibri"/>
          <w:sz w:val="18"/>
        </w:rPr>
        <w:t>85,</w:t>
      </w:r>
      <w:r>
        <w:rPr>
          <w:rFonts w:ascii="Calibri"/>
          <w:spacing w:val="-3"/>
          <w:sz w:val="18"/>
        </w:rPr>
        <w:t> </w:t>
      </w:r>
      <w:r>
        <w:rPr>
          <w:rFonts w:ascii="Calibri"/>
          <w:sz w:val="18"/>
        </w:rPr>
        <w:t>86,</w:t>
      </w:r>
      <w:r>
        <w:rPr>
          <w:rFonts w:ascii="Calibri"/>
          <w:spacing w:val="-3"/>
          <w:sz w:val="18"/>
        </w:rPr>
        <w:t> </w:t>
      </w:r>
      <w:r>
        <w:rPr>
          <w:rFonts w:ascii="Calibri"/>
          <w:spacing w:val="-4"/>
          <w:sz w:val="18"/>
        </w:rPr>
        <w:t>139,</w:t>
      </w:r>
    </w:p>
    <w:p>
      <w:pPr>
        <w:spacing w:before="1"/>
        <w:ind w:left="359" w:right="0" w:firstLine="0"/>
        <w:jc w:val="left"/>
        <w:rPr>
          <w:rFonts w:ascii="Calibri"/>
          <w:sz w:val="18"/>
        </w:rPr>
      </w:pPr>
      <w:r>
        <w:rPr>
          <w:rFonts w:ascii="Calibri"/>
          <w:sz w:val="18"/>
        </w:rPr>
        <w:t>148,</w:t>
      </w:r>
      <w:r>
        <w:rPr>
          <w:rFonts w:ascii="Calibri"/>
          <w:spacing w:val="-3"/>
          <w:sz w:val="18"/>
        </w:rPr>
        <w:t> </w:t>
      </w:r>
      <w:r>
        <w:rPr>
          <w:rFonts w:ascii="Calibri"/>
          <w:sz w:val="18"/>
        </w:rPr>
        <w:t>149,</w:t>
      </w:r>
      <w:r>
        <w:rPr>
          <w:rFonts w:ascii="Calibri"/>
          <w:spacing w:val="-3"/>
          <w:sz w:val="18"/>
        </w:rPr>
        <w:t> </w:t>
      </w:r>
      <w:r>
        <w:rPr>
          <w:rFonts w:ascii="Calibri"/>
          <w:sz w:val="18"/>
        </w:rPr>
        <w:t>206,</w:t>
      </w:r>
      <w:r>
        <w:rPr>
          <w:rFonts w:ascii="Calibri"/>
          <w:spacing w:val="-3"/>
          <w:sz w:val="18"/>
        </w:rPr>
        <w:t> </w:t>
      </w:r>
      <w:r>
        <w:rPr>
          <w:rFonts w:ascii="Calibri"/>
          <w:sz w:val="18"/>
        </w:rPr>
        <w:t>207,</w:t>
      </w:r>
      <w:r>
        <w:rPr>
          <w:rFonts w:ascii="Calibri"/>
          <w:spacing w:val="-3"/>
          <w:sz w:val="18"/>
        </w:rPr>
        <w:t> </w:t>
      </w:r>
      <w:r>
        <w:rPr>
          <w:rFonts w:ascii="Calibri"/>
          <w:sz w:val="18"/>
        </w:rPr>
        <w:t>254,</w:t>
      </w:r>
      <w:r>
        <w:rPr>
          <w:rFonts w:ascii="Calibri"/>
          <w:spacing w:val="-3"/>
          <w:sz w:val="18"/>
        </w:rPr>
        <w:t> </w:t>
      </w:r>
      <w:r>
        <w:rPr>
          <w:rFonts w:ascii="Calibri"/>
          <w:spacing w:val="-5"/>
          <w:sz w:val="18"/>
        </w:rPr>
        <w:t>285</w:t>
      </w:r>
    </w:p>
    <w:p>
      <w:pPr>
        <w:pStyle w:val="BodyText"/>
        <w:spacing w:before="11"/>
        <w:rPr>
          <w:rFonts w:ascii="Calibri"/>
        </w:rPr>
      </w:pPr>
    </w:p>
    <w:p>
      <w:pPr>
        <w:spacing w:before="0"/>
        <w:ind w:left="140" w:right="0" w:firstLine="0"/>
        <w:jc w:val="left"/>
        <w:rPr>
          <w:rFonts w:ascii="Calibri"/>
          <w:sz w:val="18"/>
        </w:rPr>
      </w:pPr>
      <w:r>
        <w:rPr>
          <w:rFonts w:ascii="Calibri"/>
          <w:sz w:val="18"/>
        </w:rPr>
        <w:t>Unchanged</w:t>
      </w:r>
      <w:r>
        <w:rPr>
          <w:rFonts w:ascii="Calibri"/>
          <w:spacing w:val="-6"/>
          <w:sz w:val="18"/>
        </w:rPr>
        <w:t> </w:t>
      </w:r>
      <w:r>
        <w:rPr>
          <w:rFonts w:ascii="Calibri"/>
          <w:sz w:val="18"/>
        </w:rPr>
        <w:t>VPOC</w:t>
      </w:r>
      <w:r>
        <w:rPr>
          <w:rFonts w:ascii="Calibri"/>
          <w:spacing w:val="-6"/>
          <w:sz w:val="18"/>
        </w:rPr>
        <w:t> </w:t>
      </w:r>
      <w:r>
        <w:rPr>
          <w:rFonts w:ascii="Calibri"/>
          <w:sz w:val="18"/>
        </w:rPr>
        <w:t>relationship,</w:t>
      </w:r>
      <w:r>
        <w:rPr>
          <w:rFonts w:ascii="Calibri"/>
          <w:spacing w:val="-5"/>
          <w:sz w:val="18"/>
        </w:rPr>
        <w:t> </w:t>
      </w:r>
      <w:r>
        <w:rPr>
          <w:rFonts w:ascii="Calibri"/>
          <w:sz w:val="18"/>
        </w:rPr>
        <w:t>103,</w:t>
      </w:r>
      <w:r>
        <w:rPr>
          <w:rFonts w:ascii="Calibri"/>
          <w:spacing w:val="-6"/>
          <w:sz w:val="18"/>
        </w:rPr>
        <w:t> </w:t>
      </w:r>
      <w:r>
        <w:rPr>
          <w:rFonts w:ascii="Calibri"/>
          <w:spacing w:val="-5"/>
          <w:sz w:val="18"/>
        </w:rPr>
        <w:t>104</w:t>
      </w:r>
    </w:p>
    <w:p>
      <w:pPr>
        <w:spacing w:before="121"/>
        <w:ind w:left="496" w:right="852" w:firstLine="0"/>
        <w:jc w:val="center"/>
        <w:rPr>
          <w:rFonts w:ascii="Calibri"/>
          <w:sz w:val="26"/>
        </w:rPr>
      </w:pPr>
      <w:r>
        <w:rPr/>
        <w:br w:type="column"/>
      </w:r>
      <w:r>
        <w:rPr>
          <w:rFonts w:ascii="Calibri"/>
          <w:spacing w:val="-10"/>
          <w:sz w:val="26"/>
        </w:rPr>
        <w:t>W</w:t>
      </w:r>
    </w:p>
    <w:p>
      <w:pPr>
        <w:pStyle w:val="BodyText"/>
        <w:spacing w:before="11"/>
        <w:rPr>
          <w:rFonts w:ascii="Calibri"/>
        </w:rPr>
      </w:pPr>
    </w:p>
    <w:p>
      <w:pPr>
        <w:spacing w:before="0"/>
        <w:ind w:left="140" w:right="0" w:firstLine="0"/>
        <w:jc w:val="left"/>
        <w:rPr>
          <w:rFonts w:ascii="Calibri"/>
          <w:sz w:val="18"/>
        </w:rPr>
      </w:pPr>
      <w:r>
        <w:rPr>
          <w:rFonts w:ascii="Calibri"/>
          <w:sz w:val="18"/>
        </w:rPr>
        <w:t>wick</w:t>
      </w:r>
      <w:r>
        <w:rPr>
          <w:rFonts w:ascii="Calibri"/>
          <w:spacing w:val="-2"/>
          <w:sz w:val="18"/>
        </w:rPr>
        <w:t> </w:t>
      </w:r>
      <w:r>
        <w:rPr>
          <w:rFonts w:ascii="Calibri"/>
          <w:sz w:val="18"/>
        </w:rPr>
        <w:t>reversal,</w:t>
      </w:r>
      <w:r>
        <w:rPr>
          <w:rFonts w:ascii="Calibri"/>
          <w:spacing w:val="-2"/>
          <w:sz w:val="18"/>
        </w:rPr>
        <w:t> </w:t>
      </w:r>
      <w:r>
        <w:rPr>
          <w:rFonts w:ascii="Calibri"/>
          <w:sz w:val="18"/>
        </w:rPr>
        <w:t>31,</w:t>
      </w:r>
      <w:r>
        <w:rPr>
          <w:rFonts w:ascii="Calibri"/>
          <w:spacing w:val="-2"/>
          <w:sz w:val="18"/>
        </w:rPr>
        <w:t> </w:t>
      </w:r>
      <w:r>
        <w:rPr>
          <w:rFonts w:ascii="Calibri"/>
          <w:sz w:val="18"/>
        </w:rPr>
        <w:t>32,</w:t>
      </w:r>
      <w:r>
        <w:rPr>
          <w:rFonts w:ascii="Calibri"/>
          <w:spacing w:val="-2"/>
          <w:sz w:val="18"/>
        </w:rPr>
        <w:t> </w:t>
      </w:r>
      <w:r>
        <w:rPr>
          <w:rFonts w:ascii="Calibri"/>
          <w:sz w:val="18"/>
        </w:rPr>
        <w:t>36,</w:t>
      </w:r>
      <w:r>
        <w:rPr>
          <w:rFonts w:ascii="Calibri"/>
          <w:spacing w:val="-2"/>
          <w:sz w:val="18"/>
        </w:rPr>
        <w:t> </w:t>
      </w:r>
      <w:r>
        <w:rPr>
          <w:rFonts w:ascii="Calibri"/>
          <w:sz w:val="18"/>
        </w:rPr>
        <w:t>37,</w:t>
      </w:r>
      <w:r>
        <w:rPr>
          <w:rFonts w:ascii="Calibri"/>
          <w:spacing w:val="-2"/>
          <w:sz w:val="18"/>
        </w:rPr>
        <w:t> </w:t>
      </w:r>
      <w:r>
        <w:rPr>
          <w:rFonts w:ascii="Calibri"/>
          <w:sz w:val="18"/>
        </w:rPr>
        <w:t>38,</w:t>
      </w:r>
      <w:r>
        <w:rPr>
          <w:rFonts w:ascii="Calibri"/>
          <w:spacing w:val="-1"/>
          <w:sz w:val="18"/>
        </w:rPr>
        <w:t> </w:t>
      </w:r>
      <w:r>
        <w:rPr>
          <w:rFonts w:ascii="Calibri"/>
          <w:sz w:val="18"/>
        </w:rPr>
        <w:t>47,</w:t>
      </w:r>
      <w:r>
        <w:rPr>
          <w:rFonts w:ascii="Calibri"/>
          <w:spacing w:val="-2"/>
          <w:sz w:val="18"/>
        </w:rPr>
        <w:t> </w:t>
      </w:r>
      <w:r>
        <w:rPr>
          <w:rFonts w:ascii="Calibri"/>
          <w:spacing w:val="-5"/>
          <w:sz w:val="18"/>
        </w:rPr>
        <w:t>97,</w:t>
      </w:r>
    </w:p>
    <w:p>
      <w:pPr>
        <w:spacing w:before="1"/>
        <w:ind w:left="359" w:right="0" w:firstLine="0"/>
        <w:jc w:val="left"/>
        <w:rPr>
          <w:rFonts w:ascii="Calibri"/>
          <w:sz w:val="18"/>
        </w:rPr>
      </w:pPr>
      <w:r>
        <w:rPr>
          <w:rFonts w:ascii="Calibri"/>
          <w:sz w:val="18"/>
        </w:rPr>
        <w:t>100,</w:t>
      </w:r>
      <w:r>
        <w:rPr>
          <w:rFonts w:ascii="Calibri"/>
          <w:spacing w:val="-3"/>
          <w:sz w:val="18"/>
        </w:rPr>
        <w:t> </w:t>
      </w:r>
      <w:r>
        <w:rPr>
          <w:rFonts w:ascii="Calibri"/>
          <w:sz w:val="18"/>
        </w:rPr>
        <w:t>129,</w:t>
      </w:r>
      <w:r>
        <w:rPr>
          <w:rFonts w:ascii="Calibri"/>
          <w:spacing w:val="-3"/>
          <w:sz w:val="18"/>
        </w:rPr>
        <w:t> </w:t>
      </w:r>
      <w:r>
        <w:rPr>
          <w:rFonts w:ascii="Calibri"/>
          <w:sz w:val="18"/>
        </w:rPr>
        <w:t>133,</w:t>
      </w:r>
      <w:r>
        <w:rPr>
          <w:rFonts w:ascii="Calibri"/>
          <w:spacing w:val="-2"/>
          <w:sz w:val="18"/>
        </w:rPr>
        <w:t> </w:t>
      </w:r>
      <w:r>
        <w:rPr>
          <w:rFonts w:ascii="Calibri"/>
          <w:sz w:val="18"/>
        </w:rPr>
        <w:t>158,</w:t>
      </w:r>
      <w:r>
        <w:rPr>
          <w:rFonts w:ascii="Calibri"/>
          <w:spacing w:val="-3"/>
          <w:sz w:val="18"/>
        </w:rPr>
        <w:t> </w:t>
      </w:r>
      <w:r>
        <w:rPr>
          <w:rFonts w:ascii="Calibri"/>
          <w:sz w:val="18"/>
        </w:rPr>
        <w:t>171,</w:t>
      </w:r>
      <w:r>
        <w:rPr>
          <w:rFonts w:ascii="Calibri"/>
          <w:spacing w:val="-2"/>
          <w:sz w:val="18"/>
        </w:rPr>
        <w:t> </w:t>
      </w:r>
      <w:r>
        <w:rPr>
          <w:rFonts w:ascii="Calibri"/>
          <w:sz w:val="18"/>
        </w:rPr>
        <w:t>176,</w:t>
      </w:r>
      <w:r>
        <w:rPr>
          <w:rFonts w:ascii="Calibri"/>
          <w:spacing w:val="-3"/>
          <w:sz w:val="18"/>
        </w:rPr>
        <w:t> </w:t>
      </w:r>
      <w:r>
        <w:rPr>
          <w:rFonts w:ascii="Calibri"/>
          <w:sz w:val="18"/>
        </w:rPr>
        <w:t>178,</w:t>
      </w:r>
      <w:r>
        <w:rPr>
          <w:rFonts w:ascii="Calibri"/>
          <w:spacing w:val="-2"/>
          <w:sz w:val="18"/>
        </w:rPr>
        <w:t> </w:t>
      </w:r>
      <w:r>
        <w:rPr>
          <w:rFonts w:ascii="Calibri"/>
          <w:spacing w:val="-4"/>
          <w:sz w:val="18"/>
        </w:rPr>
        <w:t>192,</w:t>
      </w:r>
    </w:p>
    <w:p>
      <w:pPr>
        <w:spacing w:before="0"/>
        <w:ind w:left="359" w:right="0" w:firstLine="0"/>
        <w:jc w:val="left"/>
        <w:rPr>
          <w:rFonts w:ascii="Calibri"/>
          <w:sz w:val="18"/>
        </w:rPr>
      </w:pPr>
      <w:r>
        <w:rPr>
          <w:rFonts w:ascii="Calibri"/>
          <w:sz w:val="18"/>
        </w:rPr>
        <w:t>216,</w:t>
      </w:r>
      <w:r>
        <w:rPr>
          <w:rFonts w:ascii="Calibri"/>
          <w:spacing w:val="-3"/>
          <w:sz w:val="18"/>
        </w:rPr>
        <w:t> </w:t>
      </w:r>
      <w:r>
        <w:rPr>
          <w:rFonts w:ascii="Calibri"/>
          <w:sz w:val="18"/>
        </w:rPr>
        <w:t>226,</w:t>
      </w:r>
      <w:r>
        <w:rPr>
          <w:rFonts w:ascii="Calibri"/>
          <w:spacing w:val="-2"/>
          <w:sz w:val="18"/>
        </w:rPr>
        <w:t> </w:t>
      </w:r>
      <w:r>
        <w:rPr>
          <w:rFonts w:ascii="Calibri"/>
          <w:sz w:val="18"/>
        </w:rPr>
        <w:t>232,</w:t>
      </w:r>
      <w:r>
        <w:rPr>
          <w:rFonts w:ascii="Calibri"/>
          <w:spacing w:val="-3"/>
          <w:sz w:val="18"/>
        </w:rPr>
        <w:t> </w:t>
      </w:r>
      <w:r>
        <w:rPr>
          <w:rFonts w:ascii="Calibri"/>
          <w:sz w:val="18"/>
        </w:rPr>
        <w:t>236,</w:t>
      </w:r>
      <w:r>
        <w:rPr>
          <w:rFonts w:ascii="Calibri"/>
          <w:spacing w:val="-2"/>
          <w:sz w:val="18"/>
        </w:rPr>
        <w:t> </w:t>
      </w:r>
      <w:r>
        <w:rPr>
          <w:rFonts w:ascii="Calibri"/>
          <w:sz w:val="18"/>
        </w:rPr>
        <w:t>242,</w:t>
      </w:r>
      <w:r>
        <w:rPr>
          <w:rFonts w:ascii="Calibri"/>
          <w:spacing w:val="-3"/>
          <w:sz w:val="18"/>
        </w:rPr>
        <w:t> </w:t>
      </w:r>
      <w:r>
        <w:rPr>
          <w:rFonts w:ascii="Calibri"/>
          <w:sz w:val="18"/>
        </w:rPr>
        <w:t>265,</w:t>
      </w:r>
      <w:r>
        <w:rPr>
          <w:rFonts w:ascii="Calibri"/>
          <w:spacing w:val="-2"/>
          <w:sz w:val="18"/>
        </w:rPr>
        <w:t> </w:t>
      </w:r>
      <w:r>
        <w:rPr>
          <w:rFonts w:ascii="Calibri"/>
          <w:sz w:val="18"/>
        </w:rPr>
        <w:t>273,</w:t>
      </w:r>
      <w:r>
        <w:rPr>
          <w:rFonts w:ascii="Calibri"/>
          <w:spacing w:val="-3"/>
          <w:sz w:val="18"/>
        </w:rPr>
        <w:t> </w:t>
      </w:r>
      <w:r>
        <w:rPr>
          <w:rFonts w:ascii="Calibri"/>
          <w:spacing w:val="-4"/>
          <w:sz w:val="18"/>
        </w:rPr>
        <w:t>275,</w:t>
      </w:r>
    </w:p>
    <w:p>
      <w:pPr>
        <w:spacing w:before="0"/>
        <w:ind w:left="359" w:right="0" w:firstLine="0"/>
        <w:jc w:val="left"/>
        <w:rPr>
          <w:rFonts w:ascii="Calibri"/>
          <w:sz w:val="18"/>
        </w:rPr>
      </w:pPr>
      <w:r>
        <w:rPr>
          <w:rFonts w:ascii="Calibri"/>
          <w:sz w:val="18"/>
        </w:rPr>
        <w:t>276,</w:t>
      </w:r>
      <w:r>
        <w:rPr>
          <w:rFonts w:ascii="Calibri"/>
          <w:spacing w:val="-4"/>
          <w:sz w:val="18"/>
        </w:rPr>
        <w:t> </w:t>
      </w:r>
      <w:r>
        <w:rPr>
          <w:rFonts w:ascii="Calibri"/>
          <w:sz w:val="18"/>
        </w:rPr>
        <w:t>279,</w:t>
      </w:r>
      <w:r>
        <w:rPr>
          <w:rFonts w:ascii="Calibri"/>
          <w:spacing w:val="-3"/>
          <w:sz w:val="18"/>
        </w:rPr>
        <w:t> </w:t>
      </w:r>
      <w:r>
        <w:rPr>
          <w:rFonts w:ascii="Calibri"/>
          <w:spacing w:val="-5"/>
          <w:sz w:val="18"/>
        </w:rPr>
        <w:t>285</w:t>
      </w:r>
    </w:p>
    <w:sectPr>
      <w:type w:val="continuous"/>
      <w:pgSz w:w="8640" w:h="12960"/>
      <w:pgMar w:header="0" w:footer="1060" w:top="1480" w:bottom="280" w:left="580" w:right="580"/>
      <w:cols w:num="2" w:equalWidth="0">
        <w:col w:w="3211" w:space="569"/>
        <w:col w:w="370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igh Tower Text">
    <w:altName w:val="High Tower Text"/>
    <w:charset w:val="0"/>
    <w:family w:val="roman"/>
    <w:pitch w:val="variable"/>
  </w:font>
  <w:font w:name="Book Antiqua">
    <w:altName w:val="Book Antiqua"/>
    <w:charset w:val="0"/>
    <w:family w:val="roman"/>
    <w:pitch w:val="variable"/>
  </w:font>
  <w:font w:name="Georgia">
    <w:altName w:val="Georgia"/>
    <w:charset w:val="0"/>
    <w:family w:val="roman"/>
    <w:pitch w:val="variable"/>
  </w:font>
  <w:font w:name="Garamond">
    <w:altName w:val="Garamond"/>
    <w:charset w:val="0"/>
    <w:family w:val="roman"/>
    <w:pitch w:val="variable"/>
  </w:font>
  <w:font w:name="Tahoma">
    <w:altName w:val="Tahoma"/>
    <w:charset w:val="0"/>
    <w:family w:val="swiss"/>
    <w:pitch w:val="variable"/>
  </w:font>
  <w:font w:name="Verdana">
    <w:altName w:val="Verdana"/>
    <w:charset w:val="0"/>
    <w:family w:val="swiss"/>
    <w:pitch w:val="variable"/>
  </w:font>
  <w:font w:name="Century Gothic">
    <w:altName w:val="Century Gothic"/>
    <w:charset w:val="0"/>
    <w:family w:val="swiss"/>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86912" id="docshape1"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383.035034pt;margin-top:586.81958pt;width:17pt;height:12.05pt;mso-position-horizontal-relative:page;mso-position-vertical-relative:page;z-index:-19686400" type="#_x0000_t202" id="docshape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w:t>
                </w:r>
                <w:r>
                  <w:rPr>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76672" id="docshape27" filled="true" fillcolor="#000000" stroked="false">
          <v:fill type="solid"/>
          <w10:wrap type="none"/>
        </v:rect>
      </w:pict>
    </w:r>
    <w:r>
      <w:rPr/>
      <w:pict>
        <v:shape style="position:absolute;margin-left:383.035034pt;margin-top:586.81958pt;width:17pt;height:12.05pt;mso-position-horizontal-relative:page;mso-position-vertical-relative:page;z-index:-19676160" type="#_x0000_t202" id="docshape2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31</w:t>
                </w:r>
                <w:r>
                  <w:rPr>
                    <w:spacing w:val="-5"/>
                    <w:sz w:val="20"/>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68640" id="docshape1067" filled="true" fillcolor="#000000" stroked="false">
          <v:fill type="solid"/>
          <w10:wrap type="none"/>
        </v:rect>
      </w:pict>
    </w:r>
    <w:r>
      <w:rPr/>
      <w:pict>
        <v:shape style="position:absolute;margin-left:377.995026pt;margin-top:586.81958pt;width:22.1pt;height:12.05pt;mso-position-horizontal-relative:page;mso-position-vertical-relative:page;z-index:-19568128" type="#_x0000_t202" id="docshape106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297</w:t>
                </w:r>
                <w:r>
                  <w:rPr>
                    <w:spacing w:val="-5"/>
                    <w:sz w:val="20"/>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67616" id="docshape1069" filled="true" fillcolor="#000000" stroked="false">
          <v:fill type="solid"/>
          <w10:wrap type="none"/>
        </v:rect>
      </w:pict>
    </w:r>
    <w:r>
      <w:rPr/>
      <w:pict>
        <v:shape style="position:absolute;margin-left:33pt;margin-top:586.81958pt;width:22.05pt;height:12.05pt;mso-position-horizontal-relative:page;mso-position-vertical-relative:page;z-index:-19567104" type="#_x0000_t202" id="docshape107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298</w:t>
                </w:r>
                <w:r>
                  <w:rPr>
                    <w:spacing w:val="-5"/>
                    <w:sz w:val="20"/>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65568" id="docshape1079" filled="true" fillcolor="#000000" stroked="false">
          <v:fill type="solid"/>
          <w10:wrap type="none"/>
        </v:rect>
      </w:pict>
    </w:r>
    <w:r>
      <w:rPr/>
      <w:pict>
        <v:shape style="position:absolute;margin-left:377.995026pt;margin-top:586.81958pt;width:22.1pt;height:12.05pt;mso-position-horizontal-relative:page;mso-position-vertical-relative:page;z-index:-19565056" type="#_x0000_t202" id="docshape108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299</w:t>
                </w:r>
                <w:r>
                  <w:rPr>
                    <w:spacing w:val="-5"/>
                    <w:sz w:val="20"/>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64544" id="docshape1081" filled="true" fillcolor="#000000" stroked="false">
          <v:fill type="solid"/>
          <w10:wrap type="none"/>
        </v:rect>
      </w:pict>
    </w:r>
    <w:r>
      <w:rPr/>
      <w:pict>
        <v:shape style="position:absolute;margin-left:33pt;margin-top:586.81958pt;width:22.05pt;height:12.05pt;mso-position-horizontal-relative:page;mso-position-vertical-relative:page;z-index:-19564032" type="#_x0000_t202" id="docshape108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300</w:t>
                </w:r>
                <w:r>
                  <w:rPr>
                    <w:spacing w:val="-5"/>
                    <w:sz w:val="20"/>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63520" id="docshape1119" filled="true" fillcolor="#000000" stroked="false">
          <v:fill type="solid"/>
          <w10:wrap type="none"/>
        </v:rect>
      </w:pict>
    </w:r>
    <w:r>
      <w:rPr/>
      <w:pict>
        <v:shape style="position:absolute;margin-left:378.415009pt;margin-top:586.81958pt;width:21.65pt;height:12.05pt;mso-position-horizontal-relative:page;mso-position-vertical-relative:page;z-index:-19563008" type="#_x0000_t202" id="docshape112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311</w:t>
                </w:r>
                <w:r>
                  <w:rPr>
                    <w:spacing w:val="-5"/>
                    <w:sz w:val="20"/>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62496" id="docshape1121" filled="true" fillcolor="#000000" stroked="false">
          <v:fill type="solid"/>
          <w10:wrap type="none"/>
        </v:rect>
      </w:pict>
    </w:r>
    <w:r>
      <w:rPr/>
      <w:pict>
        <v:shape style="position:absolute;margin-left:33pt;margin-top:586.81958pt;width:22.05pt;height:12.05pt;mso-position-horizontal-relative:page;mso-position-vertical-relative:page;z-index:-19561984" type="#_x0000_t202" id="docshape112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312</w:t>
                </w:r>
                <w:r>
                  <w:rPr>
                    <w:spacing w:val="-5"/>
                    <w:sz w:val="20"/>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60448" id="docshape1125" filled="true" fillcolor="#000000" stroked="false">
          <v:fill type="solid"/>
          <w10:wrap type="none"/>
        </v:rect>
      </w:pict>
    </w:r>
    <w:r>
      <w:rPr/>
      <w:pict>
        <v:shape style="position:absolute;margin-left:33pt;margin-top:586.81958pt;width:22.05pt;height:12.05pt;mso-position-horizontal-relative:page;mso-position-vertical-relative:page;z-index:-19559936" type="#_x0000_t202" id="docshape112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314</w:t>
                </w:r>
                <w:r>
                  <w:rPr>
                    <w:spacing w:val="-5"/>
                    <w:sz w:val="2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75648" id="docshape29" filled="true" fillcolor="#000000" stroked="false">
          <v:fill type="solid"/>
          <w10:wrap type="none"/>
        </v:rect>
      </w:pict>
    </w:r>
    <w:r>
      <w:rPr/>
      <w:pict>
        <v:shape style="position:absolute;margin-left:33pt;margin-top:586.81958pt;width:17.1pt;height:12.05pt;mso-position-horizontal-relative:page;mso-position-vertical-relative:page;z-index:-19675136" type="#_x0000_t202" id="docshape3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32</w:t>
                </w:r>
                <w:r>
                  <w:rPr>
                    <w:spacing w:val="-5"/>
                    <w:sz w:val="20"/>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74624" id="docshape219" filled="true" fillcolor="#000000" stroked="false">
          <v:fill type="solid"/>
          <w10:wrap type="none"/>
        </v:rect>
      </w:pict>
    </w:r>
    <w:r>
      <w:rPr/>
      <w:pict>
        <v:shape style="position:absolute;margin-left:383.035034pt;margin-top:586.81958pt;width:17pt;height:12.05pt;mso-position-horizontal-relative:page;mso-position-vertical-relative:page;z-index:-19674112" type="#_x0000_t202" id="docshape22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57</w:t>
                </w:r>
                <w:r>
                  <w:rPr>
                    <w:spacing w:val="-5"/>
                    <w:sz w:val="20"/>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73600" id="docshape221" filled="true" fillcolor="#000000" stroked="false">
          <v:fill type="solid"/>
          <w10:wrap type="none"/>
        </v:rect>
      </w:pict>
    </w:r>
    <w:r>
      <w:rPr/>
      <w:pict>
        <v:shape style="position:absolute;margin-left:33pt;margin-top:586.81958pt;width:17.1pt;height:12.05pt;mso-position-horizontal-relative:page;mso-position-vertical-relative:page;z-index:-19673088" type="#_x0000_t202" id="docshape22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58</w:t>
                </w:r>
                <w:r>
                  <w:rPr>
                    <w:spacing w:val="-5"/>
                    <w:sz w:val="20"/>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71552" id="docshape226" filled="true" fillcolor="#000000" stroked="false">
          <v:fill type="solid"/>
          <w10:wrap type="none"/>
        </v:rect>
      </w:pict>
    </w:r>
    <w:r>
      <w:rPr/>
      <w:pict>
        <v:shape style="position:absolute;margin-left:383.035034pt;margin-top:586.81958pt;width:17pt;height:12.05pt;mso-position-horizontal-relative:page;mso-position-vertical-relative:page;z-index:-19671040" type="#_x0000_t202" id="docshape227"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59</w:t>
                </w:r>
                <w:r>
                  <w:rPr>
                    <w:spacing w:val="-5"/>
                    <w:sz w:val="20"/>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70528" id="docshape228" filled="true" fillcolor="#000000" stroked="false">
          <v:fill type="solid"/>
          <w10:wrap type="none"/>
        </v:rect>
      </w:pict>
    </w:r>
    <w:r>
      <w:rPr/>
      <w:pict>
        <v:shape style="position:absolute;margin-left:33pt;margin-top:586.81958pt;width:17.1pt;height:12.05pt;mso-position-horizontal-relative:page;mso-position-vertical-relative:page;z-index:-19670016" type="#_x0000_t202" id="docshape229"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60</w:t>
                </w:r>
                <w:r>
                  <w:rPr>
                    <w:spacing w:val="-5"/>
                    <w:sz w:val="20"/>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586.81958pt;width:17.1pt;height:12.05pt;mso-position-horizontal-relative:page;mso-position-vertical-relative:page;z-index:-19668480" type="#_x0000_t202" id="docshape24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62</w:t>
                </w:r>
                <w:r>
                  <w:rPr>
                    <w:spacing w:val="-5"/>
                    <w:sz w:val="20"/>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67968" id="docshape247" filled="true" fillcolor="#000000" stroked="false">
          <v:fill type="solid"/>
          <w10:wrap type="none"/>
        </v:rect>
      </w:pict>
    </w:r>
    <w:r>
      <w:rPr/>
      <w:pict>
        <v:shape style="position:absolute;margin-left:383.035034pt;margin-top:586.81958pt;width:17pt;height:12.05pt;mso-position-horizontal-relative:page;mso-position-vertical-relative:page;z-index:-19667456" type="#_x0000_t202" id="docshape24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63</w:t>
                </w:r>
                <w:r>
                  <w:rPr>
                    <w:spacing w:val="-5"/>
                    <w:sz w:val="20"/>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65920" id="docshape252" filled="true" fillcolor="#000000" stroked="false">
          <v:fill type="solid"/>
          <w10:wrap type="none"/>
        </v:rect>
      </w:pict>
    </w:r>
    <w:r>
      <w:rPr/>
      <w:pict>
        <v:shape style="position:absolute;margin-left:33pt;margin-top:586.81958pt;width:17.1pt;height:12.05pt;mso-position-horizontal-relative:page;mso-position-vertical-relative:page;z-index:-19665408" type="#_x0000_t202" id="docshape25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64</w:t>
                </w:r>
                <w:r>
                  <w:rPr>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85888" id="docshape3" filled="true" fillcolor="#000000" stroked="false">
          <v:fill type="solid"/>
          <w10:wrap type="none"/>
        </v:rect>
      </w:pict>
    </w:r>
    <w:r>
      <w:rPr/>
      <w:pict>
        <v:shape style="position:absolute;margin-left:35pt;margin-top:586.81958pt;width:12.1pt;height:12.05pt;mso-position-horizontal-relative:page;mso-position-vertical-relative:page;z-index:-19685376" type="#_x0000_t202" id="docshape4" filled="false" stroked="false">
          <v:textbox inset="0,0,0,0">
            <w:txbxContent>
              <w:p>
                <w:pPr>
                  <w:spacing w:line="220" w:lineRule="exact" w:before="0"/>
                  <w:ind w:left="20" w:right="0" w:firstLine="0"/>
                  <w:jc w:val="left"/>
                  <w:rPr>
                    <w:sz w:val="20"/>
                  </w:rPr>
                </w:pPr>
                <w:r>
                  <w:rPr>
                    <w:spacing w:val="-5"/>
                    <w:sz w:val="20"/>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035034pt;margin-top:586.81958pt;width:17pt;height:12.05pt;mso-position-horizontal-relative:page;mso-position-vertical-relative:page;z-index:-19664896" type="#_x0000_t202" id="docshape254"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65</w:t>
                </w:r>
                <w:r>
                  <w:rPr>
                    <w:spacing w:val="-5"/>
                    <w:sz w:val="20"/>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63360" id="docshape259" filled="true" fillcolor="#000000" stroked="false">
          <v:fill type="solid"/>
          <w10:wrap type="none"/>
        </v:rect>
      </w:pict>
    </w:r>
    <w:r>
      <w:rPr/>
      <w:pict>
        <v:shape style="position:absolute;margin-left:383.035034pt;margin-top:586.81958pt;width:17pt;height:12.05pt;mso-position-horizontal-relative:page;mso-position-vertical-relative:page;z-index:-19662848" type="#_x0000_t202" id="docshape26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67</w:t>
                </w:r>
                <w:r>
                  <w:rPr>
                    <w:spacing w:val="-5"/>
                    <w:sz w:val="20"/>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86.81958pt;width:12.1pt;height:12.05pt;mso-position-horizontal-relative:page;mso-position-vertical-relative:page;z-index:-19662336" type="#_x0000_t202" id="docshape261" filled="false" stroked="false">
          <v:textbox inset="0,0,0,0">
            <w:txbxContent>
              <w:p>
                <w:pPr>
                  <w:spacing w:line="220" w:lineRule="exact" w:before="0"/>
                  <w:ind w:left="20" w:right="0" w:firstLine="0"/>
                  <w:jc w:val="left"/>
                  <w:rPr>
                    <w:sz w:val="20"/>
                  </w:rPr>
                </w:pPr>
                <w:r>
                  <w:rPr>
                    <w:spacing w:val="-5"/>
                    <w:sz w:val="20"/>
                  </w:rPr>
                  <w:t>68</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61824" id="docshape264" filled="true" fillcolor="#000000" stroked="false">
          <v:fill type="solid"/>
          <w10:wrap type="none"/>
        </v:rect>
      </w:pict>
    </w:r>
    <w:r>
      <w:rPr/>
      <w:pict>
        <v:shape style="position:absolute;margin-left:383.035034pt;margin-top:586.81958pt;width:17pt;height:12.05pt;mso-position-horizontal-relative:page;mso-position-vertical-relative:page;z-index:-19661312" type="#_x0000_t202" id="docshape265"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71</w:t>
                </w:r>
                <w:r>
                  <w:rPr>
                    <w:spacing w:val="-5"/>
                    <w:sz w:val="2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586.81958pt;width:17.1pt;height:12.05pt;mso-position-horizontal-relative:page;mso-position-vertical-relative:page;z-index:-19660800" type="#_x0000_t202" id="docshape26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72</w:t>
                </w:r>
                <w:r>
                  <w:rPr>
                    <w:spacing w:val="-5"/>
                    <w:sz w:val="20"/>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035034pt;margin-top:586.81958pt;width:17pt;height:12.05pt;mso-position-horizontal-relative:page;mso-position-vertical-relative:page;z-index:-19659264" type="#_x0000_t202" id="docshape28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75</w:t>
                </w:r>
                <w:r>
                  <w:rPr>
                    <w:spacing w:val="-5"/>
                    <w:sz w:val="20"/>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586.81958pt;width:17.1pt;height:12.05pt;mso-position-horizontal-relative:page;mso-position-vertical-relative:page;z-index:-19658752" type="#_x0000_t202" id="docshape28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74</w:t>
                </w:r>
                <w:r>
                  <w:rPr>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rect style="position:absolute;margin-left:52.5pt;margin-top:585pt;width:345pt;height:.48001pt;mso-position-horizontal-relative:page;mso-position-vertical-relative:page;z-index:-19657216" id="docshape286" filled="true" fillcolor="#000000" stroked="false">
          <v:fill type="solid"/>
          <w10:wrap type="none"/>
        </v:rect>
      </w:pict>
    </w:r>
    <w:r>
      <w:rPr/>
      <w:pict>
        <v:shape style="position:absolute;margin-left:383.035034pt;margin-top:586.81958pt;width:17pt;height:12.05pt;mso-position-horizontal-relative:page;mso-position-vertical-relative:page;z-index:-19656704" type="#_x0000_t202" id="docshape287"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79</w:t>
                </w:r>
                <w:r>
                  <w:rPr>
                    <w:spacing w:val="-5"/>
                    <w:sz w:val="2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586.81958pt;width:17.1pt;height:12.05pt;mso-position-horizontal-relative:page;mso-position-vertical-relative:page;z-index:-19656192" type="#_x0000_t202" id="docshape28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78</w:t>
                </w:r>
                <w:r>
                  <w:rPr>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rect style="position:absolute;margin-left:34.5pt;margin-top:585pt;width:345pt;height:.48001pt;mso-position-horizontal-relative:page;mso-position-vertical-relative:page;z-index:-19654656" id="docshape305" filled="true" fillcolor="#000000" stroked="false">
          <v:fill type="solid"/>
          <w10:wrap type="none"/>
        </v:rect>
      </w:pict>
    </w:r>
    <w:r>
      <w:rPr/>
      <w:pict>
        <v:shape style="position:absolute;margin-left:33pt;margin-top:586.81958pt;width:17.1pt;height:12.05pt;mso-position-horizontal-relative:page;mso-position-vertical-relative:page;z-index:-19654144" type="#_x0000_t202" id="docshape30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82</w:t>
                </w:r>
                <w:r>
                  <w:rPr>
                    <w:spacing w:val="-5"/>
                    <w:sz w:val="20"/>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035034pt;margin-top:586.81958pt;width:17pt;height:12.05pt;mso-position-horizontal-relative:page;mso-position-vertical-relative:page;z-index:-19653632" type="#_x0000_t202" id="docshape307"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81</w:t>
                </w:r>
                <w:r>
                  <w:rPr>
                    <w:spacing w:val="-5"/>
                    <w:sz w:val="20"/>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52096" id="docshape310" filled="true" fillcolor="#000000" stroked="false">
          <v:fill type="solid"/>
          <w10:wrap type="none"/>
        </v:rect>
      </w:pict>
    </w:r>
    <w:r>
      <w:rPr/>
      <w:pict>
        <v:shape style="position:absolute;margin-left:383.035034pt;margin-top:586.81958pt;width:17pt;height:12.05pt;mso-position-horizontal-relative:page;mso-position-vertical-relative:page;z-index:-19651584" type="#_x0000_t202" id="docshape31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83</w:t>
                </w:r>
                <w:r>
                  <w:rPr>
                    <w:spacing w:val="-5"/>
                    <w:sz w:val="20"/>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51072" id="docshape312" filled="true" fillcolor="#000000" stroked="false">
          <v:fill type="solid"/>
          <w10:wrap type="none"/>
        </v:rect>
      </w:pict>
    </w:r>
    <w:r>
      <w:rPr/>
      <w:pict>
        <v:shape style="position:absolute;margin-left:33pt;margin-top:586.81958pt;width:17.1pt;height:12.05pt;mso-position-horizontal-relative:page;mso-position-vertical-relative:page;z-index:-19650560" type="#_x0000_t202" id="docshape31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84</w:t>
                </w:r>
                <w:r>
                  <w:rPr>
                    <w:spacing w:val="-5"/>
                    <w:sz w:val="20"/>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035034pt;margin-top:586.81958pt;width:17pt;height:12.05pt;mso-position-horizontal-relative:page;mso-position-vertical-relative:page;z-index:-19649024" type="#_x0000_t202" id="docshape33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87</w:t>
                </w:r>
                <w:r>
                  <w:rPr>
                    <w:spacing w:val="-5"/>
                    <w:sz w:val="20"/>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48512" id="docshape332" filled="true" fillcolor="#000000" stroked="false">
          <v:fill type="solid"/>
          <w10:wrap type="none"/>
        </v:rect>
      </w:pict>
    </w:r>
    <w:r>
      <w:rPr/>
      <w:pict>
        <v:shape style="position:absolute;margin-left:33pt;margin-top:586.81958pt;width:17.1pt;height:12.05pt;mso-position-horizontal-relative:page;mso-position-vertical-relative:page;z-index:-19648000" type="#_x0000_t202" id="docshape33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88</w:t>
                </w:r>
                <w:r>
                  <w:rPr>
                    <w:spacing w:val="-5"/>
                    <w:sz w:val="20"/>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46464" id="docshape336" filled="true" fillcolor="#000000" stroked="false">
          <v:fill type="solid"/>
          <w10:wrap type="none"/>
        </v:rect>
      </w:pict>
    </w:r>
    <w:r>
      <w:rPr/>
      <w:pict>
        <v:shape style="position:absolute;margin-left:383.035034pt;margin-top:586.81958pt;width:17pt;height:12.05pt;mso-position-horizontal-relative:page;mso-position-vertical-relative:page;z-index:-19645952" type="#_x0000_t202" id="docshape337"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91</w:t>
                </w:r>
                <w:r>
                  <w:rPr>
                    <w:spacing w:val="-5"/>
                    <w:sz w:val="20"/>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45440" id="docshape338" filled="true" fillcolor="#000000" stroked="false">
          <v:fill type="solid"/>
          <w10:wrap type="none"/>
        </v:rect>
      </w:pict>
    </w:r>
    <w:r>
      <w:rPr/>
      <w:pict>
        <v:shape style="position:absolute;margin-left:33pt;margin-top:586.81958pt;width:17.1pt;height:12.05pt;mso-position-horizontal-relative:page;mso-position-vertical-relative:page;z-index:-19644928" type="#_x0000_t202" id="docshape339"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92</w:t>
                </w:r>
                <w:r>
                  <w:rPr>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035034pt;margin-top:586.81958pt;width:17pt;height:12.05pt;mso-position-horizontal-relative:page;mso-position-vertical-relative:page;z-index:-19643392" type="#_x0000_t202" id="docshape38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97</w:t>
                </w:r>
                <w:r>
                  <w:rPr>
                    <w:spacing w:val="-5"/>
                    <w:sz w:val="20"/>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42880" id="docshape387" filled="true" fillcolor="#000000" stroked="false">
          <v:fill type="solid"/>
          <w10:wrap type="none"/>
        </v:rect>
      </w:pict>
    </w:r>
    <w:r>
      <w:rPr/>
      <w:pict>
        <v:shape style="position:absolute;margin-left:33pt;margin-top:586.81958pt;width:17.1pt;height:12.05pt;mso-position-horizontal-relative:page;mso-position-vertical-relative:page;z-index:-19642368" type="#_x0000_t202" id="docshape38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98</w:t>
                </w:r>
                <w:r>
                  <w:rPr>
                    <w:spacing w:val="-5"/>
                    <w:sz w:val="20"/>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84864" id="docshape5" filled="true" fillcolor="#000000" stroked="false">
          <v:fill type="solid"/>
          <w10:wrap type="none"/>
        </v:rect>
      </w:pict>
    </w:r>
    <w:r>
      <w:rPr/>
      <w:pict>
        <v:shape style="position:absolute;margin-left:383.035034pt;margin-top:586.81958pt;width:17pt;height:12.05pt;mso-position-horizontal-relative:page;mso-position-vertical-relative:page;z-index:-19684352" type="#_x0000_t202" id="docshape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w:t>
                </w:r>
                <w:r>
                  <w:rPr>
                    <w:spacing w:val="-5"/>
                    <w:sz w:val="20"/>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586.81958pt;width:22.05pt;height:12.05pt;mso-position-horizontal-relative:page;mso-position-vertical-relative:page;z-index:-19640832" type="#_x0000_t202" id="docshape39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100</w:t>
                </w:r>
                <w:r>
                  <w:rPr>
                    <w:spacing w:val="-5"/>
                    <w:sz w:val="20"/>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40320" id="docshape392" filled="true" fillcolor="#000000" stroked="false">
          <v:fill type="solid"/>
          <w10:wrap type="none"/>
        </v:rect>
      </w:pict>
    </w:r>
    <w:r>
      <w:rPr/>
      <w:pict>
        <v:shape style="position:absolute;margin-left:377.995026pt;margin-top:586.81958pt;width:22.1pt;height:12.05pt;mso-position-horizontal-relative:page;mso-position-vertical-relative:page;z-index:-19639808" type="#_x0000_t202" id="docshape39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101</w:t>
                </w:r>
                <w:r>
                  <w:rPr>
                    <w:spacing w:val="-5"/>
                    <w:sz w:val="20"/>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38272" id="docshape397" filled="true" fillcolor="#000000" stroked="false">
          <v:fill type="solid"/>
          <w10:wrap type="none"/>
        </v:rect>
      </w:pict>
    </w:r>
    <w:r>
      <w:rPr/>
      <w:pict>
        <v:shape style="position:absolute;margin-left:33pt;margin-top:586.81958pt;width:22.05pt;height:12.05pt;mso-position-horizontal-relative:page;mso-position-vertical-relative:page;z-index:-19637760" type="#_x0000_t202" id="docshape39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102</w:t>
                </w:r>
                <w:r>
                  <w:rPr>
                    <w:spacing w:val="-5"/>
                    <w:sz w:val="20"/>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37248" id="docshape399" filled="true" fillcolor="#000000" stroked="false">
          <v:fill type="solid"/>
          <w10:wrap type="none"/>
        </v:rect>
      </w:pict>
    </w:r>
    <w:r>
      <w:rPr/>
      <w:pict>
        <v:shape style="position:absolute;margin-left:377.995026pt;margin-top:586.81958pt;width:22.1pt;height:12.05pt;mso-position-horizontal-relative:page;mso-position-vertical-relative:page;z-index:-19636736" type="#_x0000_t202" id="docshape40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103</w:t>
                </w:r>
                <w:r>
                  <w:rPr>
                    <w:spacing w:val="-5"/>
                    <w:sz w:val="20"/>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586.81958pt;width:22.05pt;height:12.05pt;mso-position-horizontal-relative:page;mso-position-vertical-relative:page;z-index:-19635200" type="#_x0000_t202" id="docshape40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108</w:t>
                </w:r>
                <w:r>
                  <w:rPr>
                    <w:spacing w:val="-5"/>
                    <w:sz w:val="20"/>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34688" id="docshape407" filled="true" fillcolor="#000000" stroked="false">
          <v:fill type="solid"/>
          <w10:wrap type="none"/>
        </v:rect>
      </w:pict>
    </w:r>
    <w:r>
      <w:rPr/>
      <w:pict>
        <v:shape style="position:absolute;margin-left:377.995026pt;margin-top:586.81958pt;width:22.1pt;height:12.05pt;mso-position-horizontal-relative:page;mso-position-vertical-relative:page;z-index:-19634176" type="#_x0000_t202" id="docshape40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109</w:t>
                </w:r>
                <w:r>
                  <w:rPr>
                    <w:spacing w:val="-5"/>
                    <w:sz w:val="20"/>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33152" id="docshape410" filled="true" fillcolor="#000000" stroked="false">
          <v:fill type="solid"/>
          <w10:wrap type="none"/>
        </v:rect>
      </w:pict>
    </w:r>
    <w:r>
      <w:rPr/>
      <w:pict>
        <v:shape style="position:absolute;margin-left:33pt;margin-top:586.81958pt;width:21.75pt;height:12.05pt;mso-position-horizontal-relative:page;mso-position-vertical-relative:page;z-index:-19632640" type="#_x0000_t202" id="docshape41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110</w:t>
                </w:r>
                <w:r>
                  <w:rPr>
                    <w:spacing w:val="-5"/>
                    <w:sz w:val="20"/>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32128" id="docshape412" filled="true" fillcolor="#000000" stroked="false">
          <v:fill type="solid"/>
          <w10:wrap type="none"/>
        </v:rect>
      </w:pict>
    </w:r>
    <w:r>
      <w:rPr/>
      <w:pict>
        <v:shape style="position:absolute;margin-left:378.775024pt;margin-top:586.81958pt;width:20.9pt;height:12.05pt;mso-position-horizontal-relative:page;mso-position-vertical-relative:page;z-index:-19631616" type="#_x0000_t202" id="docshape41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111</w:t>
                </w:r>
                <w:r>
                  <w:rPr>
                    <w:spacing w:val="-5"/>
                    <w:sz w:val="20"/>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30080" id="docshape417" filled="true" fillcolor="#000000" stroked="false">
          <v:fill type="solid"/>
          <w10:wrap type="none"/>
        </v:rect>
      </w:pict>
    </w:r>
    <w:r>
      <w:rPr/>
      <w:pict>
        <v:shape style="position:absolute;margin-left:33pt;margin-top:586.81958pt;width:21.75pt;height:12.05pt;mso-position-horizontal-relative:page;mso-position-vertical-relative:page;z-index:-19629568" type="#_x0000_t202" id="docshape41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112</w:t>
                </w:r>
                <w:r>
                  <w:rPr>
                    <w:spacing w:val="-5"/>
                    <w:sz w:val="20"/>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29056" id="docshape419" filled="true" fillcolor="#000000" stroked="false">
          <v:fill type="solid"/>
          <w10:wrap type="none"/>
        </v:rect>
      </w:pict>
    </w:r>
    <w:r>
      <w:rPr/>
      <w:pict>
        <v:shape style="position:absolute;margin-left:378.415009pt;margin-top:586.81958pt;width:21.6pt;height:12.05pt;mso-position-horizontal-relative:page;mso-position-vertical-relative:page;z-index:-19628544" type="#_x0000_t202" id="docshape42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113</w:t>
                </w:r>
                <w:r>
                  <w:rPr>
                    <w:spacing w:val="-5"/>
                    <w:sz w:val="20"/>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83840" id="docshape7" filled="true" fillcolor="#000000" stroked="false">
          <v:fill type="solid"/>
          <w10:wrap type="none"/>
        </v:rect>
      </w:pict>
    </w:r>
    <w:r>
      <w:rPr/>
      <w:pict>
        <v:shape style="position:absolute;margin-left:33pt;margin-top:586.81958pt;width:17.1pt;height:12.05pt;mso-position-horizontal-relative:page;mso-position-vertical-relative:page;z-index:-19683328" type="#_x0000_t202" id="docshape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14</w:t>
                </w:r>
                <w:r>
                  <w:rPr>
                    <w:spacing w:val="-5"/>
                    <w:sz w:val="20"/>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7.995026pt;margin-top:586.81958pt;width:22.1pt;height:12.05pt;mso-position-horizontal-relative:page;mso-position-vertical-relative:page;z-index:-19627008" type="#_x0000_t202" id="docshape47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129</w:t>
                </w:r>
                <w:r>
                  <w:rPr>
                    <w:spacing w:val="-5"/>
                    <w:sz w:val="20"/>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26496" id="docshape473" filled="true" fillcolor="#000000" stroked="false">
          <v:fill type="solid"/>
          <w10:wrap type="none"/>
        </v:rect>
      </w:pict>
    </w:r>
    <w:r>
      <w:rPr/>
      <w:pict>
        <v:shape style="position:absolute;margin-left:33pt;margin-top:586.81958pt;width:22.05pt;height:12.05pt;mso-position-horizontal-relative:page;mso-position-vertical-relative:page;z-index:-19625984" type="#_x0000_t202" id="docshape474"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130</w:t>
                </w:r>
                <w:r>
                  <w:rPr>
                    <w:spacing w:val="-5"/>
                    <w:sz w:val="20"/>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24448" id="docshape477" filled="true" fillcolor="#000000" stroked="false">
          <v:fill type="solid"/>
          <w10:wrap type="none"/>
        </v:rect>
      </w:pict>
    </w:r>
    <w:r>
      <w:rPr/>
      <w:pict>
        <v:shape style="position:absolute;margin-left:377.995026pt;margin-top:586.81958pt;width:22.1pt;height:12.05pt;mso-position-horizontal-relative:page;mso-position-vertical-relative:page;z-index:-19623936" type="#_x0000_t202" id="docshape47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131</w:t>
                </w:r>
                <w:r>
                  <w:rPr>
                    <w:spacing w:val="-5"/>
                    <w:sz w:val="20"/>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23424" id="docshape479" filled="true" fillcolor="#000000" stroked="false">
          <v:fill type="solid"/>
          <w10:wrap type="none"/>
        </v:rect>
      </w:pict>
    </w:r>
    <w:r>
      <w:rPr/>
      <w:pict>
        <v:shape style="position:absolute;margin-left:33pt;margin-top:586.81958pt;width:22.05pt;height:12.05pt;mso-position-horizontal-relative:page;mso-position-vertical-relative:page;z-index:-19622912" type="#_x0000_t202" id="docshape48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132</w:t>
                </w:r>
                <w:r>
                  <w:rPr>
                    <w:spacing w:val="-5"/>
                    <w:sz w:val="20"/>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22400" id="docshape483" filled="true" fillcolor="#000000" stroked="false">
          <v:fill type="solid"/>
          <w10:wrap type="none"/>
        </v:rect>
      </w:pict>
    </w:r>
    <w:r>
      <w:rPr/>
      <w:pict>
        <v:shape style="position:absolute;margin-left:377.995026pt;margin-top:586.81958pt;width:22.1pt;height:12.05pt;mso-position-horizontal-relative:page;mso-position-vertical-relative:page;z-index:-19621888" type="#_x0000_t202" id="docshape484"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135</w:t>
                </w:r>
                <w:r>
                  <w:rPr>
                    <w:spacing w:val="-5"/>
                    <w:sz w:val="20"/>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21376" id="docshape485" filled="true" fillcolor="#000000" stroked="false">
          <v:fill type="solid"/>
          <w10:wrap type="none"/>
        </v:rect>
      </w:pict>
    </w:r>
    <w:r>
      <w:rPr/>
      <w:pict>
        <v:shape style="position:absolute;margin-left:33pt;margin-top:586.81958pt;width:22.05pt;height:12.05pt;mso-position-horizontal-relative:page;mso-position-vertical-relative:page;z-index:-19620864" type="#_x0000_t202" id="docshape48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136</w:t>
                </w:r>
                <w:r>
                  <w:rPr>
                    <w:spacing w:val="-5"/>
                    <w:sz w:val="20"/>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19328" id="docshape499" filled="true" fillcolor="#000000" stroked="false">
          <v:fill type="solid"/>
          <w10:wrap type="none"/>
        </v:rect>
      </w:pict>
    </w:r>
    <w:r>
      <w:rPr/>
      <w:pict>
        <v:shape style="position:absolute;margin-left:377.995026pt;margin-top:586.81958pt;width:22.1pt;height:12.05pt;mso-position-horizontal-relative:page;mso-position-vertical-relative:page;z-index:-19618816" type="#_x0000_t202" id="docshape50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137</w:t>
                </w:r>
                <w:r>
                  <w:rPr>
                    <w:spacing w:val="-5"/>
                    <w:sz w:val="20"/>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18304" id="docshape501" filled="true" fillcolor="#000000" stroked="false">
          <v:fill type="solid"/>
          <w10:wrap type="none"/>
        </v:rect>
      </w:pict>
    </w:r>
    <w:r>
      <w:rPr/>
      <w:pict>
        <v:shape style="position:absolute;margin-left:33pt;margin-top:586.81958pt;width:22.05pt;height:12.05pt;mso-position-horizontal-relative:page;mso-position-vertical-relative:page;z-index:-19617792" type="#_x0000_t202" id="docshape50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138</w:t>
                </w:r>
                <w:r>
                  <w:rPr>
                    <w:spacing w:val="-5"/>
                    <w:sz w:val="20"/>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17280" id="docshape572" filled="true" fillcolor="#000000" stroked="false">
          <v:fill type="solid"/>
          <w10:wrap type="none"/>
        </v:rect>
      </w:pict>
    </w:r>
    <w:r>
      <w:rPr/>
      <w:pict>
        <v:shape style="position:absolute;margin-left:377.995026pt;margin-top:586.81958pt;width:22.1pt;height:12.05pt;mso-position-horizontal-relative:page;mso-position-vertical-relative:page;z-index:-19616768" type="#_x0000_t202" id="docshape57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181</w:t>
                </w:r>
                <w:r>
                  <w:rPr>
                    <w:spacing w:val="-5"/>
                    <w:sz w:val="20"/>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81792" id="docshape11" filled="true" fillcolor="#000000" stroked="false">
          <v:fill type="solid"/>
          <w10:wrap type="none"/>
        </v:rect>
      </w:pict>
    </w:r>
    <w:r>
      <w:rPr/>
      <w:pict>
        <v:shape style="position:absolute;margin-left:383.035034pt;margin-top:586.81958pt;width:17pt;height:12.05pt;mso-position-horizontal-relative:page;mso-position-vertical-relative:page;z-index:-19681280" type="#_x0000_t202" id="docshape1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15</w:t>
                </w:r>
                <w:r>
                  <w:rPr>
                    <w:spacing w:val="-5"/>
                    <w:sz w:val="20"/>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16256" id="docshape574" filled="true" fillcolor="#000000" stroked="false">
          <v:fill type="solid"/>
          <w10:wrap type="none"/>
        </v:rect>
      </w:pict>
    </w:r>
    <w:r>
      <w:rPr/>
      <w:pict>
        <v:shape style="position:absolute;margin-left:33pt;margin-top:586.81958pt;width:22.05pt;height:12.05pt;mso-position-horizontal-relative:page;mso-position-vertical-relative:page;z-index:-19615744" type="#_x0000_t202" id="docshape575"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182</w:t>
                </w:r>
                <w:r>
                  <w:rPr>
                    <w:spacing w:val="-5"/>
                    <w:sz w:val="20"/>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14208" id="docshape579" filled="true" fillcolor="#000000" stroked="false">
          <v:fill type="solid"/>
          <w10:wrap type="none"/>
        </v:rect>
      </w:pict>
    </w:r>
    <w:r>
      <w:rPr/>
      <w:pict>
        <v:shape style="position:absolute;margin-left:377.995026pt;margin-top:586.81958pt;width:22.1pt;height:12.05pt;mso-position-horizontal-relative:page;mso-position-vertical-relative:page;z-index:-19613696" type="#_x0000_t202" id="docshape58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183</w:t>
                </w:r>
                <w:r>
                  <w:rPr>
                    <w:spacing w:val="-5"/>
                    <w:sz w:val="20"/>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13184" id="docshape581" filled="true" fillcolor="#000000" stroked="false">
          <v:fill type="solid"/>
          <w10:wrap type="none"/>
        </v:rect>
      </w:pict>
    </w:r>
    <w:r>
      <w:rPr/>
      <w:pict>
        <v:shape style="position:absolute;margin-left:33pt;margin-top:586.81958pt;width:22.05pt;height:12.05pt;mso-position-horizontal-relative:page;mso-position-vertical-relative:page;z-index:-19612672" type="#_x0000_t202" id="docshape58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184</w:t>
                </w:r>
                <w:r>
                  <w:rPr>
                    <w:spacing w:val="-5"/>
                    <w:sz w:val="20"/>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7.995026pt;margin-top:586.81958pt;width:22.1pt;height:12.05pt;mso-position-horizontal-relative:page;mso-position-vertical-relative:page;z-index:-19611136" type="#_x0000_t202" id="docshape644"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193</w:t>
                </w:r>
                <w:r>
                  <w:rPr>
                    <w:spacing w:val="-5"/>
                    <w:sz w:val="20"/>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10624" id="docshape645" filled="true" fillcolor="#000000" stroked="false">
          <v:fill type="solid"/>
          <w10:wrap type="none"/>
        </v:rect>
      </w:pict>
    </w:r>
    <w:r>
      <w:rPr/>
      <w:pict>
        <v:shape style="position:absolute;margin-left:33pt;margin-top:586.81958pt;width:22.05pt;height:12.05pt;mso-position-horizontal-relative:page;mso-position-vertical-relative:page;z-index:-19610112" type="#_x0000_t202" id="docshape64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194</w:t>
                </w:r>
                <w:r>
                  <w:rPr>
                    <w:spacing w:val="-5"/>
                    <w:sz w:val="20"/>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08576" id="docshape665" filled="true" fillcolor="#000000" stroked="false">
          <v:fill type="solid"/>
          <w10:wrap type="none"/>
        </v:rect>
      </w:pict>
    </w:r>
    <w:r>
      <w:rPr/>
      <w:pict>
        <v:shape style="position:absolute;margin-left:377.995026pt;margin-top:586.81958pt;width:22.1pt;height:12.05pt;mso-position-horizontal-relative:page;mso-position-vertical-relative:page;z-index:-19608064" type="#_x0000_t202" id="docshape66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195</w:t>
                </w:r>
                <w:r>
                  <w:rPr>
                    <w:spacing w:val="-5"/>
                    <w:sz w:val="20"/>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07552" id="docshape667" filled="true" fillcolor="#000000" stroked="false">
          <v:fill type="solid"/>
          <w10:wrap type="none"/>
        </v:rect>
      </w:pict>
    </w:r>
    <w:r>
      <w:rPr/>
      <w:pict>
        <v:shape style="position:absolute;margin-left:33pt;margin-top:586.81958pt;width:22.05pt;height:12.05pt;mso-position-horizontal-relative:page;mso-position-vertical-relative:page;z-index:-19607040" type="#_x0000_t202" id="docshape66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196</w:t>
                </w:r>
                <w:r>
                  <w:rPr>
                    <w:spacing w:val="-5"/>
                    <w:sz w:val="20"/>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06528" id="docshape692" filled="true" fillcolor="#000000" stroked="false">
          <v:fill type="solid"/>
          <w10:wrap type="none"/>
        </v:rect>
      </w:pict>
    </w:r>
    <w:r>
      <w:rPr/>
      <w:pict>
        <v:shape style="position:absolute;margin-left:377.995026pt;margin-top:586.81958pt;width:22.1pt;height:12.05pt;mso-position-horizontal-relative:page;mso-position-vertical-relative:page;z-index:-19606016" type="#_x0000_t202" id="docshape69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201</w:t>
                </w:r>
                <w:r>
                  <w:rPr>
                    <w:spacing w:val="-5"/>
                    <w:sz w:val="20"/>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05504" id="docshape694" filled="true" fillcolor="#000000" stroked="false">
          <v:fill type="solid"/>
          <w10:wrap type="none"/>
        </v:rect>
      </w:pict>
    </w:r>
    <w:r>
      <w:rPr/>
      <w:pict>
        <v:shape style="position:absolute;margin-left:33pt;margin-top:586.81958pt;width:22.05pt;height:12.05pt;mso-position-horizontal-relative:page;mso-position-vertical-relative:page;z-index:-19604992" type="#_x0000_t202" id="docshape695"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202</w:t>
                </w:r>
                <w:r>
                  <w:rPr>
                    <w:spacing w:val="-5"/>
                    <w:sz w:val="20"/>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80768" id="docshape13" filled="true" fillcolor="#000000" stroked="false">
          <v:fill type="solid"/>
          <w10:wrap type="none"/>
        </v:rect>
      </w:pict>
    </w:r>
    <w:r>
      <w:rPr/>
      <w:pict>
        <v:shape style="position:absolute;margin-left:33pt;margin-top:586.81958pt;width:17.1pt;height:12.05pt;mso-position-horizontal-relative:page;mso-position-vertical-relative:page;z-index:-19680256" type="#_x0000_t202" id="docshape14"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16</w:t>
                </w:r>
                <w:r>
                  <w:rPr>
                    <w:spacing w:val="-5"/>
                    <w:sz w:val="20"/>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03456" id="docshape699" filled="true" fillcolor="#000000" stroked="false">
          <v:fill type="solid"/>
          <w10:wrap type="none"/>
        </v:rect>
      </w:pict>
    </w:r>
    <w:r>
      <w:rPr/>
      <w:pict>
        <v:shape style="position:absolute;margin-left:377.995026pt;margin-top:586.81958pt;width:22.1pt;height:12.05pt;mso-position-horizontal-relative:page;mso-position-vertical-relative:page;z-index:-19602944" type="#_x0000_t202" id="docshape70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203</w:t>
                </w:r>
                <w:r>
                  <w:rPr>
                    <w:spacing w:val="-5"/>
                    <w:sz w:val="20"/>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02432" id="docshape701" filled="true" fillcolor="#000000" stroked="false">
          <v:fill type="solid"/>
          <w10:wrap type="none"/>
        </v:rect>
      </w:pict>
    </w:r>
    <w:r>
      <w:rPr/>
      <w:pict>
        <v:shape style="position:absolute;margin-left:33pt;margin-top:586.81958pt;width:22.05pt;height:12.05pt;mso-position-horizontal-relative:page;mso-position-vertical-relative:page;z-index:-19601920" type="#_x0000_t202" id="docshape70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204</w:t>
                </w:r>
                <w:r>
                  <w:rPr>
                    <w:spacing w:val="-5"/>
                    <w:sz w:val="20"/>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7.995026pt;margin-top:586.81958pt;width:22.1pt;height:12.05pt;mso-position-horizontal-relative:page;mso-position-vertical-relative:page;z-index:-19601408" type="#_x0000_t202" id="docshape82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235</w:t>
                </w:r>
                <w:r>
                  <w:rPr>
                    <w:spacing w:val="-5"/>
                    <w:sz w:val="20"/>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00896" id="docshape827" filled="true" fillcolor="#000000" stroked="false">
          <v:fill type="solid"/>
          <w10:wrap type="none"/>
        </v:rect>
      </w:pict>
    </w:r>
    <w:r>
      <w:rPr/>
      <w:pict>
        <v:shape style="position:absolute;margin-left:33pt;margin-top:586.81958pt;width:22.05pt;height:12.05pt;mso-position-horizontal-relative:page;mso-position-vertical-relative:page;z-index:-19600384" type="#_x0000_t202" id="docshape828"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236</w:t>
                </w:r>
                <w:r>
                  <w:rPr>
                    <w:spacing w:val="-5"/>
                    <w:sz w:val="20"/>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98848" id="docshape831" filled="true" fillcolor="#000000" stroked="false">
          <v:fill type="solid"/>
          <w10:wrap type="none"/>
        </v:rect>
      </w:pict>
    </w:r>
    <w:r>
      <w:rPr/>
      <w:pict>
        <v:shape style="position:absolute;margin-left:377.995026pt;margin-top:586.81958pt;width:22.1pt;height:12.05pt;mso-position-horizontal-relative:page;mso-position-vertical-relative:page;z-index:-19598336" type="#_x0000_t202" id="docshape83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237</w:t>
                </w:r>
                <w:r>
                  <w:rPr>
                    <w:spacing w:val="-5"/>
                    <w:sz w:val="20"/>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97824" id="docshape833" filled="true" fillcolor="#000000" stroked="false">
          <v:fill type="solid"/>
          <w10:wrap type="none"/>
        </v:rect>
      </w:pict>
    </w:r>
    <w:r>
      <w:rPr/>
      <w:pict>
        <v:shape style="position:absolute;margin-left:33pt;margin-top:586.81958pt;width:22.05pt;height:12.05pt;mso-position-horizontal-relative:page;mso-position-vertical-relative:page;z-index:-19597312" type="#_x0000_t202" id="docshape834"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238</w:t>
                </w:r>
                <w:r>
                  <w:rPr>
                    <w:spacing w:val="-5"/>
                    <w:sz w:val="20"/>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7.995026pt;margin-top:586.81958pt;width:22.1pt;height:12.05pt;mso-position-horizontal-relative:page;mso-position-vertical-relative:page;z-index:-19595776" type="#_x0000_t202" id="docshape84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253</w:t>
                </w:r>
                <w:r>
                  <w:rPr>
                    <w:spacing w:val="-5"/>
                    <w:sz w:val="20"/>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586.81958pt;width:22.05pt;height:12.05pt;mso-position-horizontal-relative:page;mso-position-vertical-relative:page;z-index:-19595264" type="#_x0000_t202" id="docshape84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254</w:t>
                </w:r>
                <w:r>
                  <w:rPr>
                    <w:spacing w:val="-5"/>
                    <w:sz w:val="20"/>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93728" id="docshape844" filled="true" fillcolor="#000000" stroked="false">
          <v:fill type="solid"/>
          <w10:wrap type="none"/>
        </v:rect>
      </w:pict>
    </w:r>
    <w:r>
      <w:rPr/>
      <w:pict>
        <v:shape style="position:absolute;margin-left:377.995026pt;margin-top:586.81958pt;width:22.1pt;height:12.05pt;mso-position-horizontal-relative:page;mso-position-vertical-relative:page;z-index:-19593216" type="#_x0000_t202" id="docshape845"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255</w:t>
                </w:r>
                <w:r>
                  <w:rPr>
                    <w:spacing w:val="-5"/>
                    <w:sz w:val="20"/>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92704" id="docshape846" filled="true" fillcolor="#000000" stroked="false">
          <v:fill type="solid"/>
          <w10:wrap type="none"/>
        </v:rect>
      </w:pict>
    </w:r>
    <w:r>
      <w:rPr/>
      <w:pict>
        <v:shape style="position:absolute;margin-left:35pt;margin-top:586.81958pt;width:17.05pt;height:12.05pt;mso-position-horizontal-relative:page;mso-position-vertical-relative:page;z-index:-19592192" type="#_x0000_t202" id="docshape847" filled="false" stroked="false">
          <v:textbox inset="0,0,0,0">
            <w:txbxContent>
              <w:p>
                <w:pPr>
                  <w:spacing w:line="220" w:lineRule="exact" w:before="0"/>
                  <w:ind w:left="20" w:right="0" w:firstLine="0"/>
                  <w:jc w:val="left"/>
                  <w:rPr>
                    <w:sz w:val="20"/>
                  </w:rPr>
                </w:pPr>
                <w:r>
                  <w:rPr>
                    <w:spacing w:val="-5"/>
                    <w:sz w:val="20"/>
                  </w:rPr>
                  <w:t>256</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679744" id="docshape20" filled="true" fillcolor="#000000" stroked="false">
          <v:fill type="solid"/>
          <w10:wrap type="none"/>
        </v:rect>
      </w:pict>
    </w:r>
    <w:r>
      <w:rPr/>
      <w:pict>
        <v:shape style="position:absolute;margin-left:383.035034pt;margin-top:586.81958pt;width:17pt;height:12.05pt;mso-position-horizontal-relative:page;mso-position-vertical-relative:page;z-index:-19679232" type="#_x0000_t202" id="docshape2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29</w:t>
                </w:r>
                <w:r>
                  <w:rPr>
                    <w:spacing w:val="-5"/>
                    <w:sz w:val="20"/>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91680" id="docshape849" filled="true" fillcolor="#000000" stroked="false">
          <v:fill type="solid"/>
          <w10:wrap type="none"/>
        </v:rect>
      </w:pict>
    </w:r>
    <w:r>
      <w:rPr/>
      <w:pict>
        <v:shape style="position:absolute;margin-left:377.995026pt;margin-top:586.81958pt;width:22.1pt;height:12.05pt;mso-position-horizontal-relative:page;mso-position-vertical-relative:page;z-index:-19591168" type="#_x0000_t202" id="docshape85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259</w:t>
                </w:r>
                <w:r>
                  <w:rPr>
                    <w:spacing w:val="-5"/>
                    <w:sz w:val="20"/>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90656" id="docshape851" filled="true" fillcolor="#000000" stroked="false">
          <v:fill type="solid"/>
          <w10:wrap type="none"/>
        </v:rect>
      </w:pict>
    </w:r>
    <w:r>
      <w:rPr/>
      <w:pict>
        <v:shape style="position:absolute;margin-left:33pt;margin-top:586.81958pt;width:22.05pt;height:12.05pt;mso-position-horizontal-relative:page;mso-position-vertical-relative:page;z-index:-19590144" type="#_x0000_t202" id="docshape852"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260</w:t>
                </w:r>
                <w:r>
                  <w:rPr>
                    <w:spacing w:val="-5"/>
                    <w:sz w:val="20"/>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88608" id="docshape856" filled="true" fillcolor="#000000" stroked="false">
          <v:fill type="solid"/>
          <w10:wrap type="none"/>
        </v:rect>
      </w:pict>
    </w:r>
    <w:r>
      <w:rPr/>
      <w:pict>
        <v:shape style="position:absolute;margin-left:377.995026pt;margin-top:586.81958pt;width:22.1pt;height:12.05pt;mso-position-horizontal-relative:page;mso-position-vertical-relative:page;z-index:-19588096" type="#_x0000_t202" id="docshape857"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261</w:t>
                </w:r>
                <w:r>
                  <w:rPr>
                    <w:spacing w:val="-5"/>
                    <w:sz w:val="20"/>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87584" id="docshape858" filled="true" fillcolor="#000000" stroked="false">
          <v:fill type="solid"/>
          <w10:wrap type="none"/>
        </v:rect>
      </w:pict>
    </w:r>
    <w:r>
      <w:rPr/>
      <w:pict>
        <v:shape style="position:absolute;margin-left:33pt;margin-top:586.81958pt;width:22.05pt;height:12.05pt;mso-position-horizontal-relative:page;mso-position-vertical-relative:page;z-index:-19587072" type="#_x0000_t202" id="docshape859"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262</w:t>
                </w:r>
                <w:r>
                  <w:rPr>
                    <w:spacing w:val="-5"/>
                    <w:sz w:val="20"/>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77.995026pt;margin-top:586.81958pt;width:22.1pt;height:12.05pt;mso-position-horizontal-relative:page;mso-position-vertical-relative:page;z-index:-19585536" type="#_x0000_t202" id="docshape924"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273</w:t>
                </w:r>
                <w:r>
                  <w:rPr>
                    <w:spacing w:val="-5"/>
                    <w:sz w:val="20"/>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586.81958pt;width:22.05pt;height:12.05pt;mso-position-horizontal-relative:page;mso-position-vertical-relative:page;z-index:-19585024" type="#_x0000_t202" id="docshape925"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272</w:t>
                </w:r>
                <w:r>
                  <w:rPr>
                    <w:spacing w:val="-5"/>
                    <w:sz w:val="20"/>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rect style="position:absolute;margin-left:34.5pt;margin-top:585pt;width:345pt;height:.48001pt;mso-position-horizontal-relative:page;mso-position-vertical-relative:page;z-index:-19583488" id="docshape929" filled="true" fillcolor="#000000" stroked="false">
          <v:fill type="solid"/>
          <w10:wrap type="none"/>
        </v:rect>
      </w:pict>
    </w:r>
    <w:r>
      <w:rPr/>
      <w:pict>
        <v:shape style="position:absolute;margin-left:33pt;margin-top:586.81958pt;width:22.05pt;height:12.05pt;mso-position-horizontal-relative:page;mso-position-vertical-relative:page;z-index:-19582976" type="#_x0000_t202" id="docshape930"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276</w:t>
                </w:r>
                <w:r>
                  <w:rPr>
                    <w:spacing w:val="-5"/>
                    <w:sz w:val="20"/>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7.995026pt;margin-top:586.81958pt;width:22.1pt;height:12.05pt;mso-position-horizontal-relative:page;mso-position-vertical-relative:page;z-index:-19582464" type="#_x0000_t202" id="docshape93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275</w:t>
                </w:r>
                <w:r>
                  <w:rPr>
                    <w:spacing w:val="-5"/>
                    <w:sz w:val="20"/>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80928" id="docshape965" filled="true" fillcolor="#000000" stroked="false">
          <v:fill type="solid"/>
          <w10:wrap type="none"/>
        </v:rect>
      </w:pict>
    </w:r>
    <w:r>
      <w:rPr/>
      <w:pict>
        <v:shape style="position:absolute;margin-left:377.995026pt;margin-top:586.81958pt;width:22.1pt;height:12.05pt;mso-position-horizontal-relative:page;mso-position-vertical-relative:page;z-index:-19580416" type="#_x0000_t202" id="docshape966"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277</w:t>
                </w:r>
                <w:r>
                  <w:rPr>
                    <w:spacing w:val="-5"/>
                    <w:sz w:val="20"/>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678720" id="docshape22" filled="true" fillcolor="#000000" stroked="false">
          <v:fill type="solid"/>
          <w10:wrap type="none"/>
        </v:rect>
      </w:pict>
    </w:r>
    <w:r>
      <w:rPr/>
      <w:pict>
        <v:shape style="position:absolute;margin-left:33pt;margin-top:586.81958pt;width:17.1pt;height:12.05pt;mso-position-horizontal-relative:page;mso-position-vertical-relative:page;z-index:-19678208" type="#_x0000_t202" id="docshape2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30</w:t>
                </w:r>
                <w:r>
                  <w:rPr>
                    <w:spacing w:val="-5"/>
                    <w:sz w:val="20"/>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586.81958pt;width:22.05pt;height:12.05pt;mso-position-horizontal-relative:page;mso-position-vertical-relative:page;z-index:-19579904" type="#_x0000_t202" id="docshape967"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278</w:t>
                </w:r>
                <w:r>
                  <w:rPr>
                    <w:spacing w:val="-5"/>
                    <w:sz w:val="20"/>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78880" id="docshape970" filled="true" fillcolor="#000000" stroked="false">
          <v:fill type="solid"/>
          <w10:wrap type="none"/>
        </v:rect>
      </w:pict>
    </w:r>
    <w:r>
      <w:rPr/>
      <w:pict>
        <v:shape style="position:absolute;margin-left:33pt;margin-top:586.81958pt;width:22.05pt;height:12.05pt;mso-position-horizontal-relative:page;mso-position-vertical-relative:page;z-index:-19578368" type="#_x0000_t202" id="docshape97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280</w:t>
                </w:r>
                <w:r>
                  <w:rPr>
                    <w:spacing w:val="-5"/>
                    <w:sz w:val="20"/>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77856" id="docshape972" filled="true" fillcolor="#000000" stroked="false">
          <v:fill type="solid"/>
          <w10:wrap type="none"/>
        </v:rect>
      </w:pict>
    </w:r>
    <w:r>
      <w:rPr/>
      <w:pict>
        <v:shape style="position:absolute;margin-left:377.995026pt;margin-top:586.81958pt;width:22.1pt;height:12.05pt;mso-position-horizontal-relative:page;mso-position-vertical-relative:page;z-index:-19577344" type="#_x0000_t202" id="docshape97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281</w:t>
                </w:r>
                <w:r>
                  <w:rPr>
                    <w:spacing w:val="-5"/>
                    <w:sz w:val="20"/>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75808" id="docshape976" filled="true" fillcolor="#000000" stroked="false">
          <v:fill type="solid"/>
          <w10:wrap type="none"/>
        </v:rect>
      </w:pict>
    </w:r>
    <w:r>
      <w:rPr/>
      <w:pict>
        <v:shape style="position:absolute;margin-left:33pt;margin-top:586.81958pt;width:22.05pt;height:12.05pt;mso-position-horizontal-relative:page;mso-position-vertical-relative:page;z-index:-19575296" type="#_x0000_t202" id="docshape977"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282</w:t>
                </w:r>
                <w:r>
                  <w:rPr>
                    <w:spacing w:val="-5"/>
                    <w:sz w:val="20"/>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74784" id="docshape978" filled="true" fillcolor="#000000" stroked="false">
          <v:fill type="solid"/>
          <w10:wrap type="none"/>
        </v:rect>
      </w:pict>
    </w:r>
    <w:r>
      <w:rPr/>
      <w:pict>
        <v:shape style="position:absolute;margin-left:377.995026pt;margin-top:586.81958pt;width:22.1pt;height:12.05pt;mso-position-horizontal-relative:page;mso-position-vertical-relative:page;z-index:-19574272" type="#_x0000_t202" id="docshape979"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283</w:t>
                </w:r>
                <w:r>
                  <w:rPr>
                    <w:spacing w:val="-5"/>
                    <w:sz w:val="20"/>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73760" id="docshape982" filled="true" fillcolor="#000000" stroked="false">
          <v:fill type="solid"/>
          <w10:wrap type="none"/>
        </v:rect>
      </w:pict>
    </w:r>
    <w:r>
      <w:rPr/>
      <w:pict>
        <v:shape style="position:absolute;margin-left:377.995026pt;margin-top:586.81958pt;width:22.1pt;height:12.05pt;mso-position-horizontal-relative:page;mso-position-vertical-relative:page;z-index:-19573248" type="#_x0000_t202" id="docshape983"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289</w:t>
                </w:r>
                <w:r>
                  <w:rPr>
                    <w:spacing w:val="-5"/>
                    <w:sz w:val="20"/>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72736" id="docshape984" filled="true" fillcolor="#000000" stroked="false">
          <v:fill type="solid"/>
          <w10:wrap type="none"/>
        </v:rect>
      </w:pict>
    </w:r>
    <w:r>
      <w:rPr/>
      <w:pict>
        <v:shape style="position:absolute;margin-left:33pt;margin-top:586.81958pt;width:22.05pt;height:12.05pt;mso-position-horizontal-relative:page;mso-position-vertical-relative:page;z-index:-19572224" type="#_x0000_t202" id="docshape985"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290</w:t>
                </w:r>
                <w:r>
                  <w:rPr>
                    <w:spacing w:val="-5"/>
                    <w:sz w:val="20"/>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585pt;width:345pt;height:.48001pt;mso-position-horizontal-relative:page;mso-position-vertical-relative:page;z-index:-19570688" id="docshape988" filled="true" fillcolor="#000000" stroked="false">
          <v:fill type="solid"/>
          <w10:wrap type="none"/>
        </v:rect>
      </w:pict>
    </w:r>
    <w:r>
      <w:rPr/>
      <w:pict>
        <v:shape style="position:absolute;margin-left:377.995026pt;margin-top:586.81958pt;width:22.1pt;height:12.05pt;mso-position-horizontal-relative:page;mso-position-vertical-relative:page;z-index:-19570176" type="#_x0000_t202" id="docshape989"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291</w:t>
                </w:r>
                <w:r>
                  <w:rPr>
                    <w:spacing w:val="-5"/>
                    <w:sz w:val="20"/>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pt;margin-top:585pt;width:345pt;height:.48001pt;mso-position-horizontal-relative:page;mso-position-vertical-relative:page;z-index:-19569664" id="docshape990" filled="true" fillcolor="#000000" stroked="false">
          <v:fill type="solid"/>
          <w10:wrap type="none"/>
        </v:rect>
      </w:pict>
    </w:r>
    <w:r>
      <w:rPr/>
      <w:pict>
        <v:shape style="position:absolute;margin-left:33pt;margin-top:586.81958pt;width:22.05pt;height:12.05pt;mso-position-horizontal-relative:page;mso-position-vertical-relative:page;z-index:-19569152" type="#_x0000_t202" id="docshape991" filled="false" stroked="false">
          <v:textbox inset="0,0,0,0">
            <w:txbxContent>
              <w:p>
                <w:pPr>
                  <w:spacing w:line="220"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292</w:t>
                </w:r>
                <w:r>
                  <w:rPr>
                    <w:spacing w:val="-5"/>
                    <w:sz w:val="20"/>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5.100006pt;margin-top:28.971622pt;width:123.75pt;height:11pt;mso-position-horizontal-relative:page;mso-position-vertical-relative:page;z-index:-19682816" type="#_x0000_t202" id="docshape9" filled="false" stroked="false">
          <v:textbox inset="0,0,0,0">
            <w:txbxContent>
              <w:p>
                <w:pPr>
                  <w:spacing w:line="200" w:lineRule="exact" w:before="0"/>
                  <w:ind w:left="20" w:right="0" w:firstLine="0"/>
                  <w:jc w:val="left"/>
                  <w:rPr>
                    <w:rFonts w:ascii="Garamond"/>
                    <w:i/>
                    <w:sz w:val="18"/>
                  </w:rPr>
                </w:pPr>
                <w:r>
                  <w:rPr>
                    <w:rFonts w:ascii="Garamond"/>
                    <w:i/>
                    <w:spacing w:val="-2"/>
                    <w:sz w:val="18"/>
                  </w:rPr>
                  <w:t>UNDERSTANDING MARKETS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3.820007pt;margin-top:28.971622pt;width:146.4pt;height:11pt;mso-position-horizontal-relative:page;mso-position-vertical-relative:page;z-index:-19669504" type="#_x0000_t202" id="docshape244"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7"/>
                    <w:sz w:val="18"/>
                  </w:rPr>
                  <w:t> </w:t>
                </w:r>
                <w:r>
                  <w:rPr>
                    <w:rFonts w:ascii="Garamond"/>
                    <w:i/>
                    <w:sz w:val="18"/>
                  </w:rPr>
                  <w:t>THE</w:t>
                </w:r>
                <w:r>
                  <w:rPr>
                    <w:rFonts w:ascii="Garamond"/>
                    <w:i/>
                    <w:spacing w:val="-7"/>
                    <w:sz w:val="18"/>
                  </w:rPr>
                  <w:t> </w:t>
                </w:r>
                <w:r>
                  <w:rPr>
                    <w:rFonts w:ascii="Garamond"/>
                    <w:i/>
                    <w:sz w:val="18"/>
                  </w:rPr>
                  <w:t>MONEY</w:t>
                </w:r>
                <w:r>
                  <w:rPr>
                    <w:rFonts w:ascii="Garamond"/>
                    <w:i/>
                    <w:spacing w:val="-6"/>
                    <w:sz w:val="18"/>
                  </w:rPr>
                  <w:t> </w:t>
                </w:r>
                <w:r>
                  <w:rPr>
                    <w:rFonts w:ascii="Garamond"/>
                    <w:i/>
                    <w:spacing w:val="-4"/>
                    <w:sz w:val="18"/>
                  </w:rPr>
                  <w:t>ZONE</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68992" type="#_x0000_t202" id="docshape245"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3.820007pt;margin-top:28.971622pt;width:146.4pt;height:11pt;mso-position-horizontal-relative:page;mso-position-vertical-relative:page;z-index:-19666944" type="#_x0000_t202" id="docshape250"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7"/>
                    <w:sz w:val="18"/>
                  </w:rPr>
                  <w:t> </w:t>
                </w:r>
                <w:r>
                  <w:rPr>
                    <w:rFonts w:ascii="Garamond"/>
                    <w:i/>
                    <w:sz w:val="18"/>
                  </w:rPr>
                  <w:t>THE</w:t>
                </w:r>
                <w:r>
                  <w:rPr>
                    <w:rFonts w:ascii="Garamond"/>
                    <w:i/>
                    <w:spacing w:val="-7"/>
                    <w:sz w:val="18"/>
                  </w:rPr>
                  <w:t> </w:t>
                </w:r>
                <w:r>
                  <w:rPr>
                    <w:rFonts w:ascii="Garamond"/>
                    <w:i/>
                    <w:sz w:val="18"/>
                  </w:rPr>
                  <w:t>MONEY</w:t>
                </w:r>
                <w:r>
                  <w:rPr>
                    <w:rFonts w:ascii="Garamond"/>
                    <w:i/>
                    <w:spacing w:val="-6"/>
                    <w:sz w:val="18"/>
                  </w:rPr>
                  <w:t> </w:t>
                </w:r>
                <w:r>
                  <w:rPr>
                    <w:rFonts w:ascii="Garamond"/>
                    <w:i/>
                    <w:spacing w:val="-4"/>
                    <w:sz w:val="18"/>
                  </w:rPr>
                  <w:t>ZONE</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66432" type="#_x0000_t202" id="docshape251"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64384" type="#_x0000_t202" id="docshape257"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3.820007pt;margin-top:28.971622pt;width:146.4pt;height:11pt;mso-position-horizontal-relative:page;mso-position-vertical-relative:page;z-index:-19663872" type="#_x0000_t202" id="docshape258"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7"/>
                    <w:sz w:val="18"/>
                  </w:rPr>
                  <w:t> </w:t>
                </w:r>
                <w:r>
                  <w:rPr>
                    <w:rFonts w:ascii="Garamond"/>
                    <w:i/>
                    <w:sz w:val="18"/>
                  </w:rPr>
                  <w:t>THE</w:t>
                </w:r>
                <w:r>
                  <w:rPr>
                    <w:rFonts w:ascii="Garamond"/>
                    <w:i/>
                    <w:spacing w:val="-7"/>
                    <w:sz w:val="18"/>
                  </w:rPr>
                  <w:t> </w:t>
                </w:r>
                <w:r>
                  <w:rPr>
                    <w:rFonts w:ascii="Garamond"/>
                    <w:i/>
                    <w:sz w:val="18"/>
                  </w:rPr>
                  <w:t>MONEY</w:t>
                </w:r>
                <w:r>
                  <w:rPr>
                    <w:rFonts w:ascii="Garamond"/>
                    <w:i/>
                    <w:spacing w:val="-6"/>
                    <w:sz w:val="18"/>
                  </w:rPr>
                  <w:t> </w:t>
                </w:r>
                <w:r>
                  <w:rPr>
                    <w:rFonts w:ascii="Garamond"/>
                    <w:i/>
                    <w:spacing w:val="-4"/>
                    <w:sz w:val="18"/>
                  </w:rPr>
                  <w:t>ZONE</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60288" type="#_x0000_t202" id="docshape267"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59776" type="#_x0000_t202" id="docshape268"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4pt;height:11pt;mso-position-horizontal-relative:page;mso-position-vertical-relative:page;z-index:-19682304" type="#_x0000_t202" id="docshape10"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58240" type="#_x0000_t202" id="docshape284"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57728" type="#_x0000_t202" id="docshape285"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55680" type="#_x0000_t202" id="docshape303"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55168" type="#_x0000_t202" id="docshape304"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53120" type="#_x0000_t202" id="docshape308"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52608" type="#_x0000_t202" id="docshape309"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50048" type="#_x0000_t202" id="docshape329"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49536" type="#_x0000_t202" id="docshape330"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47488" type="#_x0000_t202" id="docshape334"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46976" type="#_x0000_t202" id="docshape335"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44416" type="#_x0000_t202" id="docshape384"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43904" type="#_x0000_t202" id="docshape385"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41856" type="#_x0000_t202" id="docshape389"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41344" type="#_x0000_t202" id="docshape390"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39296" type="#_x0000_t202" id="docshape395"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38784" type="#_x0000_t202" id="docshape396"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36224" type="#_x0000_t202" id="docshape404"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35712" type="#_x0000_t202" id="docshape405"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5pt;margin-top:28.971622pt;width:164pt;height:11pt;mso-position-horizontal-relative:page;mso-position-vertical-relative:page;z-index:-19633664" type="#_x0000_t202" id="docshape409" filled="false" stroked="false">
          <v:textbox inset="0,0,0,0">
            <w:txbxContent>
              <w:p>
                <w:pPr>
                  <w:spacing w:line="200" w:lineRule="exact" w:before="0"/>
                  <w:ind w:left="20" w:right="0" w:firstLine="0"/>
                  <w:jc w:val="left"/>
                  <w:rPr>
                    <w:rFonts w:ascii="Garamond"/>
                    <w:i/>
                    <w:sz w:val="18"/>
                  </w:rPr>
                </w:pPr>
                <w:r>
                  <w:rPr>
                    <w:rFonts w:ascii="Garamond"/>
                    <w:i/>
                    <w:sz w:val="18"/>
                  </w:rPr>
                  <w:t>ADVANCED</w:t>
                </w:r>
                <w:r>
                  <w:rPr>
                    <w:rFonts w:ascii="Garamond"/>
                    <w:i/>
                    <w:spacing w:val="-9"/>
                    <w:sz w:val="18"/>
                  </w:rPr>
                  <w:t> </w:t>
                </w:r>
                <w:r>
                  <w:rPr>
                    <w:rFonts w:ascii="Garamond"/>
                    <w:i/>
                    <w:sz w:val="18"/>
                  </w:rPr>
                  <w:t>MONEY</w:t>
                </w:r>
                <w:r>
                  <w:rPr>
                    <w:rFonts w:ascii="Garamond"/>
                    <w:i/>
                    <w:spacing w:val="-9"/>
                    <w:sz w:val="18"/>
                  </w:rPr>
                  <w:t> </w:t>
                </w:r>
                <w:r>
                  <w:rPr>
                    <w:rFonts w:ascii="Garamond"/>
                    <w:i/>
                    <w:sz w:val="18"/>
                  </w:rPr>
                  <w:t>ZONE</w:t>
                </w:r>
                <w:r>
                  <w:rPr>
                    <w:rFonts w:ascii="Garamond"/>
                    <w:i/>
                    <w:spacing w:val="-10"/>
                    <w:sz w:val="18"/>
                  </w:rPr>
                  <w:t> </w:t>
                </w:r>
                <w:r>
                  <w:rPr>
                    <w:rFonts w:ascii="Garamond"/>
                    <w:i/>
                    <w:spacing w:val="-2"/>
                    <w:sz w:val="18"/>
                  </w:rPr>
                  <w:t>CONCEPTS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380005pt;margin-top:28.971622pt;width:101.3pt;height:11pt;mso-position-horizontal-relative:page;mso-position-vertical-relative:page;z-index:-19677696" type="#_x0000_t202" id="docshape24" filled="false" stroked="false">
          <v:textbox inset="0,0,0,0">
            <w:txbxContent>
              <w:p>
                <w:pPr>
                  <w:spacing w:line="200" w:lineRule="exact" w:before="0"/>
                  <w:ind w:left="20" w:right="0" w:firstLine="0"/>
                  <w:jc w:val="left"/>
                  <w:rPr>
                    <w:rFonts w:ascii="Garamond"/>
                    <w:i/>
                    <w:sz w:val="18"/>
                  </w:rPr>
                </w:pPr>
                <w:r>
                  <w:rPr>
                    <w:rFonts w:ascii="Garamond"/>
                    <w:i/>
                    <w:sz w:val="18"/>
                  </w:rPr>
                  <w:t>ENGAGING</w:t>
                </w:r>
                <w:r>
                  <w:rPr>
                    <w:rFonts w:ascii="Garamond"/>
                    <w:i/>
                    <w:spacing w:val="-5"/>
                    <w:sz w:val="18"/>
                  </w:rPr>
                  <w:t> </w:t>
                </w:r>
                <w:r>
                  <w:rPr>
                    <w:rFonts w:ascii="Garamond"/>
                    <w:i/>
                    <w:sz w:val="18"/>
                  </w:rPr>
                  <w:t>THE</w:t>
                </w:r>
                <w:r>
                  <w:rPr>
                    <w:rFonts w:ascii="Garamond"/>
                    <w:i/>
                    <w:spacing w:val="-4"/>
                    <w:sz w:val="18"/>
                  </w:rPr>
                  <w:t> SETUP</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3.059998pt;margin-top:28.971622pt;width:127.85pt;height:11pt;mso-position-horizontal-relative:page;mso-position-vertical-relative:page;z-index:-19631104" type="#_x0000_t202" id="docshape415"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9"/>
                    <w:sz w:val="18"/>
                  </w:rPr>
                  <w:t> </w:t>
                </w:r>
                <w:r>
                  <w:rPr>
                    <w:rFonts w:ascii="Garamond"/>
                    <w:i/>
                    <w:sz w:val="18"/>
                  </w:rPr>
                  <w:t>FLOOR</w:t>
                </w:r>
                <w:r>
                  <w:rPr>
                    <w:rFonts w:ascii="Garamond"/>
                    <w:i/>
                    <w:spacing w:val="-9"/>
                    <w:sz w:val="18"/>
                  </w:rPr>
                  <w:t> </w:t>
                </w:r>
                <w:r>
                  <w:rPr>
                    <w:rFonts w:ascii="Garamond"/>
                    <w:i/>
                    <w:spacing w:val="-2"/>
                    <w:sz w:val="18"/>
                  </w:rPr>
                  <w:t>PIVOTS</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30592" type="#_x0000_t202" id="docshape416"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28032" type="#_x0000_t202" id="docshape470"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3.059998pt;margin-top:28.971622pt;width:127.85pt;height:11pt;mso-position-horizontal-relative:page;mso-position-vertical-relative:page;z-index:-19627520" type="#_x0000_t202" id="docshape471"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9"/>
                    <w:sz w:val="18"/>
                  </w:rPr>
                  <w:t> </w:t>
                </w:r>
                <w:r>
                  <w:rPr>
                    <w:rFonts w:ascii="Garamond"/>
                    <w:i/>
                    <w:sz w:val="18"/>
                  </w:rPr>
                  <w:t>FLOOR</w:t>
                </w:r>
                <w:r>
                  <w:rPr>
                    <w:rFonts w:ascii="Garamond"/>
                    <w:i/>
                    <w:spacing w:val="-9"/>
                    <w:sz w:val="18"/>
                  </w:rPr>
                  <w:t> </w:t>
                </w:r>
                <w:r>
                  <w:rPr>
                    <w:rFonts w:ascii="Garamond"/>
                    <w:i/>
                    <w:spacing w:val="-2"/>
                    <w:sz w:val="18"/>
                  </w:rPr>
                  <w:t>PIVOTS</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25472" type="#_x0000_t202" id="docshape475"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3.059998pt;margin-top:28.971622pt;width:127.85pt;height:11pt;mso-position-horizontal-relative:page;mso-position-vertical-relative:page;z-index:-19624960" type="#_x0000_t202" id="docshape476"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9"/>
                    <w:sz w:val="18"/>
                  </w:rPr>
                  <w:t> </w:t>
                </w:r>
                <w:r>
                  <w:rPr>
                    <w:rFonts w:ascii="Garamond"/>
                    <w:i/>
                    <w:sz w:val="18"/>
                  </w:rPr>
                  <w:t>FLOOR</w:t>
                </w:r>
                <w:r>
                  <w:rPr>
                    <w:rFonts w:ascii="Garamond"/>
                    <w:i/>
                    <w:spacing w:val="-9"/>
                    <w:sz w:val="18"/>
                  </w:rPr>
                  <w:t> </w:t>
                </w:r>
                <w:r>
                  <w:rPr>
                    <w:rFonts w:ascii="Garamond"/>
                    <w:i/>
                    <w:spacing w:val="-2"/>
                    <w:sz w:val="18"/>
                  </w:rPr>
                  <w:t>PIVOTS</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3.119995pt;margin-top:28.971622pt;width:127.65pt;height:11pt;mso-position-horizontal-relative:page;mso-position-vertical-relative:page;z-index:-19620352" type="#_x0000_t202" id="docshape487" filled="false" stroked="false">
          <v:textbox inset="0,0,0,0">
            <w:txbxContent>
              <w:p>
                <w:pPr>
                  <w:spacing w:line="200" w:lineRule="exact" w:before="0"/>
                  <w:ind w:left="20" w:right="0" w:firstLine="0"/>
                  <w:jc w:val="left"/>
                  <w:rPr>
                    <w:rFonts w:ascii="Garamond"/>
                    <w:i/>
                    <w:sz w:val="18"/>
                  </w:rPr>
                </w:pPr>
                <w:r>
                  <w:rPr>
                    <w:rFonts w:ascii="Garamond"/>
                    <w:i/>
                    <w:sz w:val="18"/>
                  </w:rPr>
                  <w:t>THE</w:t>
                </w:r>
                <w:r>
                  <w:rPr>
                    <w:rFonts w:ascii="Garamond"/>
                    <w:i/>
                    <w:spacing w:val="-6"/>
                    <w:sz w:val="18"/>
                  </w:rPr>
                  <w:t> </w:t>
                </w:r>
                <w:r>
                  <w:rPr>
                    <w:rFonts w:ascii="Garamond"/>
                    <w:i/>
                    <w:sz w:val="18"/>
                  </w:rPr>
                  <w:t>CENTRAL</w:t>
                </w:r>
                <w:r>
                  <w:rPr>
                    <w:rFonts w:ascii="Garamond"/>
                    <w:i/>
                    <w:spacing w:val="-6"/>
                    <w:sz w:val="18"/>
                  </w:rPr>
                  <w:t> </w:t>
                </w:r>
                <w:r>
                  <w:rPr>
                    <w:rFonts w:ascii="Garamond"/>
                    <w:i/>
                    <w:sz w:val="18"/>
                  </w:rPr>
                  <w:t>PIVOT</w:t>
                </w:r>
                <w:r>
                  <w:rPr>
                    <w:rFonts w:ascii="Garamond"/>
                    <w:i/>
                    <w:spacing w:val="-5"/>
                    <w:sz w:val="18"/>
                  </w:rPr>
                  <w:t> </w:t>
                </w:r>
                <w:r>
                  <w:rPr>
                    <w:rFonts w:ascii="Garamond"/>
                    <w:i/>
                    <w:spacing w:val="-2"/>
                    <w:sz w:val="18"/>
                  </w:rPr>
                  <w:t>RANGE</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19840" type="#_x0000_t202" id="docshape488"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77184" type="#_x0000_t202" id="docshape25"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220001pt;margin-top:28.971622pt;width:189.55pt;height:11pt;mso-position-horizontal-relative:page;mso-position-vertical-relative:page;z-index:-19615232" type="#_x0000_t202" id="docshape576"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11"/>
                    <w:sz w:val="18"/>
                  </w:rPr>
                  <w:t> </w:t>
                </w:r>
                <w:r>
                  <w:rPr>
                    <w:rFonts w:ascii="Garamond"/>
                    <w:i/>
                    <w:sz w:val="18"/>
                  </w:rPr>
                  <w:t>THE</w:t>
                </w:r>
                <w:r>
                  <w:rPr>
                    <w:rFonts w:ascii="Garamond"/>
                    <w:i/>
                    <w:spacing w:val="-11"/>
                    <w:sz w:val="18"/>
                  </w:rPr>
                  <w:t> </w:t>
                </w:r>
                <w:r>
                  <w:rPr>
                    <w:rFonts w:ascii="Garamond"/>
                    <w:i/>
                    <w:sz w:val="18"/>
                  </w:rPr>
                  <w:t>CAMARILLA</w:t>
                </w:r>
                <w:r>
                  <w:rPr>
                    <w:rFonts w:ascii="Garamond"/>
                    <w:i/>
                    <w:spacing w:val="-11"/>
                    <w:sz w:val="18"/>
                  </w:rPr>
                  <w:t> </w:t>
                </w:r>
                <w:r>
                  <w:rPr>
                    <w:rFonts w:ascii="Garamond"/>
                    <w:i/>
                    <w:spacing w:val="-2"/>
                    <w:sz w:val="18"/>
                  </w:rPr>
                  <w:t>EQUATION</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14720" type="#_x0000_t202" id="docshape577"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12160" type="#_x0000_t202" id="docshape642"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220001pt;margin-top:28.971622pt;width:189.55pt;height:11pt;mso-position-horizontal-relative:page;mso-position-vertical-relative:page;z-index:-19611648" type="#_x0000_t202" id="docshape643"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11"/>
                    <w:sz w:val="18"/>
                  </w:rPr>
                  <w:t> </w:t>
                </w:r>
                <w:r>
                  <w:rPr>
                    <w:rFonts w:ascii="Garamond"/>
                    <w:i/>
                    <w:sz w:val="18"/>
                  </w:rPr>
                  <w:t>THE</w:t>
                </w:r>
                <w:r>
                  <w:rPr>
                    <w:rFonts w:ascii="Garamond"/>
                    <w:i/>
                    <w:spacing w:val="-11"/>
                    <w:sz w:val="18"/>
                  </w:rPr>
                  <w:t> </w:t>
                </w:r>
                <w:r>
                  <w:rPr>
                    <w:rFonts w:ascii="Garamond"/>
                    <w:i/>
                    <w:sz w:val="18"/>
                  </w:rPr>
                  <w:t>CAMARILLA</w:t>
                </w:r>
                <w:r>
                  <w:rPr>
                    <w:rFonts w:ascii="Garamond"/>
                    <w:i/>
                    <w:spacing w:val="-11"/>
                    <w:sz w:val="18"/>
                  </w:rPr>
                  <w:t> </w:t>
                </w:r>
                <w:r>
                  <w:rPr>
                    <w:rFonts w:ascii="Garamond"/>
                    <w:i/>
                    <w:spacing w:val="-2"/>
                    <w:sz w:val="18"/>
                  </w:rPr>
                  <w:t>EQUATION</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09600" type="#_x0000_t202" id="docshape663"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220001pt;margin-top:28.971622pt;width:189.55pt;height:11pt;mso-position-horizontal-relative:page;mso-position-vertical-relative:page;z-index:-19609088" type="#_x0000_t202" id="docshape664"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11"/>
                    <w:sz w:val="18"/>
                  </w:rPr>
                  <w:t> </w:t>
                </w:r>
                <w:r>
                  <w:rPr>
                    <w:rFonts w:ascii="Garamond"/>
                    <w:i/>
                    <w:sz w:val="18"/>
                  </w:rPr>
                  <w:t>THE</w:t>
                </w:r>
                <w:r>
                  <w:rPr>
                    <w:rFonts w:ascii="Garamond"/>
                    <w:i/>
                    <w:spacing w:val="-11"/>
                    <w:sz w:val="18"/>
                  </w:rPr>
                  <w:t> </w:t>
                </w:r>
                <w:r>
                  <w:rPr>
                    <w:rFonts w:ascii="Garamond"/>
                    <w:i/>
                    <w:sz w:val="18"/>
                  </w:rPr>
                  <w:t>CAMARILLA</w:t>
                </w:r>
                <w:r>
                  <w:rPr>
                    <w:rFonts w:ascii="Garamond"/>
                    <w:i/>
                    <w:spacing w:val="-11"/>
                    <w:sz w:val="18"/>
                  </w:rPr>
                  <w:t> </w:t>
                </w:r>
                <w:r>
                  <w:rPr>
                    <w:rFonts w:ascii="Garamond"/>
                    <w:i/>
                    <w:spacing w:val="-2"/>
                    <w:sz w:val="18"/>
                  </w:rPr>
                  <w:t>EQUATION</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pt;margin-top:28.971622pt;width:157.85pt;height:11pt;mso-position-horizontal-relative:page;mso-position-vertical-relative:page;z-index:-19604480" type="#_x0000_t202" id="docshape696" filled="false" stroked="false">
          <v:textbox inset="0,0,0,0">
            <w:txbxContent>
              <w:p>
                <w:pPr>
                  <w:spacing w:line="200" w:lineRule="exact" w:before="0"/>
                  <w:ind w:left="20" w:right="0" w:firstLine="0"/>
                  <w:jc w:val="left"/>
                  <w:rPr>
                    <w:rFonts w:ascii="Garamond"/>
                    <w:i/>
                    <w:sz w:val="18"/>
                  </w:rPr>
                </w:pPr>
                <w:r>
                  <w:rPr>
                    <w:rFonts w:ascii="Garamond"/>
                    <w:i/>
                    <w:spacing w:val="-2"/>
                    <w:sz w:val="18"/>
                  </w:rPr>
                  <w:t>ADVANCED CAMARILLA</w:t>
                </w:r>
                <w:r>
                  <w:rPr>
                    <w:rFonts w:ascii="Garamond"/>
                    <w:i/>
                    <w:spacing w:val="-1"/>
                    <w:sz w:val="18"/>
                  </w:rPr>
                  <w:t> </w:t>
                </w:r>
                <w:r>
                  <w:rPr>
                    <w:rFonts w:ascii="Garamond"/>
                    <w:i/>
                    <w:spacing w:val="-2"/>
                    <w:sz w:val="18"/>
                  </w:rPr>
                  <w:t>CONCEPTS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03968" type="#_x0000_t202" id="docshape697"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440002pt;margin-top:28.971622pt;width:167pt;height:11pt;mso-position-horizontal-relative:page;mso-position-vertical-relative:page;z-index:-19599872" type="#_x0000_t202" id="docshape829" filled="false" stroked="false">
          <v:textbox inset="0,0,0,0">
            <w:txbxContent>
              <w:p>
                <w:pPr>
                  <w:spacing w:line="200" w:lineRule="exact" w:before="0"/>
                  <w:ind w:left="20" w:right="0" w:firstLine="0"/>
                  <w:jc w:val="left"/>
                  <w:rPr>
                    <w:rFonts w:ascii="Garamond"/>
                    <w:i/>
                    <w:sz w:val="18"/>
                  </w:rPr>
                </w:pPr>
                <w:r>
                  <w:rPr>
                    <w:rFonts w:ascii="Garamond"/>
                    <w:i/>
                    <w:sz w:val="18"/>
                  </w:rPr>
                  <w:t>HIGHER</w:t>
                </w:r>
                <w:r>
                  <w:rPr>
                    <w:rFonts w:ascii="Garamond"/>
                    <w:i/>
                    <w:spacing w:val="-7"/>
                    <w:sz w:val="18"/>
                  </w:rPr>
                  <w:t> </w:t>
                </w:r>
                <w:r>
                  <w:rPr>
                    <w:rFonts w:ascii="Garamond"/>
                    <w:i/>
                    <w:sz w:val="18"/>
                  </w:rPr>
                  <w:t>TIMEFRAME</w:t>
                </w:r>
                <w:r>
                  <w:rPr>
                    <w:rFonts w:ascii="Garamond"/>
                    <w:i/>
                    <w:spacing w:val="-7"/>
                    <w:sz w:val="18"/>
                  </w:rPr>
                  <w:t> </w:t>
                </w:r>
                <w:r>
                  <w:rPr>
                    <w:rFonts w:ascii="Garamond"/>
                    <w:i/>
                    <w:sz w:val="18"/>
                  </w:rPr>
                  <w:t>PIVOT</w:t>
                </w:r>
                <w:r>
                  <w:rPr>
                    <w:rFonts w:ascii="Garamond"/>
                    <w:i/>
                    <w:spacing w:val="-7"/>
                    <w:sz w:val="18"/>
                  </w:rPr>
                  <w:t> </w:t>
                </w:r>
                <w:r>
                  <w:rPr>
                    <w:rFonts w:ascii="Garamond"/>
                    <w:i/>
                    <w:spacing w:val="-2"/>
                    <w:sz w:val="18"/>
                  </w:rPr>
                  <w:t>ANALYSIS</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99360" type="#_x0000_t202" id="docshape830"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96800" type="#_x0000_t202" id="docshape838"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440002pt;margin-top:28.971622pt;width:167pt;height:11pt;mso-position-horizontal-relative:page;mso-position-vertical-relative:page;z-index:-19596288" type="#_x0000_t202" id="docshape839" filled="false" stroked="false">
          <v:textbox inset="0,0,0,0">
            <w:txbxContent>
              <w:p>
                <w:pPr>
                  <w:spacing w:line="200" w:lineRule="exact" w:before="0"/>
                  <w:ind w:left="20" w:right="0" w:firstLine="0"/>
                  <w:jc w:val="left"/>
                  <w:rPr>
                    <w:rFonts w:ascii="Garamond"/>
                    <w:i/>
                    <w:sz w:val="18"/>
                  </w:rPr>
                </w:pPr>
                <w:r>
                  <w:rPr>
                    <w:rFonts w:ascii="Garamond"/>
                    <w:i/>
                    <w:sz w:val="18"/>
                  </w:rPr>
                  <w:t>HIGHER</w:t>
                </w:r>
                <w:r>
                  <w:rPr>
                    <w:rFonts w:ascii="Garamond"/>
                    <w:i/>
                    <w:spacing w:val="-7"/>
                    <w:sz w:val="18"/>
                  </w:rPr>
                  <w:t> </w:t>
                </w:r>
                <w:r>
                  <w:rPr>
                    <w:rFonts w:ascii="Garamond"/>
                    <w:i/>
                    <w:sz w:val="18"/>
                  </w:rPr>
                  <w:t>TIMEFRAME</w:t>
                </w:r>
                <w:r>
                  <w:rPr>
                    <w:rFonts w:ascii="Garamond"/>
                    <w:i/>
                    <w:spacing w:val="-7"/>
                    <w:sz w:val="18"/>
                  </w:rPr>
                  <w:t> </w:t>
                </w:r>
                <w:r>
                  <w:rPr>
                    <w:rFonts w:ascii="Garamond"/>
                    <w:i/>
                    <w:sz w:val="18"/>
                  </w:rPr>
                  <w:t>PIVOT</w:t>
                </w:r>
                <w:r>
                  <w:rPr>
                    <w:rFonts w:ascii="Garamond"/>
                    <w:i/>
                    <w:spacing w:val="-7"/>
                    <w:sz w:val="18"/>
                  </w:rPr>
                  <w:t> </w:t>
                </w:r>
                <w:r>
                  <w:rPr>
                    <w:rFonts w:ascii="Garamond"/>
                    <w:i/>
                    <w:spacing w:val="-2"/>
                    <w:sz w:val="18"/>
                  </w:rPr>
                  <w:t>ANALYSIS</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94752" type="#_x0000_t202" id="docshape842"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440002pt;margin-top:28.971622pt;width:167pt;height:11pt;mso-position-horizontal-relative:page;mso-position-vertical-relative:page;z-index:-19594240" type="#_x0000_t202" id="docshape843" filled="false" stroked="false">
          <v:textbox inset="0,0,0,0">
            <w:txbxContent>
              <w:p>
                <w:pPr>
                  <w:spacing w:line="200" w:lineRule="exact" w:before="0"/>
                  <w:ind w:left="20" w:right="0" w:firstLine="0"/>
                  <w:jc w:val="left"/>
                  <w:rPr>
                    <w:rFonts w:ascii="Garamond"/>
                    <w:i/>
                    <w:sz w:val="18"/>
                  </w:rPr>
                </w:pPr>
                <w:r>
                  <w:rPr>
                    <w:rFonts w:ascii="Garamond"/>
                    <w:i/>
                    <w:sz w:val="18"/>
                  </w:rPr>
                  <w:t>HIGHER</w:t>
                </w:r>
                <w:r>
                  <w:rPr>
                    <w:rFonts w:ascii="Garamond"/>
                    <w:i/>
                    <w:spacing w:val="-7"/>
                    <w:sz w:val="18"/>
                  </w:rPr>
                  <w:t> </w:t>
                </w:r>
                <w:r>
                  <w:rPr>
                    <w:rFonts w:ascii="Garamond"/>
                    <w:i/>
                    <w:sz w:val="18"/>
                  </w:rPr>
                  <w:t>TIMEFRAME</w:t>
                </w:r>
                <w:r>
                  <w:rPr>
                    <w:rFonts w:ascii="Garamond"/>
                    <w:i/>
                    <w:spacing w:val="-7"/>
                    <w:sz w:val="18"/>
                  </w:rPr>
                  <w:t> </w:t>
                </w:r>
                <w:r>
                  <w:rPr>
                    <w:rFonts w:ascii="Garamond"/>
                    <w:i/>
                    <w:sz w:val="18"/>
                  </w:rPr>
                  <w:t>PIVOT</w:t>
                </w:r>
                <w:r>
                  <w:rPr>
                    <w:rFonts w:ascii="Garamond"/>
                    <w:i/>
                    <w:spacing w:val="-7"/>
                    <w:sz w:val="18"/>
                  </w:rPr>
                  <w:t> </w:t>
                </w:r>
                <w:r>
                  <w:rPr>
                    <w:rFonts w:ascii="Garamond"/>
                    <w:i/>
                    <w:spacing w:val="-2"/>
                    <w:sz w:val="18"/>
                  </w:rPr>
                  <w:t>ANALYSIS</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3.479996pt;margin-top:28.971622pt;width:127pt;height:11pt;mso-position-horizontal-relative:page;mso-position-vertical-relative:page;z-index:-19589632" type="#_x0000_t202" id="docshape853" filled="false" stroked="false">
          <v:textbox inset="0,0,0,0">
            <w:txbxContent>
              <w:p>
                <w:pPr>
                  <w:spacing w:line="200" w:lineRule="exact" w:before="0"/>
                  <w:ind w:left="20" w:right="0" w:firstLine="0"/>
                  <w:jc w:val="left"/>
                  <w:rPr>
                    <w:rFonts w:ascii="Garamond"/>
                    <w:i/>
                    <w:sz w:val="18"/>
                  </w:rPr>
                </w:pPr>
                <w:r>
                  <w:rPr>
                    <w:rFonts w:ascii="Garamond"/>
                    <w:i/>
                    <w:sz w:val="18"/>
                  </w:rPr>
                  <w:t>MULTIPLE</w:t>
                </w:r>
                <w:r>
                  <w:rPr>
                    <w:rFonts w:ascii="Garamond"/>
                    <w:i/>
                    <w:spacing w:val="-6"/>
                    <w:sz w:val="18"/>
                  </w:rPr>
                  <w:t> </w:t>
                </w:r>
                <w:r>
                  <w:rPr>
                    <w:rFonts w:ascii="Garamond"/>
                    <w:i/>
                    <w:sz w:val="18"/>
                  </w:rPr>
                  <w:t>PIVOT</w:t>
                </w:r>
                <w:r>
                  <w:rPr>
                    <w:rFonts w:ascii="Garamond"/>
                    <w:i/>
                    <w:spacing w:val="-5"/>
                    <w:sz w:val="18"/>
                  </w:rPr>
                  <w:t> </w:t>
                </w:r>
                <w:r>
                  <w:rPr>
                    <w:rFonts w:ascii="Garamond"/>
                    <w:i/>
                    <w:sz w:val="18"/>
                  </w:rPr>
                  <w:t>HOT</w:t>
                </w:r>
                <w:r>
                  <w:rPr>
                    <w:rFonts w:ascii="Garamond"/>
                    <w:i/>
                    <w:spacing w:val="-6"/>
                    <w:sz w:val="18"/>
                  </w:rPr>
                  <w:t> </w:t>
                </w:r>
                <w:r>
                  <w:rPr>
                    <w:rFonts w:ascii="Garamond"/>
                    <w:i/>
                    <w:spacing w:val="-4"/>
                    <w:sz w:val="18"/>
                  </w:rPr>
                  <w:t>ZONES</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89120" type="#_x0000_t202" id="docshape854"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86560" type="#_x0000_t202" id="docshape922"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3.479996pt;margin-top:28.971622pt;width:127pt;height:11pt;mso-position-horizontal-relative:page;mso-position-vertical-relative:page;z-index:-19586048" type="#_x0000_t202" id="docshape923" filled="false" stroked="false">
          <v:textbox inset="0,0,0,0">
            <w:txbxContent>
              <w:p>
                <w:pPr>
                  <w:spacing w:line="200" w:lineRule="exact" w:before="0"/>
                  <w:ind w:left="20" w:right="0" w:firstLine="0"/>
                  <w:jc w:val="left"/>
                  <w:rPr>
                    <w:rFonts w:ascii="Garamond"/>
                    <w:i/>
                    <w:sz w:val="18"/>
                  </w:rPr>
                </w:pPr>
                <w:r>
                  <w:rPr>
                    <w:rFonts w:ascii="Garamond"/>
                    <w:i/>
                    <w:sz w:val="18"/>
                  </w:rPr>
                  <w:t>MULTIPLE</w:t>
                </w:r>
                <w:r>
                  <w:rPr>
                    <w:rFonts w:ascii="Garamond"/>
                    <w:i/>
                    <w:spacing w:val="-6"/>
                    <w:sz w:val="18"/>
                  </w:rPr>
                  <w:t> </w:t>
                </w:r>
                <w:r>
                  <w:rPr>
                    <w:rFonts w:ascii="Garamond"/>
                    <w:i/>
                    <w:sz w:val="18"/>
                  </w:rPr>
                  <w:t>PIVOT</w:t>
                </w:r>
                <w:r>
                  <w:rPr>
                    <w:rFonts w:ascii="Garamond"/>
                    <w:i/>
                    <w:spacing w:val="-5"/>
                    <w:sz w:val="18"/>
                  </w:rPr>
                  <w:t> </w:t>
                </w:r>
                <w:r>
                  <w:rPr>
                    <w:rFonts w:ascii="Garamond"/>
                    <w:i/>
                    <w:sz w:val="18"/>
                  </w:rPr>
                  <w:t>HOT</w:t>
                </w:r>
                <w:r>
                  <w:rPr>
                    <w:rFonts w:ascii="Garamond"/>
                    <w:i/>
                    <w:spacing w:val="-6"/>
                    <w:sz w:val="18"/>
                  </w:rPr>
                  <w:t> </w:t>
                </w:r>
                <w:r>
                  <w:rPr>
                    <w:rFonts w:ascii="Garamond"/>
                    <w:i/>
                    <w:spacing w:val="-4"/>
                    <w:sz w:val="18"/>
                  </w:rPr>
                  <w:t>ZONES</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3.479996pt;margin-top:28.971622pt;width:127pt;height:11pt;mso-position-horizontal-relative:page;mso-position-vertical-relative:page;z-index:-19584512" type="#_x0000_t202" id="docshape927" filled="false" stroked="false">
          <v:textbox inset="0,0,0,0">
            <w:txbxContent>
              <w:p>
                <w:pPr>
                  <w:spacing w:line="200" w:lineRule="exact" w:before="0"/>
                  <w:ind w:left="20" w:right="0" w:firstLine="0"/>
                  <w:jc w:val="left"/>
                  <w:rPr>
                    <w:rFonts w:ascii="Garamond"/>
                    <w:i/>
                    <w:sz w:val="18"/>
                  </w:rPr>
                </w:pPr>
                <w:r>
                  <w:rPr>
                    <w:rFonts w:ascii="Garamond"/>
                    <w:i/>
                    <w:sz w:val="18"/>
                  </w:rPr>
                  <w:t>MULTIPLE</w:t>
                </w:r>
                <w:r>
                  <w:rPr>
                    <w:rFonts w:ascii="Garamond"/>
                    <w:i/>
                    <w:spacing w:val="-6"/>
                    <w:sz w:val="18"/>
                  </w:rPr>
                  <w:t> </w:t>
                </w:r>
                <w:r>
                  <w:rPr>
                    <w:rFonts w:ascii="Garamond"/>
                    <w:i/>
                    <w:sz w:val="18"/>
                  </w:rPr>
                  <w:t>PIVOT</w:t>
                </w:r>
                <w:r>
                  <w:rPr>
                    <w:rFonts w:ascii="Garamond"/>
                    <w:i/>
                    <w:spacing w:val="-5"/>
                    <w:sz w:val="18"/>
                  </w:rPr>
                  <w:t> </w:t>
                </w:r>
                <w:r>
                  <w:rPr>
                    <w:rFonts w:ascii="Garamond"/>
                    <w:i/>
                    <w:sz w:val="18"/>
                  </w:rPr>
                  <w:t>HOT</w:t>
                </w:r>
                <w:r>
                  <w:rPr>
                    <w:rFonts w:ascii="Garamond"/>
                    <w:i/>
                    <w:spacing w:val="-6"/>
                    <w:sz w:val="18"/>
                  </w:rPr>
                  <w:t> </w:t>
                </w:r>
                <w:r>
                  <w:rPr>
                    <w:rFonts w:ascii="Garamond"/>
                    <w:i/>
                    <w:spacing w:val="-4"/>
                    <w:sz w:val="18"/>
                  </w:rPr>
                  <w:t>ZONES</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84000" type="#_x0000_t202" id="docshape928"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81952" type="#_x0000_t202" id="docshape963"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3.479996pt;margin-top:28.971622pt;width:127pt;height:11pt;mso-position-horizontal-relative:page;mso-position-vertical-relative:page;z-index:-19581440" type="#_x0000_t202" id="docshape964" filled="false" stroked="false">
          <v:textbox inset="0,0,0,0">
            <w:txbxContent>
              <w:p>
                <w:pPr>
                  <w:spacing w:line="200" w:lineRule="exact" w:before="0"/>
                  <w:ind w:left="20" w:right="0" w:firstLine="0"/>
                  <w:jc w:val="left"/>
                  <w:rPr>
                    <w:rFonts w:ascii="Garamond"/>
                    <w:i/>
                    <w:sz w:val="18"/>
                  </w:rPr>
                </w:pPr>
                <w:r>
                  <w:rPr>
                    <w:rFonts w:ascii="Garamond"/>
                    <w:i/>
                    <w:sz w:val="18"/>
                  </w:rPr>
                  <w:t>MULTIPLE</w:t>
                </w:r>
                <w:r>
                  <w:rPr>
                    <w:rFonts w:ascii="Garamond"/>
                    <w:i/>
                    <w:spacing w:val="-6"/>
                    <w:sz w:val="18"/>
                  </w:rPr>
                  <w:t> </w:t>
                </w:r>
                <w:r>
                  <w:rPr>
                    <w:rFonts w:ascii="Garamond"/>
                    <w:i/>
                    <w:sz w:val="18"/>
                  </w:rPr>
                  <w:t>PIVOT</w:t>
                </w:r>
                <w:r>
                  <w:rPr>
                    <w:rFonts w:ascii="Garamond"/>
                    <w:i/>
                    <w:spacing w:val="-5"/>
                    <w:sz w:val="18"/>
                  </w:rPr>
                  <w:t> </w:t>
                </w:r>
                <w:r>
                  <w:rPr>
                    <w:rFonts w:ascii="Garamond"/>
                    <w:i/>
                    <w:sz w:val="18"/>
                  </w:rPr>
                  <w:t>HOT</w:t>
                </w:r>
                <w:r>
                  <w:rPr>
                    <w:rFonts w:ascii="Garamond"/>
                    <w:i/>
                    <w:spacing w:val="-6"/>
                    <w:sz w:val="18"/>
                  </w:rPr>
                  <w:t> </w:t>
                </w:r>
                <w:r>
                  <w:rPr>
                    <w:rFonts w:ascii="Garamond"/>
                    <w:i/>
                    <w:spacing w:val="-4"/>
                    <w:sz w:val="18"/>
                  </w:rPr>
                  <w:t>ZONES</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3.479996pt;margin-top:28.971622pt;width:127pt;height:11pt;mso-position-horizontal-relative:page;mso-position-vertical-relative:page;z-index:-19579392" type="#_x0000_t202" id="docshape969" filled="false" stroked="false">
          <v:textbox inset="0,0,0,0">
            <w:txbxContent>
              <w:p>
                <w:pPr>
                  <w:spacing w:line="200" w:lineRule="exact" w:before="0"/>
                  <w:ind w:left="20" w:right="0" w:firstLine="0"/>
                  <w:jc w:val="left"/>
                  <w:rPr>
                    <w:rFonts w:ascii="Garamond"/>
                    <w:i/>
                    <w:sz w:val="18"/>
                  </w:rPr>
                </w:pPr>
                <w:r>
                  <w:rPr>
                    <w:rFonts w:ascii="Garamond"/>
                    <w:i/>
                    <w:sz w:val="18"/>
                  </w:rPr>
                  <w:t>MULTIPLE</w:t>
                </w:r>
                <w:r>
                  <w:rPr>
                    <w:rFonts w:ascii="Garamond"/>
                    <w:i/>
                    <w:spacing w:val="-6"/>
                    <w:sz w:val="18"/>
                  </w:rPr>
                  <w:t> </w:t>
                </w:r>
                <w:r>
                  <w:rPr>
                    <w:rFonts w:ascii="Garamond"/>
                    <w:i/>
                    <w:sz w:val="18"/>
                  </w:rPr>
                  <w:t>PIVOT</w:t>
                </w:r>
                <w:r>
                  <w:rPr>
                    <w:rFonts w:ascii="Garamond"/>
                    <w:i/>
                    <w:spacing w:val="-5"/>
                    <w:sz w:val="18"/>
                  </w:rPr>
                  <w:t> </w:t>
                </w:r>
                <w:r>
                  <w:rPr>
                    <w:rFonts w:ascii="Garamond"/>
                    <w:i/>
                    <w:sz w:val="18"/>
                  </w:rPr>
                  <w:t>HOT</w:t>
                </w:r>
                <w:r>
                  <w:rPr>
                    <w:rFonts w:ascii="Garamond"/>
                    <w:i/>
                    <w:spacing w:val="-6"/>
                    <w:sz w:val="18"/>
                  </w:rPr>
                  <w:t> </w:t>
                </w:r>
                <w:r>
                  <w:rPr>
                    <w:rFonts w:ascii="Garamond"/>
                    <w:i/>
                    <w:spacing w:val="-4"/>
                    <w:sz w:val="18"/>
                  </w:rPr>
                  <w:t>ZONES</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3.820007pt;margin-top:28.971622pt;width:146.4pt;height:11pt;mso-position-horizontal-relative:page;mso-position-vertical-relative:page;z-index:-19672576" type="#_x0000_t202" id="docshape223" filled="false" stroked="false">
          <v:textbox inset="0,0,0,0">
            <w:txbxContent>
              <w:p>
                <w:pPr>
                  <w:spacing w:line="200" w:lineRule="exact" w:before="0"/>
                  <w:ind w:left="20" w:right="0" w:firstLine="0"/>
                  <w:jc w:val="left"/>
                  <w:rPr>
                    <w:rFonts w:ascii="Garamond"/>
                    <w:i/>
                    <w:sz w:val="18"/>
                  </w:rPr>
                </w:pPr>
                <w:r>
                  <w:rPr>
                    <w:rFonts w:ascii="Garamond"/>
                    <w:i/>
                    <w:sz w:val="18"/>
                  </w:rPr>
                  <w:t>INTRODUCING</w:t>
                </w:r>
                <w:r>
                  <w:rPr>
                    <w:rFonts w:ascii="Garamond"/>
                    <w:i/>
                    <w:spacing w:val="-7"/>
                    <w:sz w:val="18"/>
                  </w:rPr>
                  <w:t> </w:t>
                </w:r>
                <w:r>
                  <w:rPr>
                    <w:rFonts w:ascii="Garamond"/>
                    <w:i/>
                    <w:sz w:val="18"/>
                  </w:rPr>
                  <w:t>THE</w:t>
                </w:r>
                <w:r>
                  <w:rPr>
                    <w:rFonts w:ascii="Garamond"/>
                    <w:i/>
                    <w:spacing w:val="-7"/>
                    <w:sz w:val="18"/>
                  </w:rPr>
                  <w:t> </w:t>
                </w:r>
                <w:r>
                  <w:rPr>
                    <w:rFonts w:ascii="Garamond"/>
                    <w:i/>
                    <w:sz w:val="18"/>
                  </w:rPr>
                  <w:t>MONEY</w:t>
                </w:r>
                <w:r>
                  <w:rPr>
                    <w:rFonts w:ascii="Garamond"/>
                    <w:i/>
                    <w:spacing w:val="-6"/>
                    <w:sz w:val="18"/>
                  </w:rPr>
                  <w:t> </w:t>
                </w:r>
                <w:r>
                  <w:rPr>
                    <w:rFonts w:ascii="Garamond"/>
                    <w:i/>
                    <w:spacing w:val="-4"/>
                    <w:sz w:val="18"/>
                  </w:rPr>
                  <w:t>ZONE</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2.720001pt;margin-top:28.971622pt;width:108.55pt;height:11pt;mso-position-horizontal-relative:page;mso-position-vertical-relative:page;z-index:-19576832" type="#_x0000_t202" id="docshape974" filled="false" stroked="false">
          <v:textbox inset="0,0,0,0">
            <w:txbxContent>
              <w:p>
                <w:pPr>
                  <w:spacing w:line="200" w:lineRule="exact" w:before="0"/>
                  <w:ind w:left="20" w:right="0" w:firstLine="0"/>
                  <w:jc w:val="left"/>
                  <w:rPr>
                    <w:rFonts w:ascii="Garamond"/>
                    <w:i/>
                    <w:sz w:val="18"/>
                  </w:rPr>
                </w:pPr>
                <w:r>
                  <w:rPr>
                    <w:rFonts w:ascii="Garamond"/>
                    <w:i/>
                    <w:sz w:val="18"/>
                  </w:rPr>
                  <w:t>PLANNING</w:t>
                </w:r>
                <w:r>
                  <w:rPr>
                    <w:rFonts w:ascii="Garamond"/>
                    <w:i/>
                    <w:spacing w:val="-10"/>
                    <w:sz w:val="18"/>
                  </w:rPr>
                  <w:t> </w:t>
                </w:r>
                <w:r>
                  <w:rPr>
                    <w:rFonts w:ascii="Garamond"/>
                    <w:i/>
                    <w:sz w:val="18"/>
                  </w:rPr>
                  <w:t>FOR</w:t>
                </w:r>
                <w:r>
                  <w:rPr>
                    <w:rFonts w:ascii="Garamond"/>
                    <w:i/>
                    <w:spacing w:val="-9"/>
                    <w:sz w:val="18"/>
                  </w:rPr>
                  <w:t> </w:t>
                </w:r>
                <w:r>
                  <w:rPr>
                    <w:rFonts w:ascii="Garamond"/>
                    <w:i/>
                    <w:spacing w:val="-2"/>
                    <w:sz w:val="18"/>
                  </w:rPr>
                  <w:t>SUCCESS</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76320" type="#_x0000_t202" id="docshape975"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580002pt;margin-top:28.971622pt;width:56.8pt;height:11pt;mso-position-horizontal-relative:page;mso-position-vertical-relative:page;z-index:-19571712" type="#_x0000_t202" id="docshape986" filled="false" stroked="false">
          <v:textbox inset="0,0,0,0">
            <w:txbxContent>
              <w:p>
                <w:pPr>
                  <w:spacing w:line="200" w:lineRule="exact" w:before="0"/>
                  <w:ind w:left="20" w:right="0" w:firstLine="0"/>
                  <w:jc w:val="left"/>
                  <w:rPr>
                    <w:rFonts w:ascii="Garamond"/>
                    <w:i/>
                    <w:sz w:val="18"/>
                  </w:rPr>
                </w:pPr>
                <w:r>
                  <w:rPr>
                    <w:rFonts w:ascii="Garamond"/>
                    <w:i/>
                    <w:spacing w:val="-2"/>
                    <w:sz w:val="18"/>
                  </w:rPr>
                  <w:t>APPENDIX</w:t>
                </w:r>
                <w:r>
                  <w:rPr>
                    <w:rFonts w:ascii="Garamond"/>
                    <w:i/>
                    <w:spacing w:val="-1"/>
                    <w:sz w:val="18"/>
                  </w:rPr>
                  <w:t> </w:t>
                </w:r>
                <w:r>
                  <w:rPr>
                    <w:rFonts w:ascii="Garamond"/>
                    <w:i/>
                    <w:spacing w:val="-10"/>
                    <w:sz w:val="18"/>
                  </w:rPr>
                  <w:t>A</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71200" type="#_x0000_t202" id="docshape987"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9.479996pt;margin-top:28.971622pt;width:55pt;height:11pt;mso-position-horizontal-relative:page;mso-position-vertical-relative:page;z-index:-19566592" type="#_x0000_t202" id="docshape1071" filled="false" stroked="false">
          <v:textbox inset="0,0,0,0">
            <w:txbxContent>
              <w:p>
                <w:pPr>
                  <w:spacing w:line="200" w:lineRule="exact" w:before="0"/>
                  <w:ind w:left="20" w:right="0" w:firstLine="0"/>
                  <w:jc w:val="left"/>
                  <w:rPr>
                    <w:rFonts w:ascii="Garamond"/>
                    <w:i/>
                    <w:sz w:val="18"/>
                  </w:rPr>
                </w:pPr>
                <w:r>
                  <w:rPr>
                    <w:rFonts w:ascii="Garamond"/>
                    <w:i/>
                    <w:spacing w:val="-2"/>
                    <w:sz w:val="18"/>
                  </w:rPr>
                  <w:t>APPENDIX</w:t>
                </w:r>
                <w:r>
                  <w:rPr>
                    <w:rFonts w:ascii="Garamond"/>
                    <w:i/>
                    <w:spacing w:val="-1"/>
                    <w:sz w:val="18"/>
                  </w:rPr>
                  <w:t> </w:t>
                </w:r>
                <w:r>
                  <w:rPr>
                    <w:rFonts w:ascii="Garamond"/>
                    <w:i/>
                    <w:spacing w:val="-10"/>
                    <w:sz w:val="18"/>
                  </w:rPr>
                  <w:t>B</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566080" type="#_x0000_t202" id="docshape1072"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779999pt;margin-top:26.775675pt;width:114.35pt;height:11pt;mso-position-horizontal-relative:page;mso-position-vertical-relative:page;z-index:-19672064" type="#_x0000_t202" id="docshape224" filled="false" stroked="false">
          <v:textbox inset="0,0,0,0">
            <w:txbxContent>
              <w:p>
                <w:pPr>
                  <w:spacing w:line="179" w:lineRule="exact" w:before="41"/>
                  <w:ind w:left="20" w:right="0" w:firstLine="0"/>
                  <w:jc w:val="left"/>
                  <w:rPr>
                    <w:rFonts w:ascii="Garamond"/>
                    <w:sz w:val="18"/>
                  </w:rPr>
                </w:pPr>
                <w:r>
                  <w:rPr>
                    <w:rFonts w:ascii="Garamond"/>
                    <w:sz w:val="18"/>
                  </w:rPr>
                  <w:t>SECRETS</w:t>
                </w:r>
                <w:r>
                  <w:rPr>
                    <w:rFonts w:ascii="Garamond"/>
                    <w:spacing w:val="-5"/>
                    <w:sz w:val="18"/>
                  </w:rPr>
                  <w:t> </w:t>
                </w:r>
                <w:r>
                  <w:rPr>
                    <w:rFonts w:ascii="Garamond"/>
                    <w:sz w:val="18"/>
                  </w:rPr>
                  <w:t>OF</w:t>
                </w:r>
                <w:r>
                  <w:rPr>
                    <w:rFonts w:ascii="Garamond"/>
                    <w:spacing w:val="-5"/>
                    <w:sz w:val="18"/>
                  </w:rPr>
                  <w:t> </w:t>
                </w:r>
                <w:r>
                  <w:rPr>
                    <w:rFonts w:ascii="Garamond"/>
                    <w:sz w:val="18"/>
                  </w:rPr>
                  <w:t>A</w:t>
                </w:r>
                <w:r>
                  <w:rPr>
                    <w:rFonts w:ascii="Garamond"/>
                    <w:spacing w:val="-5"/>
                    <w:sz w:val="18"/>
                  </w:rPr>
                  <w:t> </w:t>
                </w:r>
                <w:r>
                  <w:rPr>
                    <w:rFonts w:ascii="Garamond"/>
                    <w:sz w:val="18"/>
                  </w:rPr>
                  <w:t>PIVOT</w:t>
                </w:r>
                <w:r>
                  <w:rPr>
                    <w:rFonts w:ascii="Garamond"/>
                    <w:spacing w:val="-5"/>
                    <w:sz w:val="18"/>
                  </w:rPr>
                  <w:t> </w:t>
                </w:r>
                <w:r>
                  <w:rPr>
                    <w:rFonts w:ascii="Garamond"/>
                    <w:spacing w:val="-4"/>
                    <w:sz w:val="18"/>
                  </w:rPr>
                  <w:t>BOSS</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300003pt;margin-top:28.971622pt;width:31.3pt;height:11pt;mso-position-horizontal-relative:page;mso-position-vertical-relative:page;z-index:-19561472" type="#_x0000_t202" id="docshape1123" filled="false" stroked="false">
          <v:textbox inset="0,0,0,0">
            <w:txbxContent>
              <w:p>
                <w:pPr>
                  <w:spacing w:line="200" w:lineRule="exact" w:before="0"/>
                  <w:ind w:left="20" w:right="0" w:firstLine="0"/>
                  <w:jc w:val="left"/>
                  <w:rPr>
                    <w:rFonts w:ascii="Garamond"/>
                    <w:i/>
                    <w:sz w:val="18"/>
                  </w:rPr>
                </w:pPr>
                <w:r>
                  <w:rPr>
                    <w:rFonts w:ascii="Garamond"/>
                    <w:i/>
                    <w:spacing w:val="-2"/>
                    <w:sz w:val="18"/>
                  </w:rPr>
                  <w:t>INDEX</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300003pt;margin-top:28.971622pt;width:31.3pt;height:11pt;mso-position-horizontal-relative:page;mso-position-vertical-relative:page;z-index:-19560960" type="#_x0000_t202" id="docshape1124" filled="false" stroked="false">
          <v:textbox inset="0,0,0,0">
            <w:txbxContent>
              <w:p>
                <w:pPr>
                  <w:spacing w:line="200" w:lineRule="exact" w:before="0"/>
                  <w:ind w:left="20" w:right="0" w:firstLine="0"/>
                  <w:jc w:val="left"/>
                  <w:rPr>
                    <w:rFonts w:ascii="Garamond"/>
                    <w:i/>
                    <w:sz w:val="18"/>
                  </w:rPr>
                </w:pPr>
                <w:r>
                  <w:rPr>
                    <w:rFonts w:ascii="Garamond"/>
                    <w:i/>
                    <w:spacing w:val="-2"/>
                    <w:sz w:val="18"/>
                  </w:rPr>
                  <w:t>INDEX</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860" w:hanging="360"/>
        <w:jc w:val="righ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1522" w:hanging="360"/>
      </w:pPr>
      <w:rPr>
        <w:rFonts w:hint="default"/>
        <w:lang w:val="en-US" w:eastAsia="en-US" w:bidi="ar-SA"/>
      </w:rPr>
    </w:lvl>
    <w:lvl w:ilvl="2">
      <w:start w:val="0"/>
      <w:numFmt w:val="bullet"/>
      <w:lvlText w:val="•"/>
      <w:lvlJc w:val="left"/>
      <w:pPr>
        <w:ind w:left="2184" w:hanging="360"/>
      </w:pPr>
      <w:rPr>
        <w:rFonts w:hint="default"/>
        <w:lang w:val="en-US" w:eastAsia="en-US" w:bidi="ar-SA"/>
      </w:rPr>
    </w:lvl>
    <w:lvl w:ilvl="3">
      <w:start w:val="0"/>
      <w:numFmt w:val="bullet"/>
      <w:lvlText w:val="•"/>
      <w:lvlJc w:val="left"/>
      <w:pPr>
        <w:ind w:left="2846" w:hanging="360"/>
      </w:pPr>
      <w:rPr>
        <w:rFonts w:hint="default"/>
        <w:lang w:val="en-US" w:eastAsia="en-US" w:bidi="ar-SA"/>
      </w:rPr>
    </w:lvl>
    <w:lvl w:ilvl="4">
      <w:start w:val="0"/>
      <w:numFmt w:val="bullet"/>
      <w:lvlText w:val="•"/>
      <w:lvlJc w:val="left"/>
      <w:pPr>
        <w:ind w:left="3508" w:hanging="360"/>
      </w:pPr>
      <w:rPr>
        <w:rFonts w:hint="default"/>
        <w:lang w:val="en-US" w:eastAsia="en-US" w:bidi="ar-SA"/>
      </w:rPr>
    </w:lvl>
    <w:lvl w:ilvl="5">
      <w:start w:val="0"/>
      <w:numFmt w:val="bullet"/>
      <w:lvlText w:val="•"/>
      <w:lvlJc w:val="left"/>
      <w:pPr>
        <w:ind w:left="4170" w:hanging="360"/>
      </w:pPr>
      <w:rPr>
        <w:rFonts w:hint="default"/>
        <w:lang w:val="en-US" w:eastAsia="en-US" w:bidi="ar-SA"/>
      </w:rPr>
    </w:lvl>
    <w:lvl w:ilvl="6">
      <w:start w:val="0"/>
      <w:numFmt w:val="bullet"/>
      <w:lvlText w:val="•"/>
      <w:lvlJc w:val="left"/>
      <w:pPr>
        <w:ind w:left="4832" w:hanging="360"/>
      </w:pPr>
      <w:rPr>
        <w:rFonts w:hint="default"/>
        <w:lang w:val="en-US" w:eastAsia="en-US" w:bidi="ar-SA"/>
      </w:rPr>
    </w:lvl>
    <w:lvl w:ilvl="7">
      <w:start w:val="0"/>
      <w:numFmt w:val="bullet"/>
      <w:lvlText w:val="•"/>
      <w:lvlJc w:val="left"/>
      <w:pPr>
        <w:ind w:left="5494" w:hanging="360"/>
      </w:pPr>
      <w:rPr>
        <w:rFonts w:hint="default"/>
        <w:lang w:val="en-US" w:eastAsia="en-US" w:bidi="ar-SA"/>
      </w:rPr>
    </w:lvl>
    <w:lvl w:ilvl="8">
      <w:start w:val="0"/>
      <w:numFmt w:val="bullet"/>
      <w:lvlText w:val="•"/>
      <w:lvlJc w:val="left"/>
      <w:pPr>
        <w:ind w:left="6156" w:hanging="360"/>
      </w:pPr>
      <w:rPr>
        <w:rFonts w:hint="default"/>
        <w:lang w:val="en-US" w:eastAsia="en-US" w:bidi="ar-SA"/>
      </w:rPr>
    </w:lvl>
  </w:abstractNum>
  <w:abstractNum w:abstractNumId="3">
    <w:multiLevelType w:val="hybridMultilevel"/>
    <w:lvl w:ilvl="0">
      <w:start w:val="1"/>
      <w:numFmt w:val="decimal"/>
      <w:lvlText w:val="%1."/>
      <w:lvlJc w:val="left"/>
      <w:pPr>
        <w:ind w:left="859" w:hanging="3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1522" w:hanging="360"/>
      </w:pPr>
      <w:rPr>
        <w:rFonts w:hint="default"/>
        <w:lang w:val="en-US" w:eastAsia="en-US" w:bidi="ar-SA"/>
      </w:rPr>
    </w:lvl>
    <w:lvl w:ilvl="2">
      <w:start w:val="0"/>
      <w:numFmt w:val="bullet"/>
      <w:lvlText w:val="•"/>
      <w:lvlJc w:val="left"/>
      <w:pPr>
        <w:ind w:left="2184" w:hanging="360"/>
      </w:pPr>
      <w:rPr>
        <w:rFonts w:hint="default"/>
        <w:lang w:val="en-US" w:eastAsia="en-US" w:bidi="ar-SA"/>
      </w:rPr>
    </w:lvl>
    <w:lvl w:ilvl="3">
      <w:start w:val="0"/>
      <w:numFmt w:val="bullet"/>
      <w:lvlText w:val="•"/>
      <w:lvlJc w:val="left"/>
      <w:pPr>
        <w:ind w:left="2846" w:hanging="360"/>
      </w:pPr>
      <w:rPr>
        <w:rFonts w:hint="default"/>
        <w:lang w:val="en-US" w:eastAsia="en-US" w:bidi="ar-SA"/>
      </w:rPr>
    </w:lvl>
    <w:lvl w:ilvl="4">
      <w:start w:val="0"/>
      <w:numFmt w:val="bullet"/>
      <w:lvlText w:val="•"/>
      <w:lvlJc w:val="left"/>
      <w:pPr>
        <w:ind w:left="3508" w:hanging="360"/>
      </w:pPr>
      <w:rPr>
        <w:rFonts w:hint="default"/>
        <w:lang w:val="en-US" w:eastAsia="en-US" w:bidi="ar-SA"/>
      </w:rPr>
    </w:lvl>
    <w:lvl w:ilvl="5">
      <w:start w:val="0"/>
      <w:numFmt w:val="bullet"/>
      <w:lvlText w:val="•"/>
      <w:lvlJc w:val="left"/>
      <w:pPr>
        <w:ind w:left="4170" w:hanging="360"/>
      </w:pPr>
      <w:rPr>
        <w:rFonts w:hint="default"/>
        <w:lang w:val="en-US" w:eastAsia="en-US" w:bidi="ar-SA"/>
      </w:rPr>
    </w:lvl>
    <w:lvl w:ilvl="6">
      <w:start w:val="0"/>
      <w:numFmt w:val="bullet"/>
      <w:lvlText w:val="•"/>
      <w:lvlJc w:val="left"/>
      <w:pPr>
        <w:ind w:left="4832" w:hanging="360"/>
      </w:pPr>
      <w:rPr>
        <w:rFonts w:hint="default"/>
        <w:lang w:val="en-US" w:eastAsia="en-US" w:bidi="ar-SA"/>
      </w:rPr>
    </w:lvl>
    <w:lvl w:ilvl="7">
      <w:start w:val="0"/>
      <w:numFmt w:val="bullet"/>
      <w:lvlText w:val="•"/>
      <w:lvlJc w:val="left"/>
      <w:pPr>
        <w:ind w:left="5494" w:hanging="360"/>
      </w:pPr>
      <w:rPr>
        <w:rFonts w:hint="default"/>
        <w:lang w:val="en-US" w:eastAsia="en-US" w:bidi="ar-SA"/>
      </w:rPr>
    </w:lvl>
    <w:lvl w:ilvl="8">
      <w:start w:val="0"/>
      <w:numFmt w:val="bullet"/>
      <w:lvlText w:val="•"/>
      <w:lvlJc w:val="left"/>
      <w:pPr>
        <w:ind w:left="6156" w:hanging="360"/>
      </w:pPr>
      <w:rPr>
        <w:rFonts w:hint="default"/>
        <w:lang w:val="en-US" w:eastAsia="en-US" w:bidi="ar-SA"/>
      </w:rPr>
    </w:lvl>
  </w:abstractNum>
  <w:abstractNum w:abstractNumId="2">
    <w:multiLevelType w:val="hybridMultilevel"/>
    <w:lvl w:ilvl="0">
      <w:start w:val="1"/>
      <w:numFmt w:val="decimal"/>
      <w:lvlText w:val="%1."/>
      <w:lvlJc w:val="left"/>
      <w:pPr>
        <w:ind w:left="859" w:hanging="3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1522" w:hanging="360"/>
      </w:pPr>
      <w:rPr>
        <w:rFonts w:hint="default"/>
        <w:lang w:val="en-US" w:eastAsia="en-US" w:bidi="ar-SA"/>
      </w:rPr>
    </w:lvl>
    <w:lvl w:ilvl="2">
      <w:start w:val="0"/>
      <w:numFmt w:val="bullet"/>
      <w:lvlText w:val="•"/>
      <w:lvlJc w:val="left"/>
      <w:pPr>
        <w:ind w:left="2184" w:hanging="360"/>
      </w:pPr>
      <w:rPr>
        <w:rFonts w:hint="default"/>
        <w:lang w:val="en-US" w:eastAsia="en-US" w:bidi="ar-SA"/>
      </w:rPr>
    </w:lvl>
    <w:lvl w:ilvl="3">
      <w:start w:val="0"/>
      <w:numFmt w:val="bullet"/>
      <w:lvlText w:val="•"/>
      <w:lvlJc w:val="left"/>
      <w:pPr>
        <w:ind w:left="2846" w:hanging="360"/>
      </w:pPr>
      <w:rPr>
        <w:rFonts w:hint="default"/>
        <w:lang w:val="en-US" w:eastAsia="en-US" w:bidi="ar-SA"/>
      </w:rPr>
    </w:lvl>
    <w:lvl w:ilvl="4">
      <w:start w:val="0"/>
      <w:numFmt w:val="bullet"/>
      <w:lvlText w:val="•"/>
      <w:lvlJc w:val="left"/>
      <w:pPr>
        <w:ind w:left="3508" w:hanging="360"/>
      </w:pPr>
      <w:rPr>
        <w:rFonts w:hint="default"/>
        <w:lang w:val="en-US" w:eastAsia="en-US" w:bidi="ar-SA"/>
      </w:rPr>
    </w:lvl>
    <w:lvl w:ilvl="5">
      <w:start w:val="0"/>
      <w:numFmt w:val="bullet"/>
      <w:lvlText w:val="•"/>
      <w:lvlJc w:val="left"/>
      <w:pPr>
        <w:ind w:left="4170" w:hanging="360"/>
      </w:pPr>
      <w:rPr>
        <w:rFonts w:hint="default"/>
        <w:lang w:val="en-US" w:eastAsia="en-US" w:bidi="ar-SA"/>
      </w:rPr>
    </w:lvl>
    <w:lvl w:ilvl="6">
      <w:start w:val="0"/>
      <w:numFmt w:val="bullet"/>
      <w:lvlText w:val="•"/>
      <w:lvlJc w:val="left"/>
      <w:pPr>
        <w:ind w:left="4832" w:hanging="360"/>
      </w:pPr>
      <w:rPr>
        <w:rFonts w:hint="default"/>
        <w:lang w:val="en-US" w:eastAsia="en-US" w:bidi="ar-SA"/>
      </w:rPr>
    </w:lvl>
    <w:lvl w:ilvl="7">
      <w:start w:val="0"/>
      <w:numFmt w:val="bullet"/>
      <w:lvlText w:val="•"/>
      <w:lvlJc w:val="left"/>
      <w:pPr>
        <w:ind w:left="5494" w:hanging="360"/>
      </w:pPr>
      <w:rPr>
        <w:rFonts w:hint="default"/>
        <w:lang w:val="en-US" w:eastAsia="en-US" w:bidi="ar-SA"/>
      </w:rPr>
    </w:lvl>
    <w:lvl w:ilvl="8">
      <w:start w:val="0"/>
      <w:numFmt w:val="bullet"/>
      <w:lvlText w:val="•"/>
      <w:lvlJc w:val="left"/>
      <w:pPr>
        <w:ind w:left="6156" w:hanging="360"/>
      </w:pPr>
      <w:rPr>
        <w:rFonts w:hint="default"/>
        <w:lang w:val="en-US" w:eastAsia="en-US" w:bidi="ar-SA"/>
      </w:rPr>
    </w:lvl>
  </w:abstractNum>
  <w:abstractNum w:abstractNumId="1">
    <w:multiLevelType w:val="hybridMultilevel"/>
    <w:lvl w:ilvl="0">
      <w:start w:val="1"/>
      <w:numFmt w:val="decimal"/>
      <w:lvlText w:val="%1."/>
      <w:lvlJc w:val="left"/>
      <w:pPr>
        <w:ind w:left="859" w:hanging="3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1522" w:hanging="360"/>
      </w:pPr>
      <w:rPr>
        <w:rFonts w:hint="default"/>
        <w:lang w:val="en-US" w:eastAsia="en-US" w:bidi="ar-SA"/>
      </w:rPr>
    </w:lvl>
    <w:lvl w:ilvl="2">
      <w:start w:val="0"/>
      <w:numFmt w:val="bullet"/>
      <w:lvlText w:val="•"/>
      <w:lvlJc w:val="left"/>
      <w:pPr>
        <w:ind w:left="2184" w:hanging="360"/>
      </w:pPr>
      <w:rPr>
        <w:rFonts w:hint="default"/>
        <w:lang w:val="en-US" w:eastAsia="en-US" w:bidi="ar-SA"/>
      </w:rPr>
    </w:lvl>
    <w:lvl w:ilvl="3">
      <w:start w:val="0"/>
      <w:numFmt w:val="bullet"/>
      <w:lvlText w:val="•"/>
      <w:lvlJc w:val="left"/>
      <w:pPr>
        <w:ind w:left="2846" w:hanging="360"/>
      </w:pPr>
      <w:rPr>
        <w:rFonts w:hint="default"/>
        <w:lang w:val="en-US" w:eastAsia="en-US" w:bidi="ar-SA"/>
      </w:rPr>
    </w:lvl>
    <w:lvl w:ilvl="4">
      <w:start w:val="0"/>
      <w:numFmt w:val="bullet"/>
      <w:lvlText w:val="•"/>
      <w:lvlJc w:val="left"/>
      <w:pPr>
        <w:ind w:left="3508" w:hanging="360"/>
      </w:pPr>
      <w:rPr>
        <w:rFonts w:hint="default"/>
        <w:lang w:val="en-US" w:eastAsia="en-US" w:bidi="ar-SA"/>
      </w:rPr>
    </w:lvl>
    <w:lvl w:ilvl="5">
      <w:start w:val="0"/>
      <w:numFmt w:val="bullet"/>
      <w:lvlText w:val="•"/>
      <w:lvlJc w:val="left"/>
      <w:pPr>
        <w:ind w:left="4170" w:hanging="360"/>
      </w:pPr>
      <w:rPr>
        <w:rFonts w:hint="default"/>
        <w:lang w:val="en-US" w:eastAsia="en-US" w:bidi="ar-SA"/>
      </w:rPr>
    </w:lvl>
    <w:lvl w:ilvl="6">
      <w:start w:val="0"/>
      <w:numFmt w:val="bullet"/>
      <w:lvlText w:val="•"/>
      <w:lvlJc w:val="left"/>
      <w:pPr>
        <w:ind w:left="4832" w:hanging="360"/>
      </w:pPr>
      <w:rPr>
        <w:rFonts w:hint="default"/>
        <w:lang w:val="en-US" w:eastAsia="en-US" w:bidi="ar-SA"/>
      </w:rPr>
    </w:lvl>
    <w:lvl w:ilvl="7">
      <w:start w:val="0"/>
      <w:numFmt w:val="bullet"/>
      <w:lvlText w:val="•"/>
      <w:lvlJc w:val="left"/>
      <w:pPr>
        <w:ind w:left="5494" w:hanging="360"/>
      </w:pPr>
      <w:rPr>
        <w:rFonts w:hint="default"/>
        <w:lang w:val="en-US" w:eastAsia="en-US" w:bidi="ar-SA"/>
      </w:rPr>
    </w:lvl>
    <w:lvl w:ilvl="8">
      <w:start w:val="0"/>
      <w:numFmt w:val="bullet"/>
      <w:lvlText w:val="•"/>
      <w:lvlJc w:val="left"/>
      <w:pPr>
        <w:ind w:left="6156" w:hanging="360"/>
      </w:pPr>
      <w:rPr>
        <w:rFonts w:hint="default"/>
        <w:lang w:val="en-US" w:eastAsia="en-US" w:bidi="ar-SA"/>
      </w:rPr>
    </w:lvl>
  </w:abstractNum>
  <w:abstractNum w:abstractNumId="0">
    <w:multiLevelType w:val="hybridMultilevel"/>
    <w:lvl w:ilvl="0">
      <w:start w:val="1"/>
      <w:numFmt w:val="decimal"/>
      <w:lvlText w:val="%1."/>
      <w:lvlJc w:val="left"/>
      <w:pPr>
        <w:ind w:left="859" w:hanging="3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1522" w:hanging="360"/>
      </w:pPr>
      <w:rPr>
        <w:rFonts w:hint="default"/>
        <w:lang w:val="en-US" w:eastAsia="en-US" w:bidi="ar-SA"/>
      </w:rPr>
    </w:lvl>
    <w:lvl w:ilvl="2">
      <w:start w:val="0"/>
      <w:numFmt w:val="bullet"/>
      <w:lvlText w:val="•"/>
      <w:lvlJc w:val="left"/>
      <w:pPr>
        <w:ind w:left="2184" w:hanging="360"/>
      </w:pPr>
      <w:rPr>
        <w:rFonts w:hint="default"/>
        <w:lang w:val="en-US" w:eastAsia="en-US" w:bidi="ar-SA"/>
      </w:rPr>
    </w:lvl>
    <w:lvl w:ilvl="3">
      <w:start w:val="0"/>
      <w:numFmt w:val="bullet"/>
      <w:lvlText w:val="•"/>
      <w:lvlJc w:val="left"/>
      <w:pPr>
        <w:ind w:left="2846" w:hanging="360"/>
      </w:pPr>
      <w:rPr>
        <w:rFonts w:hint="default"/>
        <w:lang w:val="en-US" w:eastAsia="en-US" w:bidi="ar-SA"/>
      </w:rPr>
    </w:lvl>
    <w:lvl w:ilvl="4">
      <w:start w:val="0"/>
      <w:numFmt w:val="bullet"/>
      <w:lvlText w:val="•"/>
      <w:lvlJc w:val="left"/>
      <w:pPr>
        <w:ind w:left="3508" w:hanging="360"/>
      </w:pPr>
      <w:rPr>
        <w:rFonts w:hint="default"/>
        <w:lang w:val="en-US" w:eastAsia="en-US" w:bidi="ar-SA"/>
      </w:rPr>
    </w:lvl>
    <w:lvl w:ilvl="5">
      <w:start w:val="0"/>
      <w:numFmt w:val="bullet"/>
      <w:lvlText w:val="•"/>
      <w:lvlJc w:val="left"/>
      <w:pPr>
        <w:ind w:left="4170" w:hanging="360"/>
      </w:pPr>
      <w:rPr>
        <w:rFonts w:hint="default"/>
        <w:lang w:val="en-US" w:eastAsia="en-US" w:bidi="ar-SA"/>
      </w:rPr>
    </w:lvl>
    <w:lvl w:ilvl="6">
      <w:start w:val="0"/>
      <w:numFmt w:val="bullet"/>
      <w:lvlText w:val="•"/>
      <w:lvlJc w:val="left"/>
      <w:pPr>
        <w:ind w:left="4832" w:hanging="360"/>
      </w:pPr>
      <w:rPr>
        <w:rFonts w:hint="default"/>
        <w:lang w:val="en-US" w:eastAsia="en-US" w:bidi="ar-SA"/>
      </w:rPr>
    </w:lvl>
    <w:lvl w:ilvl="7">
      <w:start w:val="0"/>
      <w:numFmt w:val="bullet"/>
      <w:lvlText w:val="•"/>
      <w:lvlJc w:val="left"/>
      <w:pPr>
        <w:ind w:left="5494" w:hanging="360"/>
      </w:pPr>
      <w:rPr>
        <w:rFonts w:hint="default"/>
        <w:lang w:val="en-US" w:eastAsia="en-US" w:bidi="ar-SA"/>
      </w:rPr>
    </w:lvl>
    <w:lvl w:ilvl="8">
      <w:start w:val="0"/>
      <w:numFmt w:val="bullet"/>
      <w:lvlText w:val="•"/>
      <w:lvlJc w:val="left"/>
      <w:pPr>
        <w:ind w:left="6156" w:hanging="36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23" w:line="228" w:lineRule="exact"/>
      <w:ind w:left="139"/>
    </w:pPr>
    <w:rPr>
      <w:rFonts w:ascii="Times New Roman" w:hAnsi="Times New Roman" w:eastAsia="Times New Roman" w:cs="Times New Roman"/>
      <w:sz w:val="20"/>
      <w:szCs w:val="20"/>
      <w:lang w:val="en-US" w:eastAsia="en-US" w:bidi="ar-SA"/>
    </w:rPr>
  </w:style>
  <w:style w:styleId="TOC2" w:type="paragraph">
    <w:name w:val="TOC 2"/>
    <w:basedOn w:val="Normal"/>
    <w:uiPriority w:val="1"/>
    <w:qFormat/>
    <w:pPr>
      <w:spacing w:before="121" w:line="229" w:lineRule="exact"/>
      <w:ind w:left="140"/>
    </w:pPr>
    <w:rPr>
      <w:rFonts w:ascii="Times New Roman" w:hAnsi="Times New Roman" w:eastAsia="Times New Roman" w:cs="Times New Roman"/>
      <w:sz w:val="20"/>
      <w:szCs w:val="20"/>
      <w:lang w:val="en-US" w:eastAsia="en-US" w:bidi="ar-SA"/>
    </w:rPr>
  </w:style>
  <w:style w:styleId="TOC3" w:type="paragraph">
    <w:name w:val="TOC 3"/>
    <w:basedOn w:val="Normal"/>
    <w:uiPriority w:val="1"/>
    <w:qFormat/>
    <w:pPr>
      <w:spacing w:line="229" w:lineRule="exact"/>
      <w:ind w:left="359"/>
    </w:pPr>
    <w:rPr>
      <w:rFonts w:ascii="Times New Roman" w:hAnsi="Times New Roman" w:eastAsia="Times New Roman" w:cs="Times New Roman"/>
      <w:sz w:val="20"/>
      <w:szCs w:val="20"/>
      <w:lang w:val="en-US" w:eastAsia="en-US" w:bidi="ar-SA"/>
    </w:rPr>
  </w:style>
  <w:style w:styleId="TOC4" w:type="paragraph">
    <w:name w:val="TOC 4"/>
    <w:basedOn w:val="Normal"/>
    <w:uiPriority w:val="1"/>
    <w:qFormat/>
    <w:pPr>
      <w:spacing w:before="83" w:line="228" w:lineRule="exact"/>
      <w:ind w:left="499"/>
    </w:pPr>
    <w:rPr>
      <w:rFonts w:ascii="Times New Roman" w:hAnsi="Times New Roman" w:eastAsia="Times New Roman" w:cs="Times New Roman"/>
      <w:sz w:val="20"/>
      <w:szCs w:val="20"/>
      <w:lang w:val="en-US" w:eastAsia="en-US" w:bidi="ar-SA"/>
    </w:rPr>
  </w:style>
  <w:style w:styleId="TOC5" w:type="paragraph">
    <w:name w:val="TOC 5"/>
    <w:basedOn w:val="Normal"/>
    <w:uiPriority w:val="1"/>
    <w:qFormat/>
    <w:pPr>
      <w:spacing w:line="230" w:lineRule="exact"/>
      <w:ind w:left="580"/>
    </w:pPr>
    <w:rPr>
      <w:rFonts w:ascii="Times New Roman" w:hAnsi="Times New Roman" w:eastAsia="Times New Roman" w:cs="Times New Roman"/>
      <w:i/>
      <w:iCs/>
      <w:sz w:val="20"/>
      <w:szCs w:val="20"/>
      <w:lang w:val="en-US" w:eastAsia="en-US" w:bidi="ar-SA"/>
    </w:rPr>
  </w:style>
  <w:style w:styleId="TOC6" w:type="paragraph">
    <w:name w:val="TOC 6"/>
    <w:basedOn w:val="Normal"/>
    <w:uiPriority w:val="1"/>
    <w:qFormat/>
    <w:pPr>
      <w:spacing w:line="228" w:lineRule="exact"/>
      <w:ind w:left="719"/>
    </w:pPr>
    <w:rPr>
      <w:rFonts w:ascii="Times New Roman" w:hAnsi="Times New Roman" w:eastAsia="Times New Roman" w:cs="Times New Roman"/>
      <w:sz w:val="20"/>
      <w:szCs w:val="20"/>
      <w:lang w:val="en-US" w:eastAsia="en-US" w:bidi="ar-SA"/>
    </w:rPr>
  </w:style>
  <w:style w:styleId="TOC7" w:type="paragraph">
    <w:name w:val="TOC 7"/>
    <w:basedOn w:val="Normal"/>
    <w:uiPriority w:val="1"/>
    <w:qFormat/>
    <w:pPr>
      <w:spacing w:line="230" w:lineRule="exact"/>
      <w:ind w:left="940"/>
    </w:pPr>
    <w:rPr>
      <w:rFonts w:ascii="Times New Roman" w:hAnsi="Times New Roman" w:eastAsia="Times New Roman" w:cs="Times New Roman"/>
      <w:i/>
      <w:iCs/>
      <w:sz w:val="20"/>
      <w:szCs w:val="20"/>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311"/>
      <w:outlineLvl w:val="1"/>
    </w:pPr>
    <w:rPr>
      <w:rFonts w:ascii="Times New Roman" w:hAnsi="Times New Roman" w:eastAsia="Times New Roman" w:cs="Times New Roman"/>
      <w:sz w:val="72"/>
      <w:szCs w:val="72"/>
      <w:lang w:val="en-US" w:eastAsia="en-US" w:bidi="ar-SA"/>
    </w:rPr>
  </w:style>
  <w:style w:styleId="Heading2" w:type="paragraph">
    <w:name w:val="Heading 2"/>
    <w:basedOn w:val="Normal"/>
    <w:uiPriority w:val="1"/>
    <w:qFormat/>
    <w:pPr>
      <w:spacing w:before="184"/>
      <w:ind w:left="2847"/>
      <w:jc w:val="center"/>
      <w:outlineLvl w:val="2"/>
    </w:pPr>
    <w:rPr>
      <w:rFonts w:ascii="Times New Roman" w:hAnsi="Times New Roman" w:eastAsia="Times New Roman" w:cs="Times New Roman"/>
      <w:sz w:val="52"/>
      <w:szCs w:val="52"/>
      <w:lang w:val="en-US" w:eastAsia="en-US" w:bidi="ar-SA"/>
    </w:rPr>
  </w:style>
  <w:style w:styleId="Heading3" w:type="paragraph">
    <w:name w:val="Heading 3"/>
    <w:basedOn w:val="Normal"/>
    <w:uiPriority w:val="1"/>
    <w:qFormat/>
    <w:pPr>
      <w:ind w:left="140"/>
      <w:outlineLvl w:val="3"/>
    </w:pPr>
    <w:rPr>
      <w:rFonts w:ascii="Times New Roman" w:hAnsi="Times New Roman" w:eastAsia="Times New Roman" w:cs="Times New Roman"/>
      <w:sz w:val="28"/>
      <w:szCs w:val="28"/>
      <w:lang w:val="en-US" w:eastAsia="en-US" w:bidi="ar-SA"/>
    </w:rPr>
  </w:style>
  <w:style w:styleId="Heading4" w:type="paragraph">
    <w:name w:val="Heading 4"/>
    <w:basedOn w:val="Normal"/>
    <w:uiPriority w:val="1"/>
    <w:qFormat/>
    <w:pPr>
      <w:ind w:left="106"/>
      <w:jc w:val="center"/>
      <w:outlineLvl w:val="4"/>
    </w:pPr>
    <w:rPr>
      <w:rFonts w:ascii="Calibri" w:hAnsi="Calibri" w:eastAsia="Calibri" w:cs="Calibri"/>
      <w:sz w:val="26"/>
      <w:szCs w:val="26"/>
      <w:lang w:val="en-US" w:eastAsia="en-US" w:bidi="ar-SA"/>
    </w:rPr>
  </w:style>
  <w:style w:styleId="Title" w:type="paragraph">
    <w:name w:val="Title"/>
    <w:basedOn w:val="Normal"/>
    <w:uiPriority w:val="1"/>
    <w:qFormat/>
    <w:pPr>
      <w:ind w:left="358"/>
      <w:jc w:val="center"/>
    </w:pPr>
    <w:rPr>
      <w:rFonts w:ascii="Book Antiqua" w:hAnsi="Book Antiqua" w:eastAsia="Book Antiqua" w:cs="Book Antiqua"/>
      <w:sz w:val="96"/>
      <w:szCs w:val="96"/>
      <w:lang w:val="en-US" w:eastAsia="en-US" w:bidi="ar-SA"/>
    </w:rPr>
  </w:style>
  <w:style w:styleId="ListParagraph" w:type="paragraph">
    <w:name w:val="List Paragraph"/>
    <w:basedOn w:val="Normal"/>
    <w:uiPriority w:val="1"/>
    <w:qFormat/>
    <w:pPr>
      <w:ind w:left="859" w:right="497" w:hanging="36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ahoma" w:hAnsi="Tahoma" w:eastAsia="Tahoma" w:cs="Tahom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2.png"/><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eader" Target="header3.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header" Target="header6.xml"/><Relationship Id="rId50" Type="http://schemas.openxmlformats.org/officeDocument/2006/relationships/footer" Target="footer12.xml"/><Relationship Id="rId51" Type="http://schemas.openxmlformats.org/officeDocument/2006/relationships/header" Target="header7.xml"/><Relationship Id="rId52" Type="http://schemas.openxmlformats.org/officeDocument/2006/relationships/footer" Target="footer13.xml"/><Relationship Id="rId53" Type="http://schemas.openxmlformats.org/officeDocument/2006/relationships/footer" Target="footer14.xml"/><Relationship Id="rId54" Type="http://schemas.openxmlformats.org/officeDocument/2006/relationships/header" Target="header8.xml"/><Relationship Id="rId55" Type="http://schemas.openxmlformats.org/officeDocument/2006/relationships/header" Target="header9.xml"/><Relationship Id="rId56" Type="http://schemas.openxmlformats.org/officeDocument/2006/relationships/footer" Target="footer15.xml"/><Relationship Id="rId57" Type="http://schemas.openxmlformats.org/officeDocument/2006/relationships/footer" Target="footer16.xml"/><Relationship Id="rId58" Type="http://schemas.openxmlformats.org/officeDocument/2006/relationships/header" Target="header10.xml"/><Relationship Id="rId59" Type="http://schemas.openxmlformats.org/officeDocument/2006/relationships/header" Target="header11.xml"/><Relationship Id="rId60" Type="http://schemas.openxmlformats.org/officeDocument/2006/relationships/footer" Target="footer17.xml"/><Relationship Id="rId61" Type="http://schemas.openxmlformats.org/officeDocument/2006/relationships/footer" Target="footer18.xml"/><Relationship Id="rId62" Type="http://schemas.openxmlformats.org/officeDocument/2006/relationships/image" Target="media/image29.png"/><Relationship Id="rId63" Type="http://schemas.openxmlformats.org/officeDocument/2006/relationships/header" Target="header12.xml"/><Relationship Id="rId64" Type="http://schemas.openxmlformats.org/officeDocument/2006/relationships/header" Target="header13.xml"/><Relationship Id="rId65" Type="http://schemas.openxmlformats.org/officeDocument/2006/relationships/footer" Target="footer19.xml"/><Relationship Id="rId66" Type="http://schemas.openxmlformats.org/officeDocument/2006/relationships/footer" Target="footer20.xml"/><Relationship Id="rId67" Type="http://schemas.openxmlformats.org/officeDocument/2006/relationships/image" Target="media/image30.png"/><Relationship Id="rId68" Type="http://schemas.openxmlformats.org/officeDocument/2006/relationships/image" Target="media/image31.png"/><Relationship Id="rId69" Type="http://schemas.openxmlformats.org/officeDocument/2006/relationships/header" Target="header14.xml"/><Relationship Id="rId70" Type="http://schemas.openxmlformats.org/officeDocument/2006/relationships/header" Target="header15.xml"/><Relationship Id="rId71" Type="http://schemas.openxmlformats.org/officeDocument/2006/relationships/footer" Target="footer21.xml"/><Relationship Id="rId72" Type="http://schemas.openxmlformats.org/officeDocument/2006/relationships/footer" Target="footer22.xml"/><Relationship Id="rId73" Type="http://schemas.openxmlformats.org/officeDocument/2006/relationships/image" Target="media/image32.png"/><Relationship Id="rId74" Type="http://schemas.openxmlformats.org/officeDocument/2006/relationships/image" Target="media/image33.png"/><Relationship Id="rId75" Type="http://schemas.openxmlformats.org/officeDocument/2006/relationships/header" Target="header16.xml"/><Relationship Id="rId76" Type="http://schemas.openxmlformats.org/officeDocument/2006/relationships/footer" Target="footer23.xml"/><Relationship Id="rId77" Type="http://schemas.openxmlformats.org/officeDocument/2006/relationships/header" Target="header17.xml"/><Relationship Id="rId78" Type="http://schemas.openxmlformats.org/officeDocument/2006/relationships/footer" Target="footer24.xml"/><Relationship Id="rId79" Type="http://schemas.openxmlformats.org/officeDocument/2006/relationships/footer" Target="footer25.xml"/><Relationship Id="rId80" Type="http://schemas.openxmlformats.org/officeDocument/2006/relationships/header" Target="header18.xml"/><Relationship Id="rId81" Type="http://schemas.openxmlformats.org/officeDocument/2006/relationships/header" Target="header19.xml"/><Relationship Id="rId82" Type="http://schemas.openxmlformats.org/officeDocument/2006/relationships/footer" Target="footer26.xml"/><Relationship Id="rId83" Type="http://schemas.openxmlformats.org/officeDocument/2006/relationships/footer" Target="footer27.xml"/><Relationship Id="rId84" Type="http://schemas.openxmlformats.org/officeDocument/2006/relationships/image" Target="media/image34.png"/><Relationship Id="rId85" Type="http://schemas.openxmlformats.org/officeDocument/2006/relationships/image" Target="media/image35.png"/><Relationship Id="rId86" Type="http://schemas.openxmlformats.org/officeDocument/2006/relationships/image" Target="media/image36.png"/><Relationship Id="rId87" Type="http://schemas.openxmlformats.org/officeDocument/2006/relationships/header" Target="header20.xml"/><Relationship Id="rId88" Type="http://schemas.openxmlformats.org/officeDocument/2006/relationships/header" Target="header21.xml"/><Relationship Id="rId89" Type="http://schemas.openxmlformats.org/officeDocument/2006/relationships/footer" Target="footer28.xml"/><Relationship Id="rId90" Type="http://schemas.openxmlformats.org/officeDocument/2006/relationships/footer" Target="footer29.xml"/><Relationship Id="rId91" Type="http://schemas.openxmlformats.org/officeDocument/2006/relationships/image" Target="media/image37.png"/><Relationship Id="rId92" Type="http://schemas.openxmlformats.org/officeDocument/2006/relationships/image" Target="media/image38.png"/><Relationship Id="rId93" Type="http://schemas.openxmlformats.org/officeDocument/2006/relationships/header" Target="header22.xml"/><Relationship Id="rId94" Type="http://schemas.openxmlformats.org/officeDocument/2006/relationships/header" Target="header23.xml"/><Relationship Id="rId95" Type="http://schemas.openxmlformats.org/officeDocument/2006/relationships/footer" Target="footer30.xml"/><Relationship Id="rId96" Type="http://schemas.openxmlformats.org/officeDocument/2006/relationships/footer" Target="footer31.xml"/><Relationship Id="rId97" Type="http://schemas.openxmlformats.org/officeDocument/2006/relationships/image" Target="media/image39.png"/><Relationship Id="rId98" Type="http://schemas.openxmlformats.org/officeDocument/2006/relationships/image" Target="media/image40.png"/><Relationship Id="rId99" Type="http://schemas.openxmlformats.org/officeDocument/2006/relationships/header" Target="header24.xml"/><Relationship Id="rId100" Type="http://schemas.openxmlformats.org/officeDocument/2006/relationships/header" Target="header25.xml"/><Relationship Id="rId101" Type="http://schemas.openxmlformats.org/officeDocument/2006/relationships/footer" Target="footer32.xml"/><Relationship Id="rId102" Type="http://schemas.openxmlformats.org/officeDocument/2006/relationships/footer" Target="footer33.xml"/><Relationship Id="rId103" Type="http://schemas.openxmlformats.org/officeDocument/2006/relationships/image" Target="media/image41.png"/><Relationship Id="rId104" Type="http://schemas.openxmlformats.org/officeDocument/2006/relationships/image" Target="media/image42.png"/><Relationship Id="rId105" Type="http://schemas.openxmlformats.org/officeDocument/2006/relationships/image" Target="media/image43.png"/><Relationship Id="rId106" Type="http://schemas.openxmlformats.org/officeDocument/2006/relationships/header" Target="header26.xml"/><Relationship Id="rId107" Type="http://schemas.openxmlformats.org/officeDocument/2006/relationships/header" Target="header27.xml"/><Relationship Id="rId108" Type="http://schemas.openxmlformats.org/officeDocument/2006/relationships/footer" Target="footer34.xml"/><Relationship Id="rId109" Type="http://schemas.openxmlformats.org/officeDocument/2006/relationships/footer" Target="footer35.xml"/><Relationship Id="rId110" Type="http://schemas.openxmlformats.org/officeDocument/2006/relationships/image" Target="media/image44.png"/><Relationship Id="rId111" Type="http://schemas.openxmlformats.org/officeDocument/2006/relationships/image" Target="media/image45.png"/><Relationship Id="rId112" Type="http://schemas.openxmlformats.org/officeDocument/2006/relationships/image" Target="media/image46.png"/><Relationship Id="rId113" Type="http://schemas.openxmlformats.org/officeDocument/2006/relationships/header" Target="header28.xml"/><Relationship Id="rId114" Type="http://schemas.openxmlformats.org/officeDocument/2006/relationships/header" Target="header29.xml"/><Relationship Id="rId115" Type="http://schemas.openxmlformats.org/officeDocument/2006/relationships/footer" Target="footer36.xml"/><Relationship Id="rId116" Type="http://schemas.openxmlformats.org/officeDocument/2006/relationships/footer" Target="footer37.xml"/><Relationship Id="rId117" Type="http://schemas.openxmlformats.org/officeDocument/2006/relationships/image" Target="media/image47.png"/><Relationship Id="rId118" Type="http://schemas.openxmlformats.org/officeDocument/2006/relationships/image" Target="media/image48.png"/><Relationship Id="rId119" Type="http://schemas.openxmlformats.org/officeDocument/2006/relationships/image" Target="media/image49.png"/><Relationship Id="rId120" Type="http://schemas.openxmlformats.org/officeDocument/2006/relationships/header" Target="header30.xml"/><Relationship Id="rId121" Type="http://schemas.openxmlformats.org/officeDocument/2006/relationships/header" Target="header31.xml"/><Relationship Id="rId122" Type="http://schemas.openxmlformats.org/officeDocument/2006/relationships/footer" Target="footer38.xml"/><Relationship Id="rId123" Type="http://schemas.openxmlformats.org/officeDocument/2006/relationships/footer" Target="footer39.xml"/><Relationship Id="rId124" Type="http://schemas.openxmlformats.org/officeDocument/2006/relationships/image" Target="media/image50.png"/><Relationship Id="rId125" Type="http://schemas.openxmlformats.org/officeDocument/2006/relationships/image" Target="media/image51.png"/><Relationship Id="rId126" Type="http://schemas.openxmlformats.org/officeDocument/2006/relationships/header" Target="header32.xml"/><Relationship Id="rId127" Type="http://schemas.openxmlformats.org/officeDocument/2006/relationships/header" Target="header33.xml"/><Relationship Id="rId128" Type="http://schemas.openxmlformats.org/officeDocument/2006/relationships/footer" Target="footer40.xml"/><Relationship Id="rId129" Type="http://schemas.openxmlformats.org/officeDocument/2006/relationships/footer" Target="footer41.xml"/><Relationship Id="rId130" Type="http://schemas.openxmlformats.org/officeDocument/2006/relationships/image" Target="media/image52.png"/><Relationship Id="rId131" Type="http://schemas.openxmlformats.org/officeDocument/2006/relationships/header" Target="header34.xml"/><Relationship Id="rId132" Type="http://schemas.openxmlformats.org/officeDocument/2006/relationships/header" Target="header35.xml"/><Relationship Id="rId133" Type="http://schemas.openxmlformats.org/officeDocument/2006/relationships/footer" Target="footer42.xml"/><Relationship Id="rId134" Type="http://schemas.openxmlformats.org/officeDocument/2006/relationships/footer" Target="footer43.xml"/><Relationship Id="rId135" Type="http://schemas.openxmlformats.org/officeDocument/2006/relationships/image" Target="media/image53.png"/><Relationship Id="rId136" Type="http://schemas.openxmlformats.org/officeDocument/2006/relationships/image" Target="media/image54.png"/><Relationship Id="rId137" Type="http://schemas.openxmlformats.org/officeDocument/2006/relationships/image" Target="media/image55.png"/><Relationship Id="rId138" Type="http://schemas.openxmlformats.org/officeDocument/2006/relationships/image" Target="media/image56.png"/><Relationship Id="rId139" Type="http://schemas.openxmlformats.org/officeDocument/2006/relationships/image" Target="media/image57.png"/><Relationship Id="rId140" Type="http://schemas.openxmlformats.org/officeDocument/2006/relationships/image" Target="media/image58.png"/><Relationship Id="rId141" Type="http://schemas.openxmlformats.org/officeDocument/2006/relationships/header" Target="header36.xml"/><Relationship Id="rId142" Type="http://schemas.openxmlformats.org/officeDocument/2006/relationships/header" Target="header37.xml"/><Relationship Id="rId143" Type="http://schemas.openxmlformats.org/officeDocument/2006/relationships/footer" Target="footer44.xml"/><Relationship Id="rId144" Type="http://schemas.openxmlformats.org/officeDocument/2006/relationships/footer" Target="footer45.xml"/><Relationship Id="rId145" Type="http://schemas.openxmlformats.org/officeDocument/2006/relationships/image" Target="media/image59.png"/><Relationship Id="rId146" Type="http://schemas.openxmlformats.org/officeDocument/2006/relationships/image" Target="media/image60.png"/><Relationship Id="rId147" Type="http://schemas.openxmlformats.org/officeDocument/2006/relationships/header" Target="header38.xml"/><Relationship Id="rId148" Type="http://schemas.openxmlformats.org/officeDocument/2006/relationships/footer" Target="footer46.xml"/><Relationship Id="rId149" Type="http://schemas.openxmlformats.org/officeDocument/2006/relationships/footer" Target="footer47.xml"/><Relationship Id="rId150" Type="http://schemas.openxmlformats.org/officeDocument/2006/relationships/header" Target="header39.xml"/><Relationship Id="rId151" Type="http://schemas.openxmlformats.org/officeDocument/2006/relationships/header" Target="header40.xml"/><Relationship Id="rId152" Type="http://schemas.openxmlformats.org/officeDocument/2006/relationships/header" Target="header41.xml"/><Relationship Id="rId153" Type="http://schemas.openxmlformats.org/officeDocument/2006/relationships/footer" Target="footer48.xml"/><Relationship Id="rId154" Type="http://schemas.openxmlformats.org/officeDocument/2006/relationships/footer" Target="footer49.xml"/><Relationship Id="rId155" Type="http://schemas.openxmlformats.org/officeDocument/2006/relationships/image" Target="media/image61.png"/><Relationship Id="rId156" Type="http://schemas.openxmlformats.org/officeDocument/2006/relationships/image" Target="media/image62.png"/><Relationship Id="rId157" Type="http://schemas.openxmlformats.org/officeDocument/2006/relationships/image" Target="media/image63.png"/><Relationship Id="rId158" Type="http://schemas.openxmlformats.org/officeDocument/2006/relationships/image" Target="media/image64.png"/><Relationship Id="rId159" Type="http://schemas.openxmlformats.org/officeDocument/2006/relationships/image" Target="media/image65.png"/><Relationship Id="rId160" Type="http://schemas.openxmlformats.org/officeDocument/2006/relationships/image" Target="media/image66.png"/><Relationship Id="rId161" Type="http://schemas.openxmlformats.org/officeDocument/2006/relationships/image" Target="media/image67.png"/><Relationship Id="rId162" Type="http://schemas.openxmlformats.org/officeDocument/2006/relationships/image" Target="media/image68.png"/><Relationship Id="rId163" Type="http://schemas.openxmlformats.org/officeDocument/2006/relationships/header" Target="header42.xml"/><Relationship Id="rId164" Type="http://schemas.openxmlformats.org/officeDocument/2006/relationships/header" Target="header43.xml"/><Relationship Id="rId165" Type="http://schemas.openxmlformats.org/officeDocument/2006/relationships/footer" Target="footer50.xml"/><Relationship Id="rId166" Type="http://schemas.openxmlformats.org/officeDocument/2006/relationships/footer" Target="footer51.xml"/><Relationship Id="rId167" Type="http://schemas.openxmlformats.org/officeDocument/2006/relationships/image" Target="media/image69.png"/><Relationship Id="rId168" Type="http://schemas.openxmlformats.org/officeDocument/2006/relationships/image" Target="media/image70.png"/><Relationship Id="rId169" Type="http://schemas.openxmlformats.org/officeDocument/2006/relationships/header" Target="header44.xml"/><Relationship Id="rId170" Type="http://schemas.openxmlformats.org/officeDocument/2006/relationships/header" Target="header45.xml"/><Relationship Id="rId171" Type="http://schemas.openxmlformats.org/officeDocument/2006/relationships/footer" Target="footer52.xml"/><Relationship Id="rId172" Type="http://schemas.openxmlformats.org/officeDocument/2006/relationships/footer" Target="footer53.xml"/><Relationship Id="rId173" Type="http://schemas.openxmlformats.org/officeDocument/2006/relationships/image" Target="media/image71.png"/><Relationship Id="rId174" Type="http://schemas.openxmlformats.org/officeDocument/2006/relationships/image" Target="media/image72.png"/><Relationship Id="rId175" Type="http://schemas.openxmlformats.org/officeDocument/2006/relationships/header" Target="header46.xml"/><Relationship Id="rId176" Type="http://schemas.openxmlformats.org/officeDocument/2006/relationships/footer" Target="footer54.xml"/><Relationship Id="rId177" Type="http://schemas.openxmlformats.org/officeDocument/2006/relationships/footer" Target="footer55.xml"/><Relationship Id="rId178" Type="http://schemas.openxmlformats.org/officeDocument/2006/relationships/header" Target="header47.xml"/><Relationship Id="rId179" Type="http://schemas.openxmlformats.org/officeDocument/2006/relationships/header" Target="header48.xml"/><Relationship Id="rId180" Type="http://schemas.openxmlformats.org/officeDocument/2006/relationships/footer" Target="footer56.xml"/><Relationship Id="rId181" Type="http://schemas.openxmlformats.org/officeDocument/2006/relationships/footer" Target="footer57.xml"/><Relationship Id="rId182" Type="http://schemas.openxmlformats.org/officeDocument/2006/relationships/image" Target="media/image73.png"/><Relationship Id="rId183" Type="http://schemas.openxmlformats.org/officeDocument/2006/relationships/image" Target="media/image74.png"/><Relationship Id="rId184" Type="http://schemas.openxmlformats.org/officeDocument/2006/relationships/image" Target="media/image75.png"/><Relationship Id="rId185" Type="http://schemas.openxmlformats.org/officeDocument/2006/relationships/image" Target="media/image76.png"/><Relationship Id="rId186" Type="http://schemas.openxmlformats.org/officeDocument/2006/relationships/image" Target="media/image77.png"/><Relationship Id="rId187" Type="http://schemas.openxmlformats.org/officeDocument/2006/relationships/image" Target="media/image78.png"/><Relationship Id="rId188" Type="http://schemas.openxmlformats.org/officeDocument/2006/relationships/image" Target="media/image79.png"/><Relationship Id="rId189" Type="http://schemas.openxmlformats.org/officeDocument/2006/relationships/image" Target="media/image80.png"/><Relationship Id="rId190" Type="http://schemas.openxmlformats.org/officeDocument/2006/relationships/image" Target="media/image81.png"/><Relationship Id="rId191" Type="http://schemas.openxmlformats.org/officeDocument/2006/relationships/image" Target="media/image82.png"/><Relationship Id="rId192" Type="http://schemas.openxmlformats.org/officeDocument/2006/relationships/image" Target="media/image83.png"/><Relationship Id="rId193" Type="http://schemas.openxmlformats.org/officeDocument/2006/relationships/image" Target="media/image84.png"/><Relationship Id="rId194" Type="http://schemas.openxmlformats.org/officeDocument/2006/relationships/image" Target="media/image85.png"/><Relationship Id="rId195" Type="http://schemas.openxmlformats.org/officeDocument/2006/relationships/image" Target="media/image86.png"/><Relationship Id="rId196" Type="http://schemas.openxmlformats.org/officeDocument/2006/relationships/image" Target="media/image87.png"/><Relationship Id="rId197" Type="http://schemas.openxmlformats.org/officeDocument/2006/relationships/image" Target="media/image88.png"/><Relationship Id="rId198" Type="http://schemas.openxmlformats.org/officeDocument/2006/relationships/image" Target="media/image89.png"/><Relationship Id="rId199" Type="http://schemas.openxmlformats.org/officeDocument/2006/relationships/image" Target="media/image90.png"/><Relationship Id="rId200" Type="http://schemas.openxmlformats.org/officeDocument/2006/relationships/image" Target="media/image91.png"/><Relationship Id="rId201" Type="http://schemas.openxmlformats.org/officeDocument/2006/relationships/image" Target="media/image92.png"/><Relationship Id="rId202" Type="http://schemas.openxmlformats.org/officeDocument/2006/relationships/image" Target="media/image93.png"/><Relationship Id="rId203" Type="http://schemas.openxmlformats.org/officeDocument/2006/relationships/image" Target="media/image94.png"/><Relationship Id="rId204" Type="http://schemas.openxmlformats.org/officeDocument/2006/relationships/image" Target="media/image95.png"/><Relationship Id="rId205" Type="http://schemas.openxmlformats.org/officeDocument/2006/relationships/image" Target="media/image96.png"/><Relationship Id="rId206" Type="http://schemas.openxmlformats.org/officeDocument/2006/relationships/image" Target="media/image97.png"/><Relationship Id="rId207" Type="http://schemas.openxmlformats.org/officeDocument/2006/relationships/image" Target="media/image98.png"/><Relationship Id="rId208" Type="http://schemas.openxmlformats.org/officeDocument/2006/relationships/image" Target="media/image99.png"/><Relationship Id="rId209" Type="http://schemas.openxmlformats.org/officeDocument/2006/relationships/image" Target="media/image100.png"/><Relationship Id="rId210" Type="http://schemas.openxmlformats.org/officeDocument/2006/relationships/image" Target="media/image101.png"/><Relationship Id="rId211" Type="http://schemas.openxmlformats.org/officeDocument/2006/relationships/image" Target="media/image102.png"/><Relationship Id="rId212" Type="http://schemas.openxmlformats.org/officeDocument/2006/relationships/image" Target="media/image103.png"/><Relationship Id="rId213" Type="http://schemas.openxmlformats.org/officeDocument/2006/relationships/image" Target="media/image104.png"/><Relationship Id="rId214" Type="http://schemas.openxmlformats.org/officeDocument/2006/relationships/image" Target="media/image105.png"/><Relationship Id="rId215" Type="http://schemas.openxmlformats.org/officeDocument/2006/relationships/header" Target="header49.xml"/><Relationship Id="rId216" Type="http://schemas.openxmlformats.org/officeDocument/2006/relationships/footer" Target="footer58.xml"/><Relationship Id="rId217" Type="http://schemas.openxmlformats.org/officeDocument/2006/relationships/header" Target="header50.xml"/><Relationship Id="rId218" Type="http://schemas.openxmlformats.org/officeDocument/2006/relationships/footer" Target="footer59.xml"/><Relationship Id="rId219" Type="http://schemas.openxmlformats.org/officeDocument/2006/relationships/footer" Target="footer60.xml"/><Relationship Id="rId220" Type="http://schemas.openxmlformats.org/officeDocument/2006/relationships/header" Target="header51.xml"/><Relationship Id="rId221" Type="http://schemas.openxmlformats.org/officeDocument/2006/relationships/header" Target="header52.xml"/><Relationship Id="rId222" Type="http://schemas.openxmlformats.org/officeDocument/2006/relationships/footer" Target="footer61.xml"/><Relationship Id="rId223" Type="http://schemas.openxmlformats.org/officeDocument/2006/relationships/footer" Target="footer62.xml"/><Relationship Id="rId224" Type="http://schemas.openxmlformats.org/officeDocument/2006/relationships/image" Target="media/image106.png"/><Relationship Id="rId225" Type="http://schemas.openxmlformats.org/officeDocument/2006/relationships/image" Target="media/image107.png"/><Relationship Id="rId226" Type="http://schemas.openxmlformats.org/officeDocument/2006/relationships/image" Target="media/image108.png"/><Relationship Id="rId227" Type="http://schemas.openxmlformats.org/officeDocument/2006/relationships/image" Target="media/image109.png"/><Relationship Id="rId228" Type="http://schemas.openxmlformats.org/officeDocument/2006/relationships/header" Target="header53.xml"/><Relationship Id="rId229" Type="http://schemas.openxmlformats.org/officeDocument/2006/relationships/header" Target="header54.xml"/><Relationship Id="rId230" Type="http://schemas.openxmlformats.org/officeDocument/2006/relationships/footer" Target="footer63.xml"/><Relationship Id="rId231" Type="http://schemas.openxmlformats.org/officeDocument/2006/relationships/footer" Target="footer64.xml"/><Relationship Id="rId232" Type="http://schemas.openxmlformats.org/officeDocument/2006/relationships/header" Target="header55.xml"/><Relationship Id="rId233" Type="http://schemas.openxmlformats.org/officeDocument/2006/relationships/header" Target="header56.xml"/><Relationship Id="rId234" Type="http://schemas.openxmlformats.org/officeDocument/2006/relationships/footer" Target="footer65.xml"/><Relationship Id="rId235" Type="http://schemas.openxmlformats.org/officeDocument/2006/relationships/footer" Target="footer66.xml"/><Relationship Id="rId236" Type="http://schemas.openxmlformats.org/officeDocument/2006/relationships/image" Target="media/image110.png"/><Relationship Id="rId237" Type="http://schemas.openxmlformats.org/officeDocument/2006/relationships/image" Target="media/image111.png"/><Relationship Id="rId238" Type="http://schemas.openxmlformats.org/officeDocument/2006/relationships/image" Target="media/image112.png"/><Relationship Id="rId239" Type="http://schemas.openxmlformats.org/officeDocument/2006/relationships/header" Target="header57.xml"/><Relationship Id="rId240" Type="http://schemas.openxmlformats.org/officeDocument/2006/relationships/footer" Target="footer67.xml"/><Relationship Id="rId241" Type="http://schemas.openxmlformats.org/officeDocument/2006/relationships/header" Target="header58.xml"/><Relationship Id="rId242" Type="http://schemas.openxmlformats.org/officeDocument/2006/relationships/footer" Target="footer68.xml"/><Relationship Id="rId243" Type="http://schemas.openxmlformats.org/officeDocument/2006/relationships/footer" Target="footer69.xml"/><Relationship Id="rId244" Type="http://schemas.openxmlformats.org/officeDocument/2006/relationships/header" Target="header59.xml"/><Relationship Id="rId245" Type="http://schemas.openxmlformats.org/officeDocument/2006/relationships/header" Target="header60.xml"/><Relationship Id="rId246" Type="http://schemas.openxmlformats.org/officeDocument/2006/relationships/footer" Target="footer70.xml"/><Relationship Id="rId247" Type="http://schemas.openxmlformats.org/officeDocument/2006/relationships/footer" Target="footer71.xml"/><Relationship Id="rId248" Type="http://schemas.openxmlformats.org/officeDocument/2006/relationships/image" Target="media/image113.png"/><Relationship Id="rId249" Type="http://schemas.openxmlformats.org/officeDocument/2006/relationships/image" Target="media/image114.png"/><Relationship Id="rId250" Type="http://schemas.openxmlformats.org/officeDocument/2006/relationships/image" Target="media/image115.png"/><Relationship Id="rId251" Type="http://schemas.openxmlformats.org/officeDocument/2006/relationships/image" Target="media/image116.png"/><Relationship Id="rId252" Type="http://schemas.openxmlformats.org/officeDocument/2006/relationships/image" Target="media/image117.png"/><Relationship Id="rId253" Type="http://schemas.openxmlformats.org/officeDocument/2006/relationships/image" Target="media/image118.png"/><Relationship Id="rId254" Type="http://schemas.openxmlformats.org/officeDocument/2006/relationships/image" Target="media/image119.png"/><Relationship Id="rId255" Type="http://schemas.openxmlformats.org/officeDocument/2006/relationships/image" Target="media/image120.png"/><Relationship Id="rId256" Type="http://schemas.openxmlformats.org/officeDocument/2006/relationships/image" Target="media/image121.png"/><Relationship Id="rId257" Type="http://schemas.openxmlformats.org/officeDocument/2006/relationships/image" Target="media/image122.png"/><Relationship Id="rId258" Type="http://schemas.openxmlformats.org/officeDocument/2006/relationships/image" Target="media/image123.png"/><Relationship Id="rId259" Type="http://schemas.openxmlformats.org/officeDocument/2006/relationships/image" Target="media/image124.png"/><Relationship Id="rId260" Type="http://schemas.openxmlformats.org/officeDocument/2006/relationships/image" Target="media/image125.png"/><Relationship Id="rId261" Type="http://schemas.openxmlformats.org/officeDocument/2006/relationships/image" Target="media/image126.png"/><Relationship Id="rId262" Type="http://schemas.openxmlformats.org/officeDocument/2006/relationships/image" Target="media/image127.png"/><Relationship Id="rId263" Type="http://schemas.openxmlformats.org/officeDocument/2006/relationships/image" Target="media/image128.png"/><Relationship Id="rId264" Type="http://schemas.openxmlformats.org/officeDocument/2006/relationships/image" Target="media/image129.png"/><Relationship Id="rId265" Type="http://schemas.openxmlformats.org/officeDocument/2006/relationships/image" Target="media/image130.png"/><Relationship Id="rId266" Type="http://schemas.openxmlformats.org/officeDocument/2006/relationships/image" Target="media/image131.png"/><Relationship Id="rId267" Type="http://schemas.openxmlformats.org/officeDocument/2006/relationships/image" Target="media/image132.png"/><Relationship Id="rId268" Type="http://schemas.openxmlformats.org/officeDocument/2006/relationships/image" Target="media/image133.png"/><Relationship Id="rId269" Type="http://schemas.openxmlformats.org/officeDocument/2006/relationships/image" Target="media/image134.png"/><Relationship Id="rId270" Type="http://schemas.openxmlformats.org/officeDocument/2006/relationships/image" Target="media/image135.png"/><Relationship Id="rId271" Type="http://schemas.openxmlformats.org/officeDocument/2006/relationships/image" Target="media/image136.png"/><Relationship Id="rId272" Type="http://schemas.openxmlformats.org/officeDocument/2006/relationships/image" Target="media/image137.png"/><Relationship Id="rId273" Type="http://schemas.openxmlformats.org/officeDocument/2006/relationships/image" Target="media/image138.png"/><Relationship Id="rId274" Type="http://schemas.openxmlformats.org/officeDocument/2006/relationships/image" Target="media/image139.png"/><Relationship Id="rId275" Type="http://schemas.openxmlformats.org/officeDocument/2006/relationships/header" Target="header61.xml"/><Relationship Id="rId276" Type="http://schemas.openxmlformats.org/officeDocument/2006/relationships/footer" Target="footer72.xml"/><Relationship Id="rId277" Type="http://schemas.openxmlformats.org/officeDocument/2006/relationships/footer" Target="footer73.xml"/><Relationship Id="rId278" Type="http://schemas.openxmlformats.org/officeDocument/2006/relationships/header" Target="header62.xml"/><Relationship Id="rId279" Type="http://schemas.openxmlformats.org/officeDocument/2006/relationships/header" Target="header63.xml"/><Relationship Id="rId280" Type="http://schemas.openxmlformats.org/officeDocument/2006/relationships/image" Target="media/image140.png"/><Relationship Id="rId281" Type="http://schemas.openxmlformats.org/officeDocument/2006/relationships/footer" Target="footer74.xml"/><Relationship Id="rId282" Type="http://schemas.openxmlformats.org/officeDocument/2006/relationships/footer" Target="footer75.xml"/><Relationship Id="rId283" Type="http://schemas.openxmlformats.org/officeDocument/2006/relationships/image" Target="media/image141.png"/><Relationship Id="rId284" Type="http://schemas.openxmlformats.org/officeDocument/2006/relationships/image" Target="media/image142.png"/><Relationship Id="rId285" Type="http://schemas.openxmlformats.org/officeDocument/2006/relationships/image" Target="media/image143.png"/><Relationship Id="rId286" Type="http://schemas.openxmlformats.org/officeDocument/2006/relationships/image" Target="media/image144.png"/><Relationship Id="rId287" Type="http://schemas.openxmlformats.org/officeDocument/2006/relationships/image" Target="media/image145.png"/><Relationship Id="rId288" Type="http://schemas.openxmlformats.org/officeDocument/2006/relationships/image" Target="media/image146.png"/><Relationship Id="rId289" Type="http://schemas.openxmlformats.org/officeDocument/2006/relationships/image" Target="media/image147.png"/><Relationship Id="rId290" Type="http://schemas.openxmlformats.org/officeDocument/2006/relationships/image" Target="media/image148.png"/><Relationship Id="rId291" Type="http://schemas.openxmlformats.org/officeDocument/2006/relationships/image" Target="media/image149.png"/><Relationship Id="rId292" Type="http://schemas.openxmlformats.org/officeDocument/2006/relationships/image" Target="media/image150.png"/><Relationship Id="rId293" Type="http://schemas.openxmlformats.org/officeDocument/2006/relationships/image" Target="media/image151.png"/><Relationship Id="rId294" Type="http://schemas.openxmlformats.org/officeDocument/2006/relationships/image" Target="media/image152.png"/><Relationship Id="rId295" Type="http://schemas.openxmlformats.org/officeDocument/2006/relationships/image" Target="media/image153.png"/><Relationship Id="rId296" Type="http://schemas.openxmlformats.org/officeDocument/2006/relationships/header" Target="header64.xml"/><Relationship Id="rId297" Type="http://schemas.openxmlformats.org/officeDocument/2006/relationships/header" Target="header65.xml"/><Relationship Id="rId298" Type="http://schemas.openxmlformats.org/officeDocument/2006/relationships/footer" Target="footer76.xml"/><Relationship Id="rId299" Type="http://schemas.openxmlformats.org/officeDocument/2006/relationships/footer" Target="footer77.xml"/><Relationship Id="rId300" Type="http://schemas.openxmlformats.org/officeDocument/2006/relationships/image" Target="media/image154.png"/><Relationship Id="rId301" Type="http://schemas.openxmlformats.org/officeDocument/2006/relationships/image" Target="media/image155.png"/><Relationship Id="rId302" Type="http://schemas.openxmlformats.org/officeDocument/2006/relationships/header" Target="header66.xml"/><Relationship Id="rId303" Type="http://schemas.openxmlformats.org/officeDocument/2006/relationships/header" Target="header67.xml"/><Relationship Id="rId304" Type="http://schemas.openxmlformats.org/officeDocument/2006/relationships/footer" Target="footer78.xml"/><Relationship Id="rId305" Type="http://schemas.openxmlformats.org/officeDocument/2006/relationships/footer" Target="footer79.xml"/><Relationship Id="rId306" Type="http://schemas.openxmlformats.org/officeDocument/2006/relationships/image" Target="media/image156.png"/><Relationship Id="rId307" Type="http://schemas.openxmlformats.org/officeDocument/2006/relationships/image" Target="media/image157.png"/><Relationship Id="rId308" Type="http://schemas.openxmlformats.org/officeDocument/2006/relationships/image" Target="media/image158.png"/><Relationship Id="rId309" Type="http://schemas.openxmlformats.org/officeDocument/2006/relationships/header" Target="header68.xml"/><Relationship Id="rId310" Type="http://schemas.openxmlformats.org/officeDocument/2006/relationships/footer" Target="footer80.xml"/><Relationship Id="rId311" Type="http://schemas.openxmlformats.org/officeDocument/2006/relationships/header" Target="header69.xml"/><Relationship Id="rId312" Type="http://schemas.openxmlformats.org/officeDocument/2006/relationships/footer" Target="footer81.xml"/><Relationship Id="rId313" Type="http://schemas.openxmlformats.org/officeDocument/2006/relationships/footer" Target="footer82.xml"/><Relationship Id="rId314" Type="http://schemas.openxmlformats.org/officeDocument/2006/relationships/header" Target="header70.xml"/><Relationship Id="rId315" Type="http://schemas.openxmlformats.org/officeDocument/2006/relationships/header" Target="header71.xml"/><Relationship Id="rId316" Type="http://schemas.openxmlformats.org/officeDocument/2006/relationships/footer" Target="footer83.xml"/><Relationship Id="rId317" Type="http://schemas.openxmlformats.org/officeDocument/2006/relationships/footer" Target="footer84.xml"/><Relationship Id="rId318" Type="http://schemas.openxmlformats.org/officeDocument/2006/relationships/image" Target="media/image159.png"/><Relationship Id="rId319" Type="http://schemas.openxmlformats.org/officeDocument/2006/relationships/image" Target="media/image160.png"/><Relationship Id="rId320" Type="http://schemas.openxmlformats.org/officeDocument/2006/relationships/image" Target="media/image161.png"/><Relationship Id="rId321" Type="http://schemas.openxmlformats.org/officeDocument/2006/relationships/image" Target="media/image162.png"/><Relationship Id="rId322" Type="http://schemas.openxmlformats.org/officeDocument/2006/relationships/image" Target="media/image163.png"/><Relationship Id="rId323" Type="http://schemas.openxmlformats.org/officeDocument/2006/relationships/header" Target="header72.xml"/><Relationship Id="rId324" Type="http://schemas.openxmlformats.org/officeDocument/2006/relationships/header" Target="header73.xml"/><Relationship Id="rId325" Type="http://schemas.openxmlformats.org/officeDocument/2006/relationships/footer" Target="footer85.xml"/><Relationship Id="rId326" Type="http://schemas.openxmlformats.org/officeDocument/2006/relationships/footer" Target="footer86.xml"/><Relationship Id="rId327" Type="http://schemas.openxmlformats.org/officeDocument/2006/relationships/image" Target="media/image164.png"/><Relationship Id="rId328" Type="http://schemas.openxmlformats.org/officeDocument/2006/relationships/image" Target="media/image165.png"/><Relationship Id="rId329" Type="http://schemas.openxmlformats.org/officeDocument/2006/relationships/image" Target="media/image166.png"/><Relationship Id="rId330" Type="http://schemas.openxmlformats.org/officeDocument/2006/relationships/header" Target="header74.xml"/><Relationship Id="rId331" Type="http://schemas.openxmlformats.org/officeDocument/2006/relationships/header" Target="header75.xml"/><Relationship Id="rId332" Type="http://schemas.openxmlformats.org/officeDocument/2006/relationships/footer" Target="footer87.xml"/><Relationship Id="rId333" Type="http://schemas.openxmlformats.org/officeDocument/2006/relationships/footer" Target="footer88.xml"/><Relationship Id="rId334" Type="http://schemas.openxmlformats.org/officeDocument/2006/relationships/image" Target="media/image167.png"/><Relationship Id="rId335" Type="http://schemas.openxmlformats.org/officeDocument/2006/relationships/header" Target="header76.xml"/><Relationship Id="rId336" Type="http://schemas.openxmlformats.org/officeDocument/2006/relationships/header" Target="header77.xml"/><Relationship Id="rId337" Type="http://schemas.openxmlformats.org/officeDocument/2006/relationships/footer" Target="footer89.xml"/><Relationship Id="rId338" Type="http://schemas.openxmlformats.org/officeDocument/2006/relationships/footer" Target="footer90.xml"/><Relationship Id="rId339" Type="http://schemas.openxmlformats.org/officeDocument/2006/relationships/image" Target="media/image168.png"/><Relationship Id="rId340" Type="http://schemas.openxmlformats.org/officeDocument/2006/relationships/image" Target="media/image169.png"/><Relationship Id="rId341" Type="http://schemas.openxmlformats.org/officeDocument/2006/relationships/image" Target="media/image170.png"/><Relationship Id="rId342" Type="http://schemas.openxmlformats.org/officeDocument/2006/relationships/header" Target="header78.xml"/><Relationship Id="rId343" Type="http://schemas.openxmlformats.org/officeDocument/2006/relationships/footer" Target="footer91.xml"/><Relationship Id="rId344" Type="http://schemas.openxmlformats.org/officeDocument/2006/relationships/footer" Target="footer92.xml"/><Relationship Id="rId345" Type="http://schemas.openxmlformats.org/officeDocument/2006/relationships/header" Target="header79.xml"/><Relationship Id="rId346" Type="http://schemas.openxmlformats.org/officeDocument/2006/relationships/header" Target="header80.xml"/><Relationship Id="rId347" Type="http://schemas.openxmlformats.org/officeDocument/2006/relationships/header" Target="header81.xml"/><Relationship Id="rId348" Type="http://schemas.openxmlformats.org/officeDocument/2006/relationships/footer" Target="footer93.xml"/><Relationship Id="rId349" Type="http://schemas.openxmlformats.org/officeDocument/2006/relationships/footer" Target="footer94.xml"/><Relationship Id="rId350" Type="http://schemas.openxmlformats.org/officeDocument/2006/relationships/image" Target="media/image171.png"/><Relationship Id="rId351" Type="http://schemas.openxmlformats.org/officeDocument/2006/relationships/image" Target="media/image172.png"/><Relationship Id="rId352" Type="http://schemas.openxmlformats.org/officeDocument/2006/relationships/header" Target="header82.xml"/><Relationship Id="rId353" Type="http://schemas.openxmlformats.org/officeDocument/2006/relationships/footer" Target="footer95.xml"/><Relationship Id="rId354" Type="http://schemas.openxmlformats.org/officeDocument/2006/relationships/header" Target="header83.xml"/><Relationship Id="rId355" Type="http://schemas.openxmlformats.org/officeDocument/2006/relationships/footer" Target="footer96.xml"/><Relationship Id="rId356" Type="http://schemas.openxmlformats.org/officeDocument/2006/relationships/footer" Target="footer97.xml"/><Relationship Id="rId357" Type="http://schemas.openxmlformats.org/officeDocument/2006/relationships/header" Target="header84.xml"/><Relationship Id="rId358" Type="http://schemas.openxmlformats.org/officeDocument/2006/relationships/header" Target="header85.xml"/><Relationship Id="rId359" Type="http://schemas.openxmlformats.org/officeDocument/2006/relationships/image" Target="media/image173.png"/><Relationship Id="rId360" Type="http://schemas.openxmlformats.org/officeDocument/2006/relationships/footer" Target="footer98.xml"/><Relationship Id="rId361" Type="http://schemas.openxmlformats.org/officeDocument/2006/relationships/footer" Target="footer99.xml"/><Relationship Id="rId362" Type="http://schemas.openxmlformats.org/officeDocument/2006/relationships/header" Target="header86.xml"/><Relationship Id="rId363" Type="http://schemas.openxmlformats.org/officeDocument/2006/relationships/footer" Target="footer100.xml"/><Relationship Id="rId364" Type="http://schemas.openxmlformats.org/officeDocument/2006/relationships/footer" Target="footer101.xml"/><Relationship Id="rId365" Type="http://schemas.openxmlformats.org/officeDocument/2006/relationships/header" Target="header87.xml"/><Relationship Id="rId366" Type="http://schemas.openxmlformats.org/officeDocument/2006/relationships/header" Target="header88.xml"/><Relationship Id="rId367" Type="http://schemas.openxmlformats.org/officeDocument/2006/relationships/footer" Target="footer102.xml"/><Relationship Id="rId368" Type="http://schemas.openxmlformats.org/officeDocument/2006/relationships/footer" Target="footer103.xml"/><Relationship Id="rId369" Type="http://schemas.openxmlformats.org/officeDocument/2006/relationships/header" Target="header89.xml"/><Relationship Id="rId370" Type="http://schemas.openxmlformats.org/officeDocument/2006/relationships/footer" Target="footer104.xml"/><Relationship Id="rId371" Type="http://schemas.openxmlformats.org/officeDocument/2006/relationships/header" Target="header90.xml"/><Relationship Id="rId372" Type="http://schemas.openxmlformats.org/officeDocument/2006/relationships/footer" Target="footer105.xml"/><Relationship Id="rId373" Type="http://schemas.openxmlformats.org/officeDocument/2006/relationships/footer" Target="footer106.xml"/><Relationship Id="rId374" Type="http://schemas.openxmlformats.org/officeDocument/2006/relationships/header" Target="header91.xml"/><Relationship Id="rId375" Type="http://schemas.openxmlformats.org/officeDocument/2006/relationships/header" Target="header92.xml"/><Relationship Id="rId376" Type="http://schemas.openxmlformats.org/officeDocument/2006/relationships/header" Target="header93.xml"/><Relationship Id="rId377" Type="http://schemas.openxmlformats.org/officeDocument/2006/relationships/footer" Target="footer107.xml"/><Relationship Id="rId37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dc:title>Microsoft Word - FINAL_WORD DOCSecrets of a Pivot Boss Manuscript.doc</dc:title>
  <dcterms:created xsi:type="dcterms:W3CDTF">2024-05-29T11:22:04Z</dcterms:created>
  <dcterms:modified xsi:type="dcterms:W3CDTF">2024-05-29T11:22:04Z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2010-08-11T00:00:00Z</vt:filetime>
  </property>
  <property fmtid="{D5CDD505-2E9C-101B-9397-08002B2CF9AE}" pid="3" name="Creator">
    <vt:lpwstr>PScript5.dll Version 5.2.2</vt:lpwstr>
  </property>
  <property fmtid="{D5CDD505-2E9C-101B-9397-08002B2CF9AE}" pid="4" name="LastSaved">
    <vt:filetime>2024-05-29T00:00:00Z</vt:filetime>
  </property>
  <property fmtid="{D5CDD505-2E9C-101B-9397-08002B2CF9AE}" pid="5" name="Producer">
    <vt:lpwstr>Acrobat Distiller 9.0.0 (Windows)</vt:lpwstr>
  </property>
</Properties>
</file>